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C60" w:rsidRPr="008916AC" w:rsidRDefault="009E2F64" w:rsidP="00E16313">
      <w:pPr>
        <w:rPr>
          <w:rFonts w:ascii="Arial" w:hAnsi="Arial" w:cs="Arial"/>
          <w:lang w:val="lt-LT"/>
        </w:rPr>
      </w:pPr>
      <w:r w:rsidRPr="008916AC">
        <w:rPr>
          <w:rFonts w:ascii="Arial" w:hAnsi="Arial" w:cs="Arial"/>
          <w:noProof/>
          <w:lang w:val="lt-LT"/>
        </w:rPr>
        <w:drawing>
          <wp:anchor distT="0" distB="0" distL="114300" distR="114300" simplePos="0" relativeHeight="251737088" behindDoc="0" locked="0" layoutInCell="1" allowOverlap="1">
            <wp:simplePos x="0" y="0"/>
            <wp:positionH relativeFrom="margin">
              <wp:posOffset>3910965</wp:posOffset>
            </wp:positionH>
            <wp:positionV relativeFrom="paragraph">
              <wp:posOffset>-760730</wp:posOffset>
            </wp:positionV>
            <wp:extent cx="2434862" cy="1071894"/>
            <wp:effectExtent l="0" t="0" r="381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4862" cy="1071894"/>
                    </a:xfrm>
                    <a:prstGeom prst="rect">
                      <a:avLst/>
                    </a:prstGeom>
                  </pic:spPr>
                </pic:pic>
              </a:graphicData>
            </a:graphic>
            <wp14:sizeRelH relativeFrom="margin">
              <wp14:pctWidth>0</wp14:pctWidth>
            </wp14:sizeRelH>
            <wp14:sizeRelV relativeFrom="margin">
              <wp14:pctHeight>0</wp14:pctHeight>
            </wp14:sizeRelV>
          </wp:anchor>
        </w:drawing>
      </w:r>
      <w:r w:rsidRPr="00D65230">
        <w:rPr>
          <w:rFonts w:ascii="Arial" w:hAnsi="Arial" w:cs="Arial"/>
          <w:noProof/>
          <w:lang w:val="lt-LT"/>
        </w:rPr>
        <mc:AlternateContent>
          <mc:Choice Requires="wps">
            <w:drawing>
              <wp:anchor distT="45720" distB="45720" distL="114300" distR="114300" simplePos="0" relativeHeight="251735040" behindDoc="0" locked="0" layoutInCell="1" allowOverlap="1" wp14:anchorId="33C3B599" wp14:editId="5FB81242">
                <wp:simplePos x="0" y="0"/>
                <wp:positionH relativeFrom="margin">
                  <wp:posOffset>94615</wp:posOffset>
                </wp:positionH>
                <wp:positionV relativeFrom="paragraph">
                  <wp:posOffset>7602311</wp:posOffset>
                </wp:positionV>
                <wp:extent cx="6228000" cy="81915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819150"/>
                        </a:xfrm>
                        <a:prstGeom prst="rect">
                          <a:avLst/>
                        </a:prstGeom>
                        <a:noFill/>
                        <a:ln w="9525">
                          <a:noFill/>
                          <a:miter lim="800000"/>
                          <a:headEnd/>
                          <a:tailEnd/>
                        </a:ln>
                      </wps:spPr>
                      <wps:txbx>
                        <w:txbxContent>
                          <w:p w:rsidR="00903366" w:rsidRPr="0005537E" w:rsidRDefault="009E2F64" w:rsidP="0060788C">
                            <w:pPr>
                              <w:spacing w:before="20" w:after="20" w:line="259" w:lineRule="auto"/>
                              <w:rPr>
                                <w:rFonts w:ascii="Arial" w:hAnsi="Arial" w:cs="Arial"/>
                                <w:color w:val="FFFFFF" w:themeColor="background1"/>
                                <w:sz w:val="22"/>
                                <w:szCs w:val="32"/>
                              </w:rPr>
                            </w:pPr>
                            <w:r w:rsidRPr="009E2F64">
                              <w:rPr>
                                <w:rFonts w:ascii="Arial" w:hAnsi="Arial" w:cs="Arial"/>
                                <w:color w:val="FFFFFF" w:themeColor="background1"/>
                                <w:sz w:val="22"/>
                                <w:szCs w:val="32"/>
                              </w:rPr>
                              <w:t xml:space="preserve">This evaluation </w:t>
                            </w:r>
                            <w:proofErr w:type="gramStart"/>
                            <w:r w:rsidRPr="009E2F64">
                              <w:rPr>
                                <w:rFonts w:ascii="Arial" w:hAnsi="Arial" w:cs="Arial"/>
                                <w:color w:val="FFFFFF" w:themeColor="background1"/>
                                <w:sz w:val="22"/>
                                <w:szCs w:val="32"/>
                              </w:rPr>
                              <w:t>has been carried out</w:t>
                            </w:r>
                            <w:proofErr w:type="gramEnd"/>
                            <w:r w:rsidRPr="009E2F64">
                              <w:rPr>
                                <w:rFonts w:ascii="Arial" w:hAnsi="Arial" w:cs="Arial"/>
                                <w:color w:val="FFFFFF" w:themeColor="background1"/>
                                <w:sz w:val="22"/>
                                <w:szCs w:val="32"/>
                              </w:rPr>
                              <w:t xml:space="preserve"> on behalf of the Ministry of Finance of the Republic of Lithuania under Service Contract No 14P-88 of 11 November 2016. </w:t>
                            </w:r>
                            <w:proofErr w:type="gramStart"/>
                            <w:r w:rsidRPr="009E2F64">
                              <w:rPr>
                                <w:rFonts w:ascii="Arial" w:hAnsi="Arial" w:cs="Arial"/>
                                <w:color w:val="FFFFFF" w:themeColor="background1"/>
                                <w:sz w:val="22"/>
                                <w:szCs w:val="32"/>
                              </w:rPr>
                              <w:t>The evaluation has been carried out by a group of entities composed of KPMG Baltics, UAB, KPMG Advisory, Ltd., Ekotermija, UAB and Glimstedt Law Firm</w:t>
                            </w:r>
                            <w:proofErr w:type="gramEnd"/>
                            <w:r w:rsidRPr="009E2F64">
                              <w:rPr>
                                <w:rFonts w:ascii="Arial" w:hAnsi="Arial" w:cs="Arial"/>
                                <w:color w:val="FFFFFF" w:themeColor="background1"/>
                                <w:sz w:val="22"/>
                                <w:szCs w:val="32"/>
                              </w:rPr>
                              <w:t xml:space="preserve">. The </w:t>
                            </w:r>
                            <w:proofErr w:type="gramStart"/>
                            <w:r w:rsidRPr="009E2F64">
                              <w:rPr>
                                <w:rFonts w:ascii="Arial" w:hAnsi="Arial" w:cs="Arial"/>
                                <w:color w:val="FFFFFF" w:themeColor="background1"/>
                                <w:sz w:val="22"/>
                                <w:szCs w:val="32"/>
                              </w:rPr>
                              <w:t>evaluation has been financed by the European Social Fund</w:t>
                            </w:r>
                            <w:proofErr w:type="gramEnd"/>
                            <w:r w:rsidRPr="009E2F64">
                              <w:rPr>
                                <w:rFonts w:ascii="Arial" w:hAnsi="Arial" w:cs="Arial"/>
                                <w:color w:val="FFFFFF" w:themeColor="background1"/>
                                <w:sz w:val="2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3B599" id="_x0000_t202" coordsize="21600,21600" o:spt="202" path="m,l,21600r21600,l21600,xe">
                <v:stroke joinstyle="miter"/>
                <v:path gradientshapeok="t" o:connecttype="rect"/>
              </v:shapetype>
              <v:shape id="Text Box 2" o:spid="_x0000_s1026" type="#_x0000_t202" style="position:absolute;left:0;text-align:left;margin-left:7.45pt;margin-top:598.6pt;width:490.4pt;height:64.5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Z0CwIAAPMDAAAOAAAAZHJzL2Uyb0RvYy54bWysU9tu2zAMfR+wfxD0vviypEuMOEXXLsOA&#10;7gK0+wBZlmNhkqhJSuzs60fJaRqsb8VeBEokD3kOqfX1qBU5COclmJoWs5wSYTi00uxq+vNx+25J&#10;iQ/MtEyBETU9Ck+vN2/frAdbiRJ6UK1wBEGMrwZb0z4EW2WZ573QzM/ACoPODpxmAa9ul7WODYiu&#10;VVbm+VU2gGutAy68x9e7yUk3Cb/rBA/fu86LQFRNsbeQTpfOJp7ZZs2qnWO2l/zUBntFF5pJg0XP&#10;UHcsMLJ38gWUltyBhy7MOOgMuk5ykTggmyL/h81Dz6xIXFAcb88y+f8Hy78dfjgi25qW7ykxTOOM&#10;HsUYyEcYSRnlGayvMOrBYlwY8RnHnKh6ew/8lycGbntmduLGORh6wVpsr4iZ2UXqhOMjSDN8hRbL&#10;sH2ABDR2TkftUA2C6Dim43k0sRWOj1dlucxzdHH0LYtVsUizy1j1lG2dD58FaBKNmjocfUJnh3sf&#10;YjesegqJxQxspVJp/MqQoaarRblICRceLQNup5Iaa2J1rJ8SIslPpk12YFJNNhZQ5sQ6Ep0oh7EZ&#10;MTBK0UB7RP4Opi3EX4NGD+4PJQNuYE397z1zghL1xaCGq2I+jyubLvPFhxIv7tLTXHqY4QhV00DJ&#10;ZN6GtOaRq7c3qPVWJhmeOzn1ipuV1Dn9gri6l/cU9fxXN38BAAD//wMAUEsDBBQABgAIAAAAIQCX&#10;4T8a4AAAAAwBAAAPAAAAZHJzL2Rvd25yZXYueG1sTI/BTsMwEETvSPyDtUjcqFMDDQlxqgq15QiU&#10;iLMbmyQiXlu2m4a/ZznBaTW7o9k31Xq2I5tMiINDCctFBsxg6/SAnYTmfXfzACwmhVqNDo2EbxNh&#10;XV9eVKrU7oxvZjqkjlEIxlJJ6FPyJeex7Y1VceG8Qbp9umBVIhk6roM6U7gduciyFbdqQPrQK2+e&#10;etN+HU5Wgk9+nz+Hl9fNdjdlzce+EUO3lfL6at48AktmTn9m+MUndKiJ6ehOqCMbSd8V5KS5LHIB&#10;jBxFcZ8DO9LqVqwE8Lri/0vUPwAAAP//AwBQSwECLQAUAAYACAAAACEAtoM4kv4AAADhAQAAEwAA&#10;AAAAAAAAAAAAAAAAAAAAW0NvbnRlbnRfVHlwZXNdLnhtbFBLAQItABQABgAIAAAAIQA4/SH/1gAA&#10;AJQBAAALAAAAAAAAAAAAAAAAAC8BAABfcmVscy8ucmVsc1BLAQItABQABgAIAAAAIQBx6FZ0CwIA&#10;APMDAAAOAAAAAAAAAAAAAAAAAC4CAABkcnMvZTJvRG9jLnhtbFBLAQItABQABgAIAAAAIQCX4T8a&#10;4AAAAAwBAAAPAAAAAAAAAAAAAAAAAGUEAABkcnMvZG93bnJldi54bWxQSwUGAAAAAAQABADzAAAA&#10;cgUAAAAA&#10;" filled="f" stroked="f">
                <v:textbox style="mso-fit-shape-to-text:t">
                  <w:txbxContent>
                    <w:p w:rsidR="00903366" w:rsidRPr="0005537E" w:rsidRDefault="009E2F64" w:rsidP="0060788C">
                      <w:pPr>
                        <w:spacing w:before="20" w:after="20" w:line="259" w:lineRule="auto"/>
                        <w:rPr>
                          <w:rFonts w:ascii="Arial" w:hAnsi="Arial" w:cs="Arial"/>
                          <w:color w:val="FFFFFF" w:themeColor="background1"/>
                          <w:sz w:val="22"/>
                          <w:szCs w:val="32"/>
                        </w:rPr>
                      </w:pPr>
                      <w:r w:rsidRPr="009E2F64">
                        <w:rPr>
                          <w:rFonts w:ascii="Arial" w:hAnsi="Arial" w:cs="Arial"/>
                          <w:color w:val="FFFFFF" w:themeColor="background1"/>
                          <w:sz w:val="22"/>
                          <w:szCs w:val="32"/>
                        </w:rPr>
                        <w:t xml:space="preserve">This evaluation </w:t>
                      </w:r>
                      <w:proofErr w:type="gramStart"/>
                      <w:r w:rsidRPr="009E2F64">
                        <w:rPr>
                          <w:rFonts w:ascii="Arial" w:hAnsi="Arial" w:cs="Arial"/>
                          <w:color w:val="FFFFFF" w:themeColor="background1"/>
                          <w:sz w:val="22"/>
                          <w:szCs w:val="32"/>
                        </w:rPr>
                        <w:t>has been carried out</w:t>
                      </w:r>
                      <w:proofErr w:type="gramEnd"/>
                      <w:r w:rsidRPr="009E2F64">
                        <w:rPr>
                          <w:rFonts w:ascii="Arial" w:hAnsi="Arial" w:cs="Arial"/>
                          <w:color w:val="FFFFFF" w:themeColor="background1"/>
                          <w:sz w:val="22"/>
                          <w:szCs w:val="32"/>
                        </w:rPr>
                        <w:t xml:space="preserve"> on behalf of the Ministry of Finance of the Republic of Lithuania under Service Contract No 14P-88 of 11 November 2016. </w:t>
                      </w:r>
                      <w:proofErr w:type="gramStart"/>
                      <w:r w:rsidRPr="009E2F64">
                        <w:rPr>
                          <w:rFonts w:ascii="Arial" w:hAnsi="Arial" w:cs="Arial"/>
                          <w:color w:val="FFFFFF" w:themeColor="background1"/>
                          <w:sz w:val="22"/>
                          <w:szCs w:val="32"/>
                        </w:rPr>
                        <w:t>The evaluation has been carried out by a group of entities composed of KPMG Baltics, UAB, KPMG Advisory, Ltd., Ekotermija, UAB and Glimstedt Law Firm</w:t>
                      </w:r>
                      <w:proofErr w:type="gramEnd"/>
                      <w:r w:rsidRPr="009E2F64">
                        <w:rPr>
                          <w:rFonts w:ascii="Arial" w:hAnsi="Arial" w:cs="Arial"/>
                          <w:color w:val="FFFFFF" w:themeColor="background1"/>
                          <w:sz w:val="22"/>
                          <w:szCs w:val="32"/>
                        </w:rPr>
                        <w:t xml:space="preserve">. The </w:t>
                      </w:r>
                      <w:proofErr w:type="gramStart"/>
                      <w:r w:rsidRPr="009E2F64">
                        <w:rPr>
                          <w:rFonts w:ascii="Arial" w:hAnsi="Arial" w:cs="Arial"/>
                          <w:color w:val="FFFFFF" w:themeColor="background1"/>
                          <w:sz w:val="22"/>
                          <w:szCs w:val="32"/>
                        </w:rPr>
                        <w:t>evaluation has been financed by the European Social Fund</w:t>
                      </w:r>
                      <w:proofErr w:type="gramEnd"/>
                      <w:r w:rsidRPr="009E2F64">
                        <w:rPr>
                          <w:rFonts w:ascii="Arial" w:hAnsi="Arial" w:cs="Arial"/>
                          <w:color w:val="FFFFFF" w:themeColor="background1"/>
                          <w:sz w:val="22"/>
                          <w:szCs w:val="32"/>
                        </w:rPr>
                        <w:t>.</w:t>
                      </w:r>
                    </w:p>
                  </w:txbxContent>
                </v:textbox>
                <w10:wrap type="square" anchorx="margin"/>
              </v:shape>
            </w:pict>
          </mc:Fallback>
        </mc:AlternateContent>
      </w:r>
      <w:r w:rsidR="008916AC" w:rsidRPr="00D65230">
        <w:rPr>
          <w:rFonts w:ascii="Arial" w:hAnsi="Arial" w:cs="Arial"/>
          <w:noProof/>
          <w:lang w:val="lt-LT"/>
        </w:rPr>
        <w:drawing>
          <wp:anchor distT="0" distB="0" distL="114300" distR="114300" simplePos="0" relativeHeight="251730944" behindDoc="0" locked="0" layoutInCell="1" allowOverlap="1" wp14:anchorId="1D640CAF" wp14:editId="2217C6D6">
            <wp:simplePos x="0" y="0"/>
            <wp:positionH relativeFrom="page">
              <wp:posOffset>1477101</wp:posOffset>
            </wp:positionH>
            <wp:positionV relativeFrom="paragraph">
              <wp:posOffset>8834755</wp:posOffset>
            </wp:positionV>
            <wp:extent cx="1079500" cy="61531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615315"/>
                    </a:xfrm>
                    <a:prstGeom prst="rect">
                      <a:avLst/>
                    </a:prstGeom>
                    <a:ln>
                      <a:noFill/>
                    </a:ln>
                  </pic:spPr>
                </pic:pic>
              </a:graphicData>
            </a:graphic>
            <wp14:sizeRelH relativeFrom="margin">
              <wp14:pctWidth>0</wp14:pctWidth>
            </wp14:sizeRelH>
            <wp14:sizeRelV relativeFrom="margin">
              <wp14:pctHeight>0</wp14:pctHeight>
            </wp14:sizeRelV>
          </wp:anchor>
        </w:drawing>
      </w:r>
      <w:r w:rsidR="008916AC" w:rsidRPr="00D65230">
        <w:rPr>
          <w:rFonts w:ascii="Arial" w:hAnsi="Arial" w:cs="Arial"/>
          <w:noProof/>
          <w:lang w:val="lt-LT"/>
        </w:rPr>
        <w:drawing>
          <wp:anchor distT="0" distB="0" distL="114300" distR="114300" simplePos="0" relativeHeight="251731968" behindDoc="0" locked="0" layoutInCell="1" allowOverlap="1" wp14:anchorId="06797971" wp14:editId="289B5C50">
            <wp:simplePos x="0" y="0"/>
            <wp:positionH relativeFrom="margin">
              <wp:posOffset>2357029</wp:posOffset>
            </wp:positionH>
            <wp:positionV relativeFrom="paragraph">
              <wp:posOffset>8917305</wp:posOffset>
            </wp:positionV>
            <wp:extent cx="1475740" cy="413385"/>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75740" cy="413385"/>
                    </a:xfrm>
                    <a:prstGeom prst="rect">
                      <a:avLst/>
                    </a:prstGeom>
                    <a:ln>
                      <a:noFill/>
                    </a:ln>
                  </pic:spPr>
                </pic:pic>
              </a:graphicData>
            </a:graphic>
            <wp14:sizeRelH relativeFrom="margin">
              <wp14:pctWidth>0</wp14:pctWidth>
            </wp14:sizeRelH>
            <wp14:sizeRelV relativeFrom="margin">
              <wp14:pctHeight>0</wp14:pctHeight>
            </wp14:sizeRelV>
          </wp:anchor>
        </w:drawing>
      </w:r>
      <w:r w:rsidR="008916AC" w:rsidRPr="00D65230">
        <w:rPr>
          <w:rFonts w:ascii="Arial" w:hAnsi="Arial" w:cs="Arial"/>
          <w:noProof/>
          <w:lang w:val="lt-LT"/>
        </w:rPr>
        <w:drawing>
          <wp:anchor distT="0" distB="0" distL="114300" distR="114300" simplePos="0" relativeHeight="251732992" behindDoc="0" locked="0" layoutInCell="1" allowOverlap="1" wp14:anchorId="051E2D6D" wp14:editId="5AAFB74C">
            <wp:simplePos x="0" y="0"/>
            <wp:positionH relativeFrom="margin">
              <wp:posOffset>4334601</wp:posOffset>
            </wp:positionH>
            <wp:positionV relativeFrom="paragraph">
              <wp:posOffset>8919845</wp:posOffset>
            </wp:positionV>
            <wp:extent cx="1871980" cy="45212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1980" cy="452120"/>
                    </a:xfrm>
                    <a:prstGeom prst="rect">
                      <a:avLst/>
                    </a:prstGeom>
                    <a:ln>
                      <a:noFill/>
                    </a:ln>
                  </pic:spPr>
                </pic:pic>
              </a:graphicData>
            </a:graphic>
            <wp14:sizeRelH relativeFrom="margin">
              <wp14:pctWidth>0</wp14:pctWidth>
            </wp14:sizeRelH>
            <wp14:sizeRelV relativeFrom="margin">
              <wp14:pctHeight>0</wp14:pctHeight>
            </wp14:sizeRelV>
          </wp:anchor>
        </w:drawing>
      </w:r>
      <w:r w:rsidR="0005537E" w:rsidRPr="00D65230">
        <w:rPr>
          <w:rFonts w:ascii="Arial" w:hAnsi="Arial" w:cs="Arial"/>
          <w:noProof/>
          <w:lang w:val="lt-LT"/>
        </w:rPr>
        <mc:AlternateContent>
          <mc:Choice Requires="wps">
            <w:drawing>
              <wp:anchor distT="0" distB="0" distL="114300" distR="114300" simplePos="0" relativeHeight="251726848" behindDoc="0" locked="0" layoutInCell="1" allowOverlap="1" wp14:anchorId="42DD05EB" wp14:editId="21CE51A4">
                <wp:simplePos x="0" y="0"/>
                <wp:positionH relativeFrom="column">
                  <wp:posOffset>-125095</wp:posOffset>
                </wp:positionH>
                <wp:positionV relativeFrom="margin">
                  <wp:posOffset>8475345</wp:posOffset>
                </wp:positionV>
                <wp:extent cx="6667500" cy="1497218"/>
                <wp:effectExtent l="0" t="0" r="0" b="8255"/>
                <wp:wrapNone/>
                <wp:docPr id="7" name="Rectangle 7"/>
                <wp:cNvGraphicFramePr/>
                <a:graphic xmlns:a="http://schemas.openxmlformats.org/drawingml/2006/main">
                  <a:graphicData uri="http://schemas.microsoft.com/office/word/2010/wordprocessingShape">
                    <wps:wsp>
                      <wps:cNvSpPr/>
                      <wps:spPr>
                        <a:xfrm>
                          <a:off x="0" y="0"/>
                          <a:ext cx="6667500" cy="14972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AD6B" id="Rectangle 7" o:spid="_x0000_s1026" style="position:absolute;margin-left:-9.85pt;margin-top:667.35pt;width:525pt;height:117.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4kQIAAIUFAAAOAAAAZHJzL2Uyb0RvYy54bWysVE1v2zAMvQ/YfxB0Xx0HadIGdYqgRYcB&#10;RVv0Az0rshQLkEVNUuJkv36U5DhtV+ww7CKLIvlIPpO8uNy1mmyF8wpMRcuTESXCcKiVWVf05fnm&#10;2xklPjBTMw1GVHQvPL1cfP1y0dm5GEMDuhaOIIjx885WtAnBzovC80a0zJ+AFQaVElzLAopuXdSO&#10;dYje6mI8Gk2LDlxtHXDhPb5eZyVdJHwpBQ/3UnoRiK4o5hbS6dK5imexuGDztWO2UbxPg/1DFi1T&#10;BoMOUNcsMLJx6g+oVnEHHmQ44dAWIKXiItWA1ZSjD9U8NcyKVAuS4+1Ak/9/sPxu++CIqis6o8Sw&#10;Fn/RI5LGzFoLMov0dNbP0erJPrhe8niNte6ka+MXqyC7ROl+oFTsAuH4OJ1OZ6cjZJ6jrpycz8bl&#10;WUQtju7W+fBdQEvipaIOwycq2fbWh2x6MInRPGhV3yitkxD7RFxpR7YM//BqXfbg76y0ibYGolcG&#10;jC9FrCzXkm5hr0W00+ZRSKQEsx+nRFIzHoMwzoUJZVY1rBY5NlaJdWb4wSMVmgAjssT4A3YP8L6A&#10;A3aG6e2jq0i9PDiP/pZYdh48UmQwYXBulQH3GYDGqvrI2f5AUqYmsrSCeo8N4yBPkrf8RuFvu2U+&#10;PDCHo4O/GtdBuMdDaugqCv2Nkgbcr8/eoz12NGop6XAUK+p/bpgTlOgfBnv9vJxM4uwmYXI6G6Pg&#10;3mpWbzVm014B9kKJi8fydI32QR+u0kH7iltjGaOiihmOsSvKgzsIVyGvCNw7XCyXyQzn1bJwa54s&#10;j+CR1diWz7tX5mzfuwHb/g4OY8vmH1o420ZPA8tNAKlSfx957fnGWU+N0++luEzeysnquD0XvwEA&#10;AP//AwBQSwMEFAAGAAgAAAAhAIJ0dLriAAAADgEAAA8AAABkcnMvZG93bnJldi54bWxMj8FOwzAQ&#10;RO9I/IO1SFxQaxdTCiFOBUhIXDhQKsTRjU1sNV5HsZukfD3bE9xmNU+zM+V6Ci0bbJ98RAWLuQBm&#10;sY7GY6Ng+/EyuwOWskaj24hWwdEmWFfnZ6UuTBzx3Q6b3DAKwVRoBS7nruA81c4Gneaxs0jed+yD&#10;znT2DTe9Hik8tPxaiFsetEf64HRnn52t95tDUPB2lPJ1uJL7cetl43/419Oni0pdXkyPD8CynfIf&#10;DKf6VB0q6rSLBzSJtQpmi/sVoWRIeUPqhAgpJLAdqeVKLIFXJf8/o/oFAAD//wMAUEsBAi0AFAAG&#10;AAgAAAAhALaDOJL+AAAA4QEAABMAAAAAAAAAAAAAAAAAAAAAAFtDb250ZW50X1R5cGVzXS54bWxQ&#10;SwECLQAUAAYACAAAACEAOP0h/9YAAACUAQAACwAAAAAAAAAAAAAAAAAvAQAAX3JlbHMvLnJlbHNQ&#10;SwECLQAUAAYACAAAACEAf1ZWOJECAACFBQAADgAAAAAAAAAAAAAAAAAuAgAAZHJzL2Uyb0RvYy54&#10;bWxQSwECLQAUAAYACAAAACEAgnR0uuIAAAAOAQAADwAAAAAAAAAAAAAAAADrBAAAZHJzL2Rvd25y&#10;ZXYueG1sUEsFBgAAAAAEAAQA8wAAAPoFAAAAAA==&#10;" fillcolor="white [3212]" stroked="f" strokeweight="1pt">
                <w10:wrap anchory="margin"/>
              </v:rect>
            </w:pict>
          </mc:Fallback>
        </mc:AlternateContent>
      </w:r>
      <w:r w:rsidR="0005537E" w:rsidRPr="00D65230">
        <w:rPr>
          <w:rFonts w:ascii="Arial" w:hAnsi="Arial" w:cs="Arial"/>
          <w:noProof/>
          <w:lang w:val="lt-LT"/>
        </w:rPr>
        <mc:AlternateContent>
          <mc:Choice Requires="wps">
            <w:drawing>
              <wp:anchor distT="45720" distB="45720" distL="114300" distR="114300" simplePos="0" relativeHeight="251654144" behindDoc="0" locked="0" layoutInCell="1" allowOverlap="1" wp14:anchorId="57BE46B8" wp14:editId="5BDD2EFA">
                <wp:simplePos x="0" y="0"/>
                <wp:positionH relativeFrom="column">
                  <wp:posOffset>313802</wp:posOffset>
                </wp:positionH>
                <wp:positionV relativeFrom="paragraph">
                  <wp:posOffset>3879850</wp:posOffset>
                </wp:positionV>
                <wp:extent cx="5019675"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04620"/>
                        </a:xfrm>
                        <a:prstGeom prst="rect">
                          <a:avLst/>
                        </a:prstGeom>
                        <a:noFill/>
                        <a:ln w="9525">
                          <a:noFill/>
                          <a:miter lim="800000"/>
                          <a:headEnd/>
                          <a:tailEnd/>
                        </a:ln>
                      </wps:spPr>
                      <wps:txbx>
                        <w:txbxContent>
                          <w:p w:rsidR="00903366" w:rsidRPr="004512AD" w:rsidRDefault="00F705E3" w:rsidP="00E16313">
                            <w:pPr>
                              <w:rPr>
                                <w:rFonts w:ascii="Arial" w:hAnsi="Arial" w:cs="Arial"/>
                                <w:b/>
                                <w:color w:val="FFFFFF" w:themeColor="background1"/>
                                <w:sz w:val="48"/>
                                <w:szCs w:val="48"/>
                              </w:rPr>
                            </w:pPr>
                            <w:r>
                              <w:rPr>
                                <w:rFonts w:ascii="Arial" w:hAnsi="Arial" w:cs="Arial"/>
                                <w:color w:val="FFFFFF" w:themeColor="background1"/>
                                <w:sz w:val="48"/>
                                <w:szCs w:val="48"/>
                              </w:rPr>
                              <w:t xml:space="preserve">Summary of the </w:t>
                            </w:r>
                            <w:r w:rsidR="00903366">
                              <w:rPr>
                                <w:rFonts w:ascii="Arial" w:hAnsi="Arial" w:cs="Arial"/>
                                <w:color w:val="FFFFFF" w:themeColor="background1"/>
                                <w:sz w:val="48"/>
                                <w:szCs w:val="48"/>
                              </w:rPr>
                              <w:t>Final Report</w:t>
                            </w:r>
                          </w:p>
                          <w:p w:rsidR="00903366" w:rsidRPr="00C553FA" w:rsidRDefault="00903366" w:rsidP="00E16313">
                            <w:pPr>
                              <w:rPr>
                                <w:rFonts w:ascii="Arial" w:hAnsi="Arial" w:cs="Arial"/>
                                <w:color w:val="FFFFFF" w:themeColor="background1"/>
                                <w:sz w:val="32"/>
                              </w:rPr>
                            </w:pPr>
                            <w:r>
                              <w:rPr>
                                <w:rFonts w:ascii="Arial" w:hAnsi="Arial" w:cs="Arial"/>
                                <w:color w:val="FFFFFF" w:themeColor="background1"/>
                                <w:sz w:val="32"/>
                              </w:rPr>
                              <w:t>May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E46B8" id="_x0000_s1027" type="#_x0000_t202" style="position:absolute;left:0;text-align:left;margin-left:24.7pt;margin-top:305.5pt;width:395.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6OPEAIAAPsDAAAOAAAAZHJzL2Uyb0RvYy54bWysU9uO2yAQfa/Uf0C8N7ajXDZWnNV2t6kq&#10;bbeVdvsBGOMYFRgKJHb69R1wkkbdt1V5QMDMnJlzZljfDlqRg3BegqloMckpEYZDI82uoj9eth9u&#10;KPGBmYYpMKKiR+Hp7eb9u3VvSzGFDlQjHEEQ48veVrQLwZZZ5nknNPMTsMKgsQWnWcCr22WNYz2i&#10;a5VN83yR9eAa64AL7/H1YTTSTcJvW8HDt7b1IhBVUawtpN2lvY57tlmzcueY7SQ/lcHeUIVm0mDS&#10;C9QDC4zsnXwFpSV34KENEw46g7aVXCQOyKbI/2Hz3DErEhcUx9uLTP7/wfKnw3dHZIO9W1JimMYe&#10;vYghkI8wkGmUp7e+RK9ni35hwGd0TVS9fQT+0xMD9x0zO3HnHPSdYA2WV8TI7Cp0xPERpO6/QoNp&#10;2D5AAhpap6N2qAZBdGzT8dKaWArHx3lerBbLOSUcbcUsny2mqXkZK8/h1vnwWYAm8VBRh71P8Ozw&#10;6EMsh5Vnl5jNwFYqlfqvDOkruppP5yngyqJlwPFUUlf0Jo9rHJjI8pNpUnBgUo1nTKDMiXZkOnIO&#10;Qz2MAp/VrKE5og4OxmnE34OHDtxvSnqcxIr6X3vmBCXqi0EtV8VsFkc3XWbzJRIn7tpSX1uY4QhV&#10;0UDJeLwPadwjZW/vUPOtTGrE5oyVnErGCUsinX5DHOHre/L6+2c3fwAAAP//AwBQSwMEFAAGAAgA&#10;AAAhAM1fSGLfAAAACgEAAA8AAABkcnMvZG93bnJldi54bWxMj01PwkAQhu8m/ofNmHiTbStBWrol&#10;xAAeRWw8L92hbex+ZHcp9d87nPQ2k3nyzvOW60kPbEQfemsEpLMEGJrGqt60AurP3dMSWIjSKDlY&#10;gwJ+MMC6ur8rZaHs1XzgeIwtoxATCimgi9EVnIemQy3DzDo0dDtbr2Wk1bdceXmlcD3wLEkWXMve&#10;0IdOOnztsPk+XrQAF93+5c2/Hzbb3ZjUX/s669utEI8P02YFLOIU/2C46ZM6VOR0shejAhsEzPM5&#10;kQIWaUqdCFg+5zmw023IMuBVyf9XqH4BAAD//wMAUEsBAi0AFAAGAAgAAAAhALaDOJL+AAAA4QEA&#10;ABMAAAAAAAAAAAAAAAAAAAAAAFtDb250ZW50X1R5cGVzXS54bWxQSwECLQAUAAYACAAAACEAOP0h&#10;/9YAAACUAQAACwAAAAAAAAAAAAAAAAAvAQAAX3JlbHMvLnJlbHNQSwECLQAUAAYACAAAACEA+L+j&#10;jxACAAD7AwAADgAAAAAAAAAAAAAAAAAuAgAAZHJzL2Uyb0RvYy54bWxQSwECLQAUAAYACAAAACEA&#10;zV9IYt8AAAAKAQAADwAAAAAAAAAAAAAAAABqBAAAZHJzL2Rvd25yZXYueG1sUEsFBgAAAAAEAAQA&#10;8wAAAHYFAAAAAA==&#10;" filled="f" stroked="f">
                <v:textbox style="mso-fit-shape-to-text:t">
                  <w:txbxContent>
                    <w:p w:rsidR="00903366" w:rsidRPr="004512AD" w:rsidRDefault="00F705E3" w:rsidP="00E16313">
                      <w:pPr>
                        <w:rPr>
                          <w:rFonts w:ascii="Arial" w:hAnsi="Arial" w:cs="Arial"/>
                          <w:b/>
                          <w:color w:val="FFFFFF" w:themeColor="background1"/>
                          <w:sz w:val="48"/>
                          <w:szCs w:val="48"/>
                        </w:rPr>
                      </w:pPr>
                      <w:r>
                        <w:rPr>
                          <w:rFonts w:ascii="Arial" w:hAnsi="Arial" w:cs="Arial"/>
                          <w:color w:val="FFFFFF" w:themeColor="background1"/>
                          <w:sz w:val="48"/>
                          <w:szCs w:val="48"/>
                        </w:rPr>
                        <w:t xml:space="preserve">Summary of the </w:t>
                      </w:r>
                      <w:r w:rsidR="00903366">
                        <w:rPr>
                          <w:rFonts w:ascii="Arial" w:hAnsi="Arial" w:cs="Arial"/>
                          <w:color w:val="FFFFFF" w:themeColor="background1"/>
                          <w:sz w:val="48"/>
                          <w:szCs w:val="48"/>
                        </w:rPr>
                        <w:t>Final Report</w:t>
                      </w:r>
                    </w:p>
                    <w:p w:rsidR="00903366" w:rsidRPr="00C553FA" w:rsidRDefault="00903366" w:rsidP="00E16313">
                      <w:pPr>
                        <w:rPr>
                          <w:rFonts w:ascii="Arial" w:hAnsi="Arial" w:cs="Arial"/>
                          <w:color w:val="FFFFFF" w:themeColor="background1"/>
                          <w:sz w:val="32"/>
                        </w:rPr>
                      </w:pPr>
                      <w:r>
                        <w:rPr>
                          <w:rFonts w:ascii="Arial" w:hAnsi="Arial" w:cs="Arial"/>
                          <w:color w:val="FFFFFF" w:themeColor="background1"/>
                          <w:sz w:val="32"/>
                        </w:rPr>
                        <w:t>May 2017</w:t>
                      </w:r>
                    </w:p>
                  </w:txbxContent>
                </v:textbox>
                <w10:wrap type="square"/>
              </v:shape>
            </w:pict>
          </mc:Fallback>
        </mc:AlternateContent>
      </w:r>
      <w:r w:rsidR="0005537E" w:rsidRPr="00D65230">
        <w:rPr>
          <w:rFonts w:ascii="Arial" w:hAnsi="Arial" w:cs="Arial"/>
          <w:noProof/>
          <w:lang w:val="lt-LT"/>
        </w:rPr>
        <mc:AlternateContent>
          <mc:Choice Requires="wps">
            <w:drawing>
              <wp:anchor distT="45720" distB="45720" distL="114300" distR="114300" simplePos="0" relativeHeight="251652096" behindDoc="0" locked="0" layoutInCell="1" allowOverlap="1" wp14:anchorId="22ACFACB" wp14:editId="77A995BA">
                <wp:simplePos x="0" y="0"/>
                <wp:positionH relativeFrom="page">
                  <wp:posOffset>1357630</wp:posOffset>
                </wp:positionH>
                <wp:positionV relativeFrom="paragraph">
                  <wp:posOffset>1323340</wp:posOffset>
                </wp:positionV>
                <wp:extent cx="5760000" cy="3289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3289300"/>
                        </a:xfrm>
                        <a:prstGeom prst="rect">
                          <a:avLst/>
                        </a:prstGeom>
                        <a:noFill/>
                        <a:ln w="9525">
                          <a:noFill/>
                          <a:miter lim="800000"/>
                          <a:headEnd/>
                          <a:tailEnd/>
                        </a:ln>
                      </wps:spPr>
                      <wps:txbx>
                        <w:txbxContent>
                          <w:p w:rsidR="00903366" w:rsidRPr="00EE02B6" w:rsidRDefault="00903366" w:rsidP="0005537E">
                            <w:pPr>
                              <w:spacing w:before="0" w:after="160" w:line="192" w:lineRule="auto"/>
                              <w:jc w:val="left"/>
                              <w:rPr>
                                <w:rFonts w:ascii="Arial" w:hAnsi="Arial" w:cs="Arial"/>
                                <w:color w:val="FFFFFF" w:themeColor="background1"/>
                                <w:sz w:val="100"/>
                                <w:szCs w:val="100"/>
                              </w:rPr>
                            </w:pPr>
                            <w:r w:rsidRPr="00EE02B6">
                              <w:rPr>
                                <w:rFonts w:ascii="Arial" w:hAnsi="Arial" w:cs="Arial"/>
                                <w:color w:val="FFFFFF" w:themeColor="background1"/>
                                <w:sz w:val="100"/>
                                <w:szCs w:val="100"/>
                              </w:rPr>
                              <w:t xml:space="preserve">Evaluation of </w:t>
                            </w:r>
                            <w:r>
                              <w:rPr>
                                <w:rFonts w:ascii="Arial" w:hAnsi="Arial" w:cs="Arial"/>
                                <w:color w:val="FFFFFF" w:themeColor="background1"/>
                                <w:sz w:val="100"/>
                                <w:szCs w:val="100"/>
                              </w:rPr>
                              <w:t xml:space="preserve">the Use of </w:t>
                            </w:r>
                            <w:r w:rsidRPr="00EE02B6">
                              <w:rPr>
                                <w:rFonts w:ascii="Arial" w:hAnsi="Arial" w:cs="Arial"/>
                                <w:color w:val="FFFFFF" w:themeColor="background1"/>
                                <w:sz w:val="100"/>
                                <w:szCs w:val="100"/>
                              </w:rPr>
                              <w:t xml:space="preserve">EU </w:t>
                            </w:r>
                            <w:r>
                              <w:rPr>
                                <w:rFonts w:ascii="Arial" w:hAnsi="Arial" w:cs="Arial"/>
                                <w:color w:val="FFFFFF" w:themeColor="background1"/>
                                <w:sz w:val="100"/>
                                <w:szCs w:val="100"/>
                              </w:rPr>
                              <w:t>F</w:t>
                            </w:r>
                            <w:r w:rsidRPr="00EE02B6">
                              <w:rPr>
                                <w:rFonts w:ascii="Arial" w:hAnsi="Arial" w:cs="Arial"/>
                                <w:color w:val="FFFFFF" w:themeColor="background1"/>
                                <w:sz w:val="100"/>
                                <w:szCs w:val="100"/>
                              </w:rPr>
                              <w:t>und</w:t>
                            </w:r>
                            <w:r>
                              <w:rPr>
                                <w:rFonts w:ascii="Arial" w:hAnsi="Arial" w:cs="Arial"/>
                                <w:color w:val="FFFFFF" w:themeColor="background1"/>
                                <w:sz w:val="100"/>
                                <w:szCs w:val="100"/>
                              </w:rPr>
                              <w:t>s f</w:t>
                            </w:r>
                            <w:r w:rsidRPr="00EE02B6">
                              <w:rPr>
                                <w:rFonts w:ascii="Arial" w:hAnsi="Arial" w:cs="Arial"/>
                                <w:color w:val="FFFFFF" w:themeColor="background1"/>
                                <w:sz w:val="100"/>
                                <w:szCs w:val="100"/>
                              </w:rPr>
                              <w:t xml:space="preserve">or </w:t>
                            </w:r>
                            <w:r>
                              <w:rPr>
                                <w:rFonts w:ascii="Arial" w:hAnsi="Arial" w:cs="Arial"/>
                                <w:color w:val="FFFFFF" w:themeColor="background1"/>
                                <w:sz w:val="100"/>
                                <w:szCs w:val="100"/>
                              </w:rPr>
                              <w:t>H</w:t>
                            </w:r>
                            <w:r w:rsidRPr="00EE02B6">
                              <w:rPr>
                                <w:rFonts w:ascii="Arial" w:hAnsi="Arial" w:cs="Arial"/>
                                <w:color w:val="FFFFFF" w:themeColor="background1"/>
                                <w:sz w:val="100"/>
                                <w:szCs w:val="100"/>
                              </w:rPr>
                              <w:t xml:space="preserve">ousing </w:t>
                            </w:r>
                            <w:r>
                              <w:rPr>
                                <w:rFonts w:ascii="Arial" w:hAnsi="Arial" w:cs="Arial"/>
                                <w:color w:val="FFFFFF" w:themeColor="background1"/>
                                <w:sz w:val="100"/>
                                <w:szCs w:val="100"/>
                              </w:rPr>
                              <w:t>R</w:t>
                            </w:r>
                            <w:r w:rsidRPr="00EE02B6">
                              <w:rPr>
                                <w:rFonts w:ascii="Arial" w:hAnsi="Arial" w:cs="Arial"/>
                                <w:color w:val="FFFFFF" w:themeColor="background1"/>
                                <w:sz w:val="100"/>
                                <w:szCs w:val="100"/>
                              </w:rPr>
                              <w:t>enovation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CFACB" id="_x0000_s1028" type="#_x0000_t202" style="position:absolute;left:0;text-align:left;margin-left:106.9pt;margin-top:104.2pt;width:453.55pt;height:259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JTDgIAAPwDAAAOAAAAZHJzL2Uyb0RvYy54bWysU9tu2zAMfR+wfxD0vjhxkyYxohRduw4D&#10;ugvQ7gMUWY6FSaImKbGzry8lJ2nQvQ3zgyGK5CHPIbW66Y0me+mDAsvoZDSmRFoBtbJbRn8+P3xY&#10;UBIitzXXYCWjBxnozfr9u1XnKllCC7qWniCIDVXnGG1jdFVRBNFKw8MInLTobMAbHtH026L2vEN0&#10;o4tyPL4uOvC18yBkCHh7PzjpOuM3jRTxe9MEGYlmFHuL+e/zf5P+xXrFq63nrlXi2Ab/hy4MVxaL&#10;nqHueeRk59VfUEYJDwGaOBJgCmgaJWTmgGwm4zdsnlruZOaC4gR3lin8P1jxbf/DE1UzWk7mlFhu&#10;cEjPso/kI/SkTPp0LlQY9uQwMPZ4jXPOXIN7BPErEAt3Lbdbees9dK3kNfY3SZnFReqAExLIpvsK&#10;NZbhuwgZqG+8SeKhHATRcU6H82xSKwIvZ/PrMX6UCPRdlYvlFRqpBq9O6c6H+FmCIenAqMfhZ3i+&#10;fwxxCD2FpGoWHpTWeM8rbUnH6HJWznLChceoiPuplWF0keofNyax/GTrnBy50sMZe9H2SDsxHTjH&#10;ftMPCp/U3EB9QB08DOuIzwcPLfg/lHS4ioyG3zvuJSX6i0Utl5PpNO1uNqazeYmGv/RsLj3cCoRi&#10;NFIyHO9i3veB8i1q3qisRhrO0MmxZVyxrOfxOaQdvrRz1OujXb8AAAD//wMAUEsDBBQABgAIAAAA&#10;IQD1JAEs4AAAAAwBAAAPAAAAZHJzL2Rvd25yZXYueG1sTI/NTsMwEITvSH0Haytxo+uEUNo0ToVA&#10;XEGUH4mbG2+TqPE6it0mvD3uCW472tHMN8V2sp040+BbxwqShQRBXDnTcq3g4/35ZgXCB81Gd45J&#10;wQ952Jazq0Lnxo38RuddqEUMYZ9rBU0IfY7oq4as9gvXE8ffwQ1WhyiHGs2gxxhuO0ylXKLVLceG&#10;Rvf02FB13J2sgs+Xw/dXJl/rJ3vXj26SyHaNSl3Pp4cNiEBT+DPDBT+iQxmZ9u7ExotOQZrcRvQQ&#10;D7nKQFwcSSrXIPYK7tNlBlgW+H9E+QsAAP//AwBQSwECLQAUAAYACAAAACEAtoM4kv4AAADhAQAA&#10;EwAAAAAAAAAAAAAAAAAAAAAAW0NvbnRlbnRfVHlwZXNdLnhtbFBLAQItABQABgAIAAAAIQA4/SH/&#10;1gAAAJQBAAALAAAAAAAAAAAAAAAAAC8BAABfcmVscy8ucmVsc1BLAQItABQABgAIAAAAIQBsqrJT&#10;DgIAAPwDAAAOAAAAAAAAAAAAAAAAAC4CAABkcnMvZTJvRG9jLnhtbFBLAQItABQABgAIAAAAIQD1&#10;JAEs4AAAAAwBAAAPAAAAAAAAAAAAAAAAAGgEAABkcnMvZG93bnJldi54bWxQSwUGAAAAAAQABADz&#10;AAAAdQUAAAAA&#10;" filled="f" stroked="f">
                <v:textbox>
                  <w:txbxContent>
                    <w:p w:rsidR="00903366" w:rsidRPr="00EE02B6" w:rsidRDefault="00903366" w:rsidP="0005537E">
                      <w:pPr>
                        <w:spacing w:before="0" w:after="160" w:line="192" w:lineRule="auto"/>
                        <w:jc w:val="left"/>
                        <w:rPr>
                          <w:rFonts w:ascii="Arial" w:hAnsi="Arial" w:cs="Arial"/>
                          <w:color w:val="FFFFFF" w:themeColor="background1"/>
                          <w:sz w:val="100"/>
                          <w:szCs w:val="100"/>
                        </w:rPr>
                      </w:pPr>
                      <w:r w:rsidRPr="00EE02B6">
                        <w:rPr>
                          <w:rFonts w:ascii="Arial" w:hAnsi="Arial" w:cs="Arial"/>
                          <w:color w:val="FFFFFF" w:themeColor="background1"/>
                          <w:sz w:val="100"/>
                          <w:szCs w:val="100"/>
                        </w:rPr>
                        <w:t xml:space="preserve">Evaluation of </w:t>
                      </w:r>
                      <w:r>
                        <w:rPr>
                          <w:rFonts w:ascii="Arial" w:hAnsi="Arial" w:cs="Arial"/>
                          <w:color w:val="FFFFFF" w:themeColor="background1"/>
                          <w:sz w:val="100"/>
                          <w:szCs w:val="100"/>
                        </w:rPr>
                        <w:t xml:space="preserve">the Use of </w:t>
                      </w:r>
                      <w:r w:rsidRPr="00EE02B6">
                        <w:rPr>
                          <w:rFonts w:ascii="Arial" w:hAnsi="Arial" w:cs="Arial"/>
                          <w:color w:val="FFFFFF" w:themeColor="background1"/>
                          <w:sz w:val="100"/>
                          <w:szCs w:val="100"/>
                        </w:rPr>
                        <w:t xml:space="preserve">EU </w:t>
                      </w:r>
                      <w:r>
                        <w:rPr>
                          <w:rFonts w:ascii="Arial" w:hAnsi="Arial" w:cs="Arial"/>
                          <w:color w:val="FFFFFF" w:themeColor="background1"/>
                          <w:sz w:val="100"/>
                          <w:szCs w:val="100"/>
                        </w:rPr>
                        <w:t>F</w:t>
                      </w:r>
                      <w:r w:rsidRPr="00EE02B6">
                        <w:rPr>
                          <w:rFonts w:ascii="Arial" w:hAnsi="Arial" w:cs="Arial"/>
                          <w:color w:val="FFFFFF" w:themeColor="background1"/>
                          <w:sz w:val="100"/>
                          <w:szCs w:val="100"/>
                        </w:rPr>
                        <w:t>und</w:t>
                      </w:r>
                      <w:r>
                        <w:rPr>
                          <w:rFonts w:ascii="Arial" w:hAnsi="Arial" w:cs="Arial"/>
                          <w:color w:val="FFFFFF" w:themeColor="background1"/>
                          <w:sz w:val="100"/>
                          <w:szCs w:val="100"/>
                        </w:rPr>
                        <w:t>s f</w:t>
                      </w:r>
                      <w:r w:rsidRPr="00EE02B6">
                        <w:rPr>
                          <w:rFonts w:ascii="Arial" w:hAnsi="Arial" w:cs="Arial"/>
                          <w:color w:val="FFFFFF" w:themeColor="background1"/>
                          <w:sz w:val="100"/>
                          <w:szCs w:val="100"/>
                        </w:rPr>
                        <w:t xml:space="preserve">or </w:t>
                      </w:r>
                      <w:r>
                        <w:rPr>
                          <w:rFonts w:ascii="Arial" w:hAnsi="Arial" w:cs="Arial"/>
                          <w:color w:val="FFFFFF" w:themeColor="background1"/>
                          <w:sz w:val="100"/>
                          <w:szCs w:val="100"/>
                        </w:rPr>
                        <w:t>H</w:t>
                      </w:r>
                      <w:r w:rsidRPr="00EE02B6">
                        <w:rPr>
                          <w:rFonts w:ascii="Arial" w:hAnsi="Arial" w:cs="Arial"/>
                          <w:color w:val="FFFFFF" w:themeColor="background1"/>
                          <w:sz w:val="100"/>
                          <w:szCs w:val="100"/>
                        </w:rPr>
                        <w:t xml:space="preserve">ousing </w:t>
                      </w:r>
                      <w:r>
                        <w:rPr>
                          <w:rFonts w:ascii="Arial" w:hAnsi="Arial" w:cs="Arial"/>
                          <w:color w:val="FFFFFF" w:themeColor="background1"/>
                          <w:sz w:val="100"/>
                          <w:szCs w:val="100"/>
                        </w:rPr>
                        <w:t>R</w:t>
                      </w:r>
                      <w:r w:rsidRPr="00EE02B6">
                        <w:rPr>
                          <w:rFonts w:ascii="Arial" w:hAnsi="Arial" w:cs="Arial"/>
                          <w:color w:val="FFFFFF" w:themeColor="background1"/>
                          <w:sz w:val="100"/>
                          <w:szCs w:val="100"/>
                        </w:rPr>
                        <w:t>enovation</w:t>
                      </w:r>
                    </w:p>
                  </w:txbxContent>
                </v:textbox>
                <w10:wrap type="square" anchorx="page"/>
              </v:shape>
            </w:pict>
          </mc:Fallback>
        </mc:AlternateContent>
      </w:r>
      <w:r w:rsidR="00353460" w:rsidRPr="00D65230">
        <w:rPr>
          <w:rFonts w:ascii="Arial" w:hAnsi="Arial" w:cs="Arial"/>
          <w:noProof/>
          <w:lang w:val="lt-LT"/>
        </w:rPr>
        <mc:AlternateContent>
          <mc:Choice Requires="wps">
            <w:drawing>
              <wp:anchor distT="0" distB="0" distL="114300" distR="114300" simplePos="0" relativeHeight="251736064" behindDoc="0" locked="0" layoutInCell="1" allowOverlap="1" wp14:anchorId="1216700F" wp14:editId="368F7DA8">
                <wp:simplePos x="0" y="0"/>
                <wp:positionH relativeFrom="page">
                  <wp:posOffset>0</wp:posOffset>
                </wp:positionH>
                <wp:positionV relativeFrom="paragraph">
                  <wp:posOffset>-900430</wp:posOffset>
                </wp:positionV>
                <wp:extent cx="962025" cy="10896600"/>
                <wp:effectExtent l="0" t="0" r="9525" b="0"/>
                <wp:wrapNone/>
                <wp:docPr id="15" name="Rectangle 15"/>
                <wp:cNvGraphicFramePr/>
                <a:graphic xmlns:a="http://schemas.openxmlformats.org/drawingml/2006/main">
                  <a:graphicData uri="http://schemas.microsoft.com/office/word/2010/wordprocessingShape">
                    <wps:wsp>
                      <wps:cNvSpPr/>
                      <wps:spPr>
                        <a:xfrm>
                          <a:off x="0" y="0"/>
                          <a:ext cx="962025" cy="10896600"/>
                        </a:xfrm>
                        <a:prstGeom prst="rect">
                          <a:avLst/>
                        </a:prstGeom>
                        <a:solidFill>
                          <a:srgbClr val="0033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7BD29" id="Rectangle 15" o:spid="_x0000_s1026" style="position:absolute;margin-left:0;margin-top:-70.9pt;width:75.75pt;height:858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JnmgIAAIgFAAAOAAAAZHJzL2Uyb0RvYy54bWysVEtv2zAMvg/YfxB0X+2kbdYGdYqgRYcB&#10;RRu0HXpWZCk2IIsapcTJfv0o+dHHih2G5aCIIvmR/Ezy4nLfGLZT6GuwBZ8c5ZwpK6Gs7abgP55u&#10;vpxx5oOwpTBgVcEPyvPLxedPF62bqylUYEqFjECsn7eu4FUIbp5lXlaqEf4InLKk1ICNCCTiJitR&#10;tITemGya57OsBSwdglTe0+t1p+SLhK+1kuFea68CMwWn3EI6MZ3reGaLCzHfoHBVLfs0xD9k0Yja&#10;UtAR6loEwbZY/wHV1BLBgw5HEpoMtK6lSjVQNZP8XTWPlXAq1ULkeDfS5P8frLzbrZDVJX27U86s&#10;aOgbPRBrwm6MYvRGBLXOz8nu0a2wlzxdY7V7jU38pzrYPpF6GElV+8AkPZ7PpvmUsCWpJvnZ+WyW&#10;J9qzF3eHPnxT0LB4KThS/ESm2N36QCHJdDCJ0TyYurypjUkCbtZXBtlOxC+cHx+fXcecyeWNmbHR&#10;2EJ069TxJYuldcWkWzgYFe2MfVCaWKH0pymT1I9qjCOkVDZMOlUlStWFP83pN0SPHRw9Ui4JMCJr&#10;ij9i9wCDZQcyYHdZ9vbRVaV2Hp3zvyXWOY8eKTLYMDo3tQX8CMBQVX3kzn4gqaMmsrSG8kA9g9AN&#10;k3fypqbvdit8WAmk6aE5o40Q7unQBtqCQ3/jrAL89dF7tKemJi1nLU1jwf3PrUDFmfluqd3PJycn&#10;cXyTcHL6dUoCvtasX2vstrkCaocJ7R4n0zXaBzNcNULzTItjGaOSSlhJsQsuAw7CVei2BK0eqZbL&#10;ZEYj60S4tY9ORvDIauzLp/2zQNc3b6C+v4NhcsX8XQ93ttHTwnIbQNepwV947fmmcU+N06+muE9e&#10;y8nqZYEufgMAAP//AwBQSwMEFAAGAAgAAAAhAAxB80PfAAAACgEAAA8AAABkcnMvZG93bnJldi54&#10;bWxMj01Pg0AQhu8m/ofNmHhrFwj4gSyNqTHGk2npxduUHQFlZwm7LfTfu5z0NpN38s7zFJvZ9OJM&#10;o+ssK4jXEQji2uqOGwWH6nX1AMJ5ZI29ZVJwIQeb8vqqwFzbiXd03vtGhBJ2OSpovR9yKV3dkkG3&#10;tgNxyL7saNCHdWykHnEK5aaXSRTdSYMdhw8tDrRtqf7Zn4yCofpMk+jlbfuI00dWXb6Tg3s3St3e&#10;zM9PIDzN/u8YFvyADmVgOtoTayd6BUHEK1jFaRwMljyLMxDHZbhPE5BlIf8rlL8AAAD//wMAUEsB&#10;Ai0AFAAGAAgAAAAhALaDOJL+AAAA4QEAABMAAAAAAAAAAAAAAAAAAAAAAFtDb250ZW50X1R5cGVz&#10;XS54bWxQSwECLQAUAAYACAAAACEAOP0h/9YAAACUAQAACwAAAAAAAAAAAAAAAAAvAQAAX3JlbHMv&#10;LnJlbHNQSwECLQAUAAYACAAAACEARHByZ5oCAACIBQAADgAAAAAAAAAAAAAAAAAuAgAAZHJzL2Uy&#10;b0RvYy54bWxQSwECLQAUAAYACAAAACEADEHzQ98AAAAKAQAADwAAAAAAAAAAAAAAAAD0BAAAZHJz&#10;L2Rvd25yZXYueG1sUEsFBgAAAAAEAAQA8wAAAAAGAAAAAA==&#10;" fillcolor="#00338d" stroked="f" strokeweight="1pt">
                <w10:wrap anchorx="page"/>
              </v:rect>
            </w:pict>
          </mc:Fallback>
        </mc:AlternateContent>
      </w:r>
      <w:r w:rsidR="00353460" w:rsidRPr="00D65230">
        <w:rPr>
          <w:rFonts w:ascii="Arial" w:hAnsi="Arial" w:cs="Arial"/>
          <w:noProof/>
          <w:lang w:val="lt-LT"/>
        </w:rPr>
        <mc:AlternateContent>
          <mc:Choice Requires="wps">
            <w:drawing>
              <wp:anchor distT="0" distB="0" distL="114300" distR="114300" simplePos="0" relativeHeight="251651071" behindDoc="0" locked="0" layoutInCell="1" allowOverlap="1" wp14:anchorId="7C062DB2" wp14:editId="39D46169">
                <wp:simplePos x="0" y="0"/>
                <wp:positionH relativeFrom="margin">
                  <wp:posOffset>-365125</wp:posOffset>
                </wp:positionH>
                <wp:positionV relativeFrom="margin">
                  <wp:posOffset>-900430</wp:posOffset>
                </wp:positionV>
                <wp:extent cx="6845300" cy="10771909"/>
                <wp:effectExtent l="0" t="0" r="12700" b="10795"/>
                <wp:wrapNone/>
                <wp:docPr id="16" name="Rectangle 16"/>
                <wp:cNvGraphicFramePr/>
                <a:graphic xmlns:a="http://schemas.openxmlformats.org/drawingml/2006/main">
                  <a:graphicData uri="http://schemas.microsoft.com/office/word/2010/wordprocessingShape">
                    <wps:wsp>
                      <wps:cNvSpPr/>
                      <wps:spPr>
                        <a:xfrm>
                          <a:off x="0" y="0"/>
                          <a:ext cx="6845300" cy="10771909"/>
                        </a:xfrm>
                        <a:prstGeom prst="rect">
                          <a:avLst/>
                        </a:prstGeom>
                        <a:solidFill>
                          <a:srgbClr val="0091D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A3B61" id="Rectangle 16" o:spid="_x0000_s1026" style="position:absolute;margin-left:-28.75pt;margin-top:-70.9pt;width:539pt;height:848.2pt;z-index:25165107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jjgIAAHEFAAAOAAAAZHJzL2Uyb0RvYy54bWysVEtv2zAMvg/YfxB0X21n6SNBnSJo0WFA&#10;0RZth54VWUoMyKJGKXGyXz9KfjToih2G+SCTIvnxIZKXV/vGsJ1CX4MteXGSc6ashKq265L/eLn9&#10;csGZD8JWwoBVJT8oz68Wnz9dtm6uJrABUylkBGL9vHUl34Tg5lnm5UY1wp+AU5aEGrARgVhcZxWK&#10;ltAbk03y/CxrASuHIJX3dHvTCfki4WutZHjQ2qvATMkptpBOTOcqntniUszXKNymln0Y4h+iaERt&#10;yekIdSOCYFus/4BqaongQYcTCU0GWtdSpRwomyJ/l83zRjiVcqHieDeWyf8/WHm/e0RWV/R2Z5xZ&#10;0dAbPVHVhF0bxeiOCtQ6Pye9Z/eIPeeJjNnuNTbxT3mwfSrqYSyq2gcm6fLsYnr6NafaS5IV+fl5&#10;MctnETZ7s3fowzcFDYtEyZECSNUUuzsfOtVBJbrzYOrqtjYmMbheXRtkOxGfOJ8VN8se/Ugtizl0&#10;UScqHIyKxsY+KU3pU5yT5DE1nhrxhJTKhqITbUSlOjenOX2Dl9iq0SJllAAjsqbwRuweYNDsQAbs&#10;Lr9eP5qq1Lejcf63wDrj0SJ5BhtG46a2gB8BGMqq99zpU/hHpYnkCqoDNQdCNzXeydua3udO+PAo&#10;kMaEHpVGPzzQoQ20JYee4mwD+Ouj+6hP3UtSzloau5L7n1uBijPz3VJfz4rpNM5pYqan5xNi8Fiy&#10;OpbYbXMN9OwFLRknExn1gxlIjdC80oZYRq8kElaS75LLgANzHbp1QDtGquUyqdFsOhHu7LOTETxW&#10;Nfbfy/5VoOubNFCD38MwomL+rlc73WhpYbkNoOvUyG917etNc50ap99BcXEc80nrbVMufgMAAP//&#10;AwBQSwMEFAAGAAgAAAAhAHdQpLviAAAADgEAAA8AAABkcnMvZG93bnJldi54bWxMj8FOwzAQRO9I&#10;/IO1SNxaO1VcUIhTIaQeKKISKQeOTrxNosZ2FDtt+vdsT3Cb3R3Nvsk3s+3ZGcfQeacgWQpg6Gpv&#10;Otco+D5sF8/AQtTO6N47VHDFAJvi/i7XmfEX94XnMjaMQlzItII2xiHjPNQtWh2WfkBHt6MfrY40&#10;jg03o75QuO35Sog1t7pz9KHVA761WJ/KySrAa7k77H724v3ztI28Ok4y/dgr9fgwv74AizjHPzPc&#10;8AkdCmKq/ORMYL2ChXySZCWRpAmVuFnEStCuIiVlugZe5Px/jeIXAAD//wMAUEsBAi0AFAAGAAgA&#10;AAAhALaDOJL+AAAA4QEAABMAAAAAAAAAAAAAAAAAAAAAAFtDb250ZW50X1R5cGVzXS54bWxQSwEC&#10;LQAUAAYACAAAACEAOP0h/9YAAACUAQAACwAAAAAAAAAAAAAAAAAvAQAAX3JlbHMvLnJlbHNQSwEC&#10;LQAUAAYACAAAACEAL/qw444CAABxBQAADgAAAAAAAAAAAAAAAAAuAgAAZHJzL2Uyb0RvYy54bWxQ&#10;SwECLQAUAAYACAAAACEAd1Cku+IAAAAOAQAADwAAAAAAAAAAAAAAAADoBAAAZHJzL2Rvd25yZXYu&#10;eG1sUEsFBgAAAAAEAAQA8wAAAPcFAAAAAA==&#10;" fillcolor="#0091da" strokecolor="#1f4d78 [1604]" strokeweight="1pt">
                <w10:wrap anchorx="margin" anchory="margin"/>
              </v:rect>
            </w:pict>
          </mc:Fallback>
        </mc:AlternateContent>
      </w:r>
      <w:r w:rsidR="00301C60" w:rsidRPr="00D65230">
        <w:rPr>
          <w:rFonts w:ascii="Arial" w:hAnsi="Arial" w:cs="Arial"/>
        </w:rPr>
        <w:br w:type="page"/>
      </w:r>
      <w:bookmarkStart w:id="0" w:name="_GoBack"/>
      <w:bookmarkEnd w:id="0"/>
    </w:p>
    <w:p w:rsidR="003D2DC7" w:rsidRPr="00D65230" w:rsidRDefault="003D2DC7" w:rsidP="003D2DC7">
      <w:pPr>
        <w:pStyle w:val="Heading1"/>
        <w:numPr>
          <w:ilvl w:val="0"/>
          <w:numId w:val="0"/>
        </w:numPr>
        <w:ind w:left="567" w:hanging="567"/>
        <w:rPr>
          <w:rFonts w:ascii="Arial" w:hAnsi="Arial" w:cs="Arial"/>
        </w:rPr>
      </w:pPr>
      <w:bookmarkStart w:id="1" w:name="_Toc481749430"/>
      <w:r w:rsidRPr="00D65230">
        <w:rPr>
          <w:rFonts w:ascii="Arial" w:hAnsi="Arial" w:cs="Arial"/>
        </w:rPr>
        <w:lastRenderedPageBreak/>
        <w:t>S</w:t>
      </w:r>
      <w:bookmarkEnd w:id="1"/>
      <w:r w:rsidR="0055003D" w:rsidRPr="00D65230">
        <w:rPr>
          <w:rFonts w:ascii="Arial" w:hAnsi="Arial" w:cs="Arial"/>
        </w:rPr>
        <w:t>UMMARY</w:t>
      </w:r>
    </w:p>
    <w:p w:rsidR="0055003D" w:rsidRPr="00D65230" w:rsidRDefault="00B43F43" w:rsidP="004A2D94">
      <w:pPr>
        <w:spacing w:before="120"/>
        <w:rPr>
          <w:rFonts w:ascii="Arial" w:hAnsi="Arial" w:cs="Arial"/>
          <w:color w:val="000000" w:themeColor="text1"/>
        </w:rPr>
      </w:pPr>
      <w:bookmarkStart w:id="2" w:name="_Toc476908263"/>
      <w:bookmarkStart w:id="3" w:name="_Toc476908579"/>
      <w:bookmarkStart w:id="4" w:name="_Toc476908655"/>
      <w:bookmarkStart w:id="5" w:name="_Toc476908722"/>
      <w:bookmarkStart w:id="6" w:name="_Toc476908789"/>
      <w:bookmarkStart w:id="7" w:name="_Toc476908949"/>
      <w:bookmarkStart w:id="8" w:name="_Toc476909016"/>
      <w:bookmarkStart w:id="9" w:name="_Toc476909450"/>
      <w:bookmarkStart w:id="10" w:name="_Toc476909564"/>
      <w:bookmarkStart w:id="11" w:name="_Toc476909613"/>
      <w:bookmarkStart w:id="12" w:name="_Toc476909664"/>
      <w:bookmarkStart w:id="13" w:name="_Toc476909733"/>
      <w:r w:rsidRPr="00D65230">
        <w:rPr>
          <w:rFonts w:ascii="Arial" w:hAnsi="Arial" w:cs="Arial"/>
          <w:color w:val="000000" w:themeColor="text1"/>
        </w:rPr>
        <w:t xml:space="preserve">The present </w:t>
      </w:r>
      <w:r w:rsidR="0055003D" w:rsidRPr="00D65230">
        <w:rPr>
          <w:rFonts w:ascii="Arial" w:hAnsi="Arial" w:cs="Arial"/>
          <w:color w:val="000000" w:themeColor="text1"/>
        </w:rPr>
        <w:t>Evaluation o</w:t>
      </w:r>
      <w:r w:rsidRPr="00D65230">
        <w:rPr>
          <w:rFonts w:ascii="Arial" w:hAnsi="Arial" w:cs="Arial"/>
          <w:color w:val="000000" w:themeColor="text1"/>
        </w:rPr>
        <w:t>f</w:t>
      </w:r>
      <w:r w:rsidR="0055003D" w:rsidRPr="00D65230">
        <w:rPr>
          <w:rFonts w:ascii="Arial" w:hAnsi="Arial" w:cs="Arial"/>
          <w:color w:val="000000" w:themeColor="text1"/>
        </w:rPr>
        <w:t xml:space="preserve"> </w:t>
      </w:r>
      <w:r w:rsidRPr="00D65230">
        <w:rPr>
          <w:rFonts w:ascii="Arial" w:hAnsi="Arial" w:cs="Arial"/>
          <w:color w:val="000000" w:themeColor="text1"/>
        </w:rPr>
        <w:t xml:space="preserve">the Use of </w:t>
      </w:r>
      <w:r w:rsidR="0055003D" w:rsidRPr="00D65230">
        <w:rPr>
          <w:rFonts w:ascii="Arial" w:hAnsi="Arial" w:cs="Arial"/>
          <w:color w:val="000000" w:themeColor="text1"/>
        </w:rPr>
        <w:t xml:space="preserve">EU </w:t>
      </w:r>
      <w:r w:rsidRPr="00D65230">
        <w:rPr>
          <w:rFonts w:ascii="Arial" w:hAnsi="Arial" w:cs="Arial"/>
          <w:color w:val="000000" w:themeColor="text1"/>
        </w:rPr>
        <w:t>S</w:t>
      </w:r>
      <w:r w:rsidR="0055003D" w:rsidRPr="00D65230">
        <w:rPr>
          <w:rFonts w:ascii="Arial" w:hAnsi="Arial" w:cs="Arial"/>
          <w:color w:val="000000" w:themeColor="text1"/>
        </w:rPr>
        <w:t xml:space="preserve">tructural </w:t>
      </w:r>
      <w:r w:rsidRPr="00D65230">
        <w:rPr>
          <w:rFonts w:ascii="Arial" w:hAnsi="Arial" w:cs="Arial"/>
          <w:color w:val="000000" w:themeColor="text1"/>
        </w:rPr>
        <w:t>F</w:t>
      </w:r>
      <w:r w:rsidR="0055003D" w:rsidRPr="00D65230">
        <w:rPr>
          <w:rFonts w:ascii="Arial" w:hAnsi="Arial" w:cs="Arial"/>
          <w:color w:val="000000" w:themeColor="text1"/>
        </w:rPr>
        <w:t xml:space="preserve">unds for </w:t>
      </w:r>
      <w:r w:rsidRPr="00D65230">
        <w:rPr>
          <w:rFonts w:ascii="Arial" w:hAnsi="Arial" w:cs="Arial"/>
          <w:color w:val="000000" w:themeColor="text1"/>
        </w:rPr>
        <w:t>Housing R</w:t>
      </w:r>
      <w:r w:rsidR="0055003D" w:rsidRPr="00D65230">
        <w:rPr>
          <w:rFonts w:ascii="Arial" w:hAnsi="Arial" w:cs="Arial"/>
          <w:color w:val="000000" w:themeColor="text1"/>
        </w:rPr>
        <w:t xml:space="preserve">enovation </w:t>
      </w:r>
      <w:r w:rsidRPr="00D65230">
        <w:rPr>
          <w:rFonts w:ascii="Arial" w:hAnsi="Arial" w:cs="Arial"/>
          <w:color w:val="000000" w:themeColor="text1"/>
        </w:rPr>
        <w:t xml:space="preserve">has been carried out by </w:t>
      </w:r>
      <w:r w:rsidR="0055003D" w:rsidRPr="00D65230">
        <w:rPr>
          <w:rFonts w:ascii="Arial" w:hAnsi="Arial" w:cs="Arial"/>
          <w:color w:val="000000" w:themeColor="text1"/>
        </w:rPr>
        <w:t>KPMG Baltics, UAB, KPMG Advisory, Ltd., Ekotermija, UAB and Glimstedt</w:t>
      </w:r>
      <w:r w:rsidRPr="00D65230">
        <w:rPr>
          <w:rFonts w:ascii="Arial" w:hAnsi="Arial" w:cs="Arial"/>
          <w:color w:val="000000" w:themeColor="text1"/>
        </w:rPr>
        <w:t xml:space="preserve"> Law Firm to cover the </w:t>
      </w:r>
      <w:r w:rsidR="0055003D" w:rsidRPr="00D65230">
        <w:rPr>
          <w:rFonts w:ascii="Arial" w:hAnsi="Arial" w:cs="Arial"/>
          <w:color w:val="000000" w:themeColor="text1"/>
        </w:rPr>
        <w:t>period from November 2016 to May 2017.</w:t>
      </w:r>
    </w:p>
    <w:p w:rsidR="004A2D94" w:rsidRPr="00D65230" w:rsidRDefault="000B57E2" w:rsidP="004A2D94">
      <w:pPr>
        <w:spacing w:before="120"/>
        <w:rPr>
          <w:rFonts w:ascii="Arial" w:hAnsi="Arial" w:cs="Arial"/>
          <w:b/>
          <w:color w:val="00338D"/>
          <w:sz w:val="28"/>
        </w:rPr>
      </w:pPr>
      <w:r w:rsidRPr="00D65230">
        <w:rPr>
          <w:rFonts w:ascii="Arial" w:hAnsi="Arial" w:cs="Arial"/>
          <w:b/>
          <w:color w:val="00338D"/>
          <w:sz w:val="28"/>
        </w:rPr>
        <w:t xml:space="preserve">Evaluation </w:t>
      </w:r>
      <w:r w:rsidR="0055003D" w:rsidRPr="00D65230">
        <w:rPr>
          <w:rFonts w:ascii="Arial" w:hAnsi="Arial" w:cs="Arial"/>
          <w:b/>
          <w:color w:val="00338D"/>
          <w:sz w:val="28"/>
        </w:rPr>
        <w:t>Basis</w:t>
      </w:r>
    </w:p>
    <w:bookmarkEnd w:id="2"/>
    <w:bookmarkEnd w:id="3"/>
    <w:bookmarkEnd w:id="4"/>
    <w:bookmarkEnd w:id="5"/>
    <w:bookmarkEnd w:id="6"/>
    <w:bookmarkEnd w:id="7"/>
    <w:bookmarkEnd w:id="8"/>
    <w:bookmarkEnd w:id="9"/>
    <w:bookmarkEnd w:id="10"/>
    <w:bookmarkEnd w:id="11"/>
    <w:bookmarkEnd w:id="12"/>
    <w:bookmarkEnd w:id="13"/>
    <w:p w:rsidR="0055003D" w:rsidRPr="00D65230" w:rsidRDefault="0055003D" w:rsidP="00C06377">
      <w:pPr>
        <w:rPr>
          <w:rFonts w:ascii="Arial" w:hAnsi="Arial" w:cs="Arial"/>
        </w:rPr>
      </w:pPr>
      <w:r w:rsidRPr="00D65230">
        <w:rPr>
          <w:rFonts w:ascii="Arial" w:hAnsi="Arial" w:cs="Arial"/>
        </w:rPr>
        <w:t>On 23 September 2004</w:t>
      </w:r>
      <w:r w:rsidR="00B43F43" w:rsidRPr="00D65230">
        <w:rPr>
          <w:rFonts w:ascii="Arial" w:hAnsi="Arial" w:cs="Arial"/>
        </w:rPr>
        <w:t xml:space="preserve">, the Programme </w:t>
      </w:r>
      <w:r w:rsidR="00585A9A" w:rsidRPr="00D65230">
        <w:rPr>
          <w:rFonts w:ascii="Arial" w:hAnsi="Arial" w:cs="Arial"/>
        </w:rPr>
        <w:t xml:space="preserve">for </w:t>
      </w:r>
      <w:r w:rsidR="00B43F43" w:rsidRPr="00D65230">
        <w:rPr>
          <w:rFonts w:ascii="Arial" w:hAnsi="Arial" w:cs="Arial"/>
        </w:rPr>
        <w:t>Multi-Apartment Buildings Modernization (hereinafter – Program</w:t>
      </w:r>
      <w:r w:rsidR="00585A9A" w:rsidRPr="00D65230">
        <w:rPr>
          <w:rFonts w:ascii="Arial" w:hAnsi="Arial" w:cs="Arial"/>
        </w:rPr>
        <w:t>me</w:t>
      </w:r>
      <w:r w:rsidR="00B43F43" w:rsidRPr="00D65230">
        <w:rPr>
          <w:rFonts w:ascii="Arial" w:hAnsi="Arial" w:cs="Arial"/>
        </w:rPr>
        <w:t>)</w:t>
      </w:r>
      <w:r w:rsidR="00585A9A" w:rsidRPr="00D65230">
        <w:rPr>
          <w:rFonts w:ascii="Arial" w:hAnsi="Arial" w:cs="Arial"/>
        </w:rPr>
        <w:t xml:space="preserve"> was approved by </w:t>
      </w:r>
      <w:r w:rsidR="00B43F43" w:rsidRPr="00D65230">
        <w:rPr>
          <w:rFonts w:ascii="Arial" w:hAnsi="Arial" w:cs="Arial"/>
        </w:rPr>
        <w:t>t</w:t>
      </w:r>
      <w:r w:rsidRPr="00D65230">
        <w:rPr>
          <w:rFonts w:ascii="Arial" w:hAnsi="Arial" w:cs="Arial"/>
        </w:rPr>
        <w:t xml:space="preserve">he Government of the Republic of Lithuania (hereinafter – LRV) by </w:t>
      </w:r>
      <w:r w:rsidR="00585A9A" w:rsidRPr="00D65230">
        <w:rPr>
          <w:rFonts w:ascii="Arial" w:hAnsi="Arial" w:cs="Arial"/>
        </w:rPr>
        <w:t>R</w:t>
      </w:r>
      <w:r w:rsidRPr="00D65230">
        <w:rPr>
          <w:rFonts w:ascii="Arial" w:hAnsi="Arial" w:cs="Arial"/>
        </w:rPr>
        <w:t>esolution No 1213</w:t>
      </w:r>
      <w:r w:rsidR="00585A9A" w:rsidRPr="00D65230">
        <w:rPr>
          <w:rFonts w:ascii="Arial" w:hAnsi="Arial" w:cs="Arial"/>
        </w:rPr>
        <w:t>.</w:t>
      </w:r>
      <w:r w:rsidRPr="00D65230">
        <w:rPr>
          <w:rFonts w:ascii="Arial" w:hAnsi="Arial" w:cs="Arial"/>
        </w:rPr>
        <w:t xml:space="preserve"> </w:t>
      </w:r>
      <w:r w:rsidR="00585A9A" w:rsidRPr="00D65230">
        <w:rPr>
          <w:rFonts w:ascii="Arial" w:hAnsi="Arial" w:cs="Arial"/>
        </w:rPr>
        <w:t>Under the Programme, EUR 94.1</w:t>
      </w:r>
      <w:r w:rsidR="008A1D95" w:rsidRPr="00D65230">
        <w:rPr>
          <w:rFonts w:ascii="Arial" w:hAnsi="Arial" w:cs="Arial"/>
        </w:rPr>
        <w:t xml:space="preserve">M </w:t>
      </w:r>
      <w:r w:rsidR="00585A9A" w:rsidRPr="00D65230">
        <w:rPr>
          <w:rFonts w:ascii="Arial" w:hAnsi="Arial" w:cs="Arial"/>
        </w:rPr>
        <w:t xml:space="preserve">was invested in </w:t>
      </w:r>
      <w:r w:rsidR="00C11C20" w:rsidRPr="00D65230">
        <w:rPr>
          <w:rFonts w:ascii="Arial" w:hAnsi="Arial" w:cs="Arial"/>
        </w:rPr>
        <w:t>renovation</w:t>
      </w:r>
      <w:r w:rsidR="00585A9A" w:rsidRPr="00D65230">
        <w:rPr>
          <w:rFonts w:ascii="Arial" w:hAnsi="Arial" w:cs="Arial"/>
        </w:rPr>
        <w:t xml:space="preserve"> of buildings </w:t>
      </w:r>
      <w:r w:rsidR="00D47B0E" w:rsidRPr="00D65230">
        <w:rPr>
          <w:rFonts w:ascii="Arial" w:hAnsi="Arial" w:cs="Arial"/>
        </w:rPr>
        <w:t xml:space="preserve">during </w:t>
      </w:r>
      <w:r w:rsidRPr="00D65230">
        <w:rPr>
          <w:rFonts w:ascii="Arial" w:hAnsi="Arial" w:cs="Arial"/>
        </w:rPr>
        <w:t>the period from 2005 to 2010. Considering the State</w:t>
      </w:r>
      <w:r w:rsidR="00080344" w:rsidRPr="00D65230">
        <w:rPr>
          <w:rFonts w:ascii="Arial" w:hAnsi="Arial" w:cs="Arial"/>
        </w:rPr>
        <w:t xml:space="preserve">’s </w:t>
      </w:r>
      <w:r w:rsidR="00AD52B2" w:rsidRPr="00D65230">
        <w:rPr>
          <w:rFonts w:ascii="Arial" w:hAnsi="Arial" w:cs="Arial"/>
        </w:rPr>
        <w:t xml:space="preserve">limited </w:t>
      </w:r>
      <w:r w:rsidR="00080344" w:rsidRPr="00D65230">
        <w:rPr>
          <w:rFonts w:ascii="Arial" w:hAnsi="Arial" w:cs="Arial"/>
        </w:rPr>
        <w:t xml:space="preserve">budget </w:t>
      </w:r>
      <w:r w:rsidR="00AD52B2" w:rsidRPr="00D65230">
        <w:rPr>
          <w:rFonts w:ascii="Arial" w:hAnsi="Arial" w:cs="Arial"/>
        </w:rPr>
        <w:t xml:space="preserve">funds </w:t>
      </w:r>
      <w:r w:rsidRPr="00D65230">
        <w:rPr>
          <w:rFonts w:ascii="Arial" w:hAnsi="Arial" w:cs="Arial"/>
        </w:rPr>
        <w:t xml:space="preserve">and </w:t>
      </w:r>
      <w:r w:rsidR="00585A9A" w:rsidRPr="00D65230">
        <w:rPr>
          <w:rFonts w:ascii="Arial" w:hAnsi="Arial" w:cs="Arial"/>
        </w:rPr>
        <w:t xml:space="preserve">a </w:t>
      </w:r>
      <w:r w:rsidRPr="00D65230">
        <w:rPr>
          <w:rFonts w:ascii="Arial" w:hAnsi="Arial" w:cs="Arial"/>
        </w:rPr>
        <w:t xml:space="preserve">relatively complicated economic situation because of </w:t>
      </w:r>
      <w:r w:rsidR="00585A9A" w:rsidRPr="00D65230">
        <w:rPr>
          <w:rFonts w:ascii="Arial" w:hAnsi="Arial" w:cs="Arial"/>
        </w:rPr>
        <w:t xml:space="preserve">a </w:t>
      </w:r>
      <w:r w:rsidRPr="00D65230">
        <w:rPr>
          <w:rFonts w:ascii="Arial" w:hAnsi="Arial" w:cs="Arial"/>
        </w:rPr>
        <w:t xml:space="preserve">global crisis, it was decided to </w:t>
      </w:r>
      <w:r w:rsidR="008A1D95" w:rsidRPr="00D65230">
        <w:rPr>
          <w:rFonts w:ascii="Arial" w:hAnsi="Arial" w:cs="Arial"/>
        </w:rPr>
        <w:t xml:space="preserve">make </w:t>
      </w:r>
      <w:r w:rsidRPr="00D65230">
        <w:rPr>
          <w:rFonts w:ascii="Arial" w:hAnsi="Arial" w:cs="Arial"/>
        </w:rPr>
        <w:t xml:space="preserve">use </w:t>
      </w:r>
      <w:r w:rsidR="008A1D95" w:rsidRPr="00D65230">
        <w:rPr>
          <w:rFonts w:ascii="Arial" w:hAnsi="Arial" w:cs="Arial"/>
        </w:rPr>
        <w:t xml:space="preserve">of the EU Structural Support Funds for </w:t>
      </w:r>
      <w:r w:rsidRPr="00D65230">
        <w:rPr>
          <w:rFonts w:ascii="Arial" w:hAnsi="Arial" w:cs="Arial"/>
        </w:rPr>
        <w:t xml:space="preserve">2007-2013. According to </w:t>
      </w:r>
      <w:r w:rsidR="008A1D95" w:rsidRPr="00D65230">
        <w:rPr>
          <w:rFonts w:ascii="Arial" w:hAnsi="Arial" w:cs="Arial"/>
        </w:rPr>
        <w:t xml:space="preserve">Measure </w:t>
      </w:r>
      <w:r w:rsidR="00AF4525" w:rsidRPr="00D65230">
        <w:rPr>
          <w:rFonts w:ascii="Arial" w:hAnsi="Arial" w:cs="Arial"/>
        </w:rPr>
        <w:t xml:space="preserve">No </w:t>
      </w:r>
      <w:r w:rsidR="008A1D95" w:rsidRPr="00D65230">
        <w:rPr>
          <w:rFonts w:ascii="Arial" w:hAnsi="Arial" w:cs="Arial"/>
        </w:rPr>
        <w:t xml:space="preserve">VP-1.1-AM-01-V (hereinafter – </w:t>
      </w:r>
      <w:r w:rsidR="000D06ED" w:rsidRPr="00D65230">
        <w:rPr>
          <w:rFonts w:ascii="Arial" w:hAnsi="Arial" w:cs="Arial"/>
        </w:rPr>
        <w:t>Measure JKF</w:t>
      </w:r>
      <w:r w:rsidR="008A1D95" w:rsidRPr="00D65230">
        <w:rPr>
          <w:rFonts w:ascii="Arial" w:hAnsi="Arial" w:cs="Arial"/>
        </w:rPr>
        <w:t xml:space="preserve">) of </w:t>
      </w:r>
      <w:r w:rsidRPr="00D65230">
        <w:rPr>
          <w:rFonts w:ascii="Arial" w:hAnsi="Arial" w:cs="Arial"/>
        </w:rPr>
        <w:t xml:space="preserve">the Cohesion Action </w:t>
      </w:r>
      <w:r w:rsidR="00585A9A" w:rsidRPr="00D65230">
        <w:rPr>
          <w:rFonts w:ascii="Arial" w:hAnsi="Arial" w:cs="Arial"/>
        </w:rPr>
        <w:t>P</w:t>
      </w:r>
      <w:r w:rsidRPr="00D65230">
        <w:rPr>
          <w:rFonts w:ascii="Arial" w:hAnsi="Arial" w:cs="Arial"/>
        </w:rPr>
        <w:t>rogramme (hereinafter – SSVP)</w:t>
      </w:r>
      <w:r w:rsidR="008A1D95" w:rsidRPr="00D65230">
        <w:rPr>
          <w:rFonts w:ascii="Arial" w:hAnsi="Arial" w:cs="Arial"/>
        </w:rPr>
        <w:t>, the</w:t>
      </w:r>
      <w:r w:rsidRPr="00D65230">
        <w:rPr>
          <w:rFonts w:ascii="Arial" w:hAnsi="Arial" w:cs="Arial"/>
        </w:rPr>
        <w:t xml:space="preserve"> </w:t>
      </w:r>
      <w:r w:rsidR="008A1D95" w:rsidRPr="00D65230">
        <w:rPr>
          <w:rFonts w:ascii="Arial" w:hAnsi="Arial" w:cs="Arial"/>
        </w:rPr>
        <w:t xml:space="preserve">JESSICA Holding Fund was founded on </w:t>
      </w:r>
      <w:r w:rsidRPr="00D65230">
        <w:rPr>
          <w:rFonts w:ascii="Arial" w:hAnsi="Arial" w:cs="Arial"/>
        </w:rPr>
        <w:t>11 June 2009</w:t>
      </w:r>
      <w:r w:rsidR="008A1D95" w:rsidRPr="00D65230">
        <w:rPr>
          <w:rFonts w:ascii="Arial" w:hAnsi="Arial" w:cs="Arial"/>
        </w:rPr>
        <w:t xml:space="preserve"> to become </w:t>
      </w:r>
      <w:r w:rsidRPr="00D65230">
        <w:rPr>
          <w:rFonts w:ascii="Arial" w:hAnsi="Arial" w:cs="Arial"/>
        </w:rPr>
        <w:t xml:space="preserve">one of the main funding sources for </w:t>
      </w:r>
      <w:r w:rsidR="00C11C20" w:rsidRPr="00D65230">
        <w:rPr>
          <w:rFonts w:ascii="Arial" w:hAnsi="Arial" w:cs="Arial"/>
        </w:rPr>
        <w:t>renovation</w:t>
      </w:r>
      <w:r w:rsidRPr="00D65230">
        <w:rPr>
          <w:rFonts w:ascii="Arial" w:hAnsi="Arial" w:cs="Arial"/>
        </w:rPr>
        <w:t xml:space="preserve"> of multi-apartment houses. In the period </w:t>
      </w:r>
      <w:r w:rsidR="00D47B0E" w:rsidRPr="00D65230">
        <w:rPr>
          <w:rFonts w:ascii="Arial" w:hAnsi="Arial" w:cs="Arial"/>
        </w:rPr>
        <w:t xml:space="preserve">from </w:t>
      </w:r>
      <w:r w:rsidRPr="00D65230">
        <w:rPr>
          <w:rFonts w:ascii="Arial" w:hAnsi="Arial" w:cs="Arial"/>
        </w:rPr>
        <w:t>2007</w:t>
      </w:r>
      <w:r w:rsidR="00D47B0E" w:rsidRPr="00D65230">
        <w:rPr>
          <w:rFonts w:ascii="Arial" w:hAnsi="Arial" w:cs="Arial"/>
        </w:rPr>
        <w:t xml:space="preserve"> to </w:t>
      </w:r>
      <w:r w:rsidRPr="00D65230">
        <w:rPr>
          <w:rFonts w:ascii="Arial" w:hAnsi="Arial" w:cs="Arial"/>
        </w:rPr>
        <w:t>2013</w:t>
      </w:r>
      <w:r w:rsidR="00D47B0E" w:rsidRPr="00D65230">
        <w:rPr>
          <w:rFonts w:ascii="Arial" w:hAnsi="Arial" w:cs="Arial"/>
        </w:rPr>
        <w:t>,</w:t>
      </w:r>
      <w:r w:rsidRPr="00D65230">
        <w:rPr>
          <w:rFonts w:ascii="Arial" w:hAnsi="Arial" w:cs="Arial"/>
        </w:rPr>
        <w:t xml:space="preserve"> EUR 173</w:t>
      </w:r>
      <w:r w:rsidR="00B46EAC" w:rsidRPr="00D65230">
        <w:rPr>
          <w:rFonts w:ascii="Arial" w:hAnsi="Arial" w:cs="Arial"/>
        </w:rPr>
        <w:t>M</w:t>
      </w:r>
      <w:r w:rsidRPr="00D65230">
        <w:rPr>
          <w:rFonts w:ascii="Arial" w:hAnsi="Arial" w:cs="Arial"/>
        </w:rPr>
        <w:t xml:space="preserve"> from </w:t>
      </w:r>
      <w:r w:rsidR="00396A60" w:rsidRPr="00D65230">
        <w:rPr>
          <w:rFonts w:ascii="Arial" w:hAnsi="Arial" w:cs="Arial"/>
        </w:rPr>
        <w:t xml:space="preserve">the European </w:t>
      </w:r>
      <w:r w:rsidRPr="00D65230">
        <w:rPr>
          <w:rFonts w:ascii="Arial" w:hAnsi="Arial" w:cs="Arial"/>
        </w:rPr>
        <w:t>structural funds, national co-finan</w:t>
      </w:r>
      <w:r w:rsidR="008A1D95" w:rsidRPr="00D65230">
        <w:rPr>
          <w:rFonts w:ascii="Arial" w:hAnsi="Arial" w:cs="Arial"/>
        </w:rPr>
        <w:t>c</w:t>
      </w:r>
      <w:r w:rsidRPr="00D65230">
        <w:rPr>
          <w:rFonts w:ascii="Arial" w:hAnsi="Arial" w:cs="Arial"/>
        </w:rPr>
        <w:t>ing funds and EUR 80</w:t>
      </w:r>
      <w:r w:rsidR="00E44411" w:rsidRPr="00D65230">
        <w:rPr>
          <w:rFonts w:ascii="Arial" w:hAnsi="Arial" w:cs="Arial"/>
        </w:rPr>
        <w:t>M</w:t>
      </w:r>
      <w:r w:rsidRPr="00D65230">
        <w:rPr>
          <w:rFonts w:ascii="Arial" w:hAnsi="Arial" w:cs="Arial"/>
        </w:rPr>
        <w:t xml:space="preserve"> </w:t>
      </w:r>
      <w:r w:rsidR="00396A60" w:rsidRPr="00D65230">
        <w:rPr>
          <w:rFonts w:ascii="Arial" w:hAnsi="Arial" w:cs="Arial"/>
        </w:rPr>
        <w:t>from</w:t>
      </w:r>
      <w:r w:rsidRPr="00D65230">
        <w:rPr>
          <w:rFonts w:ascii="Arial" w:hAnsi="Arial" w:cs="Arial"/>
        </w:rPr>
        <w:t xml:space="preserve"> commercial banks w</w:t>
      </w:r>
      <w:r w:rsidR="00AF4525" w:rsidRPr="00D65230">
        <w:rPr>
          <w:rFonts w:ascii="Arial" w:hAnsi="Arial" w:cs="Arial"/>
        </w:rPr>
        <w:t>ere</w:t>
      </w:r>
      <w:r w:rsidR="00396A60" w:rsidRPr="00D65230">
        <w:rPr>
          <w:rFonts w:ascii="Arial" w:hAnsi="Arial" w:cs="Arial"/>
        </w:rPr>
        <w:t xml:space="preserve"> </w:t>
      </w:r>
      <w:r w:rsidRPr="00D65230">
        <w:rPr>
          <w:rFonts w:ascii="Arial" w:hAnsi="Arial" w:cs="Arial"/>
        </w:rPr>
        <w:t xml:space="preserve">dedicated for the implementation of </w:t>
      </w:r>
      <w:r w:rsidR="00396A60" w:rsidRPr="00D65230">
        <w:rPr>
          <w:rFonts w:ascii="Arial" w:hAnsi="Arial" w:cs="Arial"/>
        </w:rPr>
        <w:t xml:space="preserve">the </w:t>
      </w:r>
      <w:r w:rsidR="000D06ED" w:rsidRPr="00D65230">
        <w:rPr>
          <w:rFonts w:ascii="Arial" w:hAnsi="Arial" w:cs="Arial"/>
        </w:rPr>
        <w:t>Measure JKF</w:t>
      </w:r>
      <w:r w:rsidRPr="00D65230">
        <w:rPr>
          <w:rFonts w:ascii="Arial" w:hAnsi="Arial" w:cs="Arial"/>
        </w:rPr>
        <w:t xml:space="preserve">. All national funds and </w:t>
      </w:r>
      <w:r w:rsidR="00396A60" w:rsidRPr="00D65230">
        <w:rPr>
          <w:rFonts w:ascii="Arial" w:hAnsi="Arial" w:cs="Arial"/>
        </w:rPr>
        <w:t xml:space="preserve">the </w:t>
      </w:r>
      <w:r w:rsidRPr="00D65230">
        <w:rPr>
          <w:rFonts w:ascii="Arial" w:hAnsi="Arial" w:cs="Arial"/>
        </w:rPr>
        <w:t>2007-2013 EU funds dedicated for inc</w:t>
      </w:r>
      <w:r w:rsidR="00396A60" w:rsidRPr="00D65230">
        <w:rPr>
          <w:rFonts w:ascii="Arial" w:hAnsi="Arial" w:cs="Arial"/>
        </w:rPr>
        <w:t>r</w:t>
      </w:r>
      <w:r w:rsidRPr="00D65230">
        <w:rPr>
          <w:rFonts w:ascii="Arial" w:hAnsi="Arial" w:cs="Arial"/>
        </w:rPr>
        <w:t xml:space="preserve">easing </w:t>
      </w:r>
      <w:r w:rsidR="00AF4525" w:rsidRPr="00D65230">
        <w:rPr>
          <w:rFonts w:ascii="Arial" w:hAnsi="Arial" w:cs="Arial"/>
        </w:rPr>
        <w:t xml:space="preserve">the </w:t>
      </w:r>
      <w:r w:rsidRPr="00D65230">
        <w:rPr>
          <w:rFonts w:ascii="Arial" w:hAnsi="Arial" w:cs="Arial"/>
        </w:rPr>
        <w:t>energy ef</w:t>
      </w:r>
      <w:r w:rsidR="00396A60" w:rsidRPr="00D65230">
        <w:rPr>
          <w:rFonts w:ascii="Arial" w:hAnsi="Arial" w:cs="Arial"/>
        </w:rPr>
        <w:t>f</w:t>
      </w:r>
      <w:r w:rsidRPr="00D65230">
        <w:rPr>
          <w:rFonts w:ascii="Arial" w:hAnsi="Arial" w:cs="Arial"/>
        </w:rPr>
        <w:t>iciency by implement</w:t>
      </w:r>
      <w:r w:rsidR="00AF4525" w:rsidRPr="00D65230">
        <w:rPr>
          <w:rFonts w:ascii="Arial" w:hAnsi="Arial" w:cs="Arial"/>
        </w:rPr>
        <w:t xml:space="preserve">ing </w:t>
      </w:r>
      <w:r w:rsidRPr="00D65230">
        <w:rPr>
          <w:rFonts w:ascii="Arial" w:hAnsi="Arial" w:cs="Arial"/>
        </w:rPr>
        <w:t xml:space="preserve">multi-apartment buildings </w:t>
      </w:r>
      <w:r w:rsidR="00C11C20" w:rsidRPr="00D65230">
        <w:rPr>
          <w:rFonts w:ascii="Arial" w:hAnsi="Arial" w:cs="Arial"/>
        </w:rPr>
        <w:t>renovation</w:t>
      </w:r>
      <w:r w:rsidRPr="00D65230">
        <w:rPr>
          <w:rFonts w:ascii="Arial" w:hAnsi="Arial" w:cs="Arial"/>
        </w:rPr>
        <w:t xml:space="preserve"> have been distributed under the approved credit contracts. </w:t>
      </w:r>
    </w:p>
    <w:p w:rsidR="0055003D" w:rsidRPr="00D65230" w:rsidRDefault="006D6968" w:rsidP="00C06377">
      <w:pPr>
        <w:rPr>
          <w:rFonts w:ascii="Arial" w:hAnsi="Arial" w:cs="Arial"/>
        </w:rPr>
      </w:pPr>
      <w:r w:rsidRPr="00D65230">
        <w:rPr>
          <w:rFonts w:ascii="Arial" w:hAnsi="Arial" w:cs="Arial"/>
        </w:rPr>
        <w:t xml:space="preserve">Seeking to </w:t>
      </w:r>
      <w:r w:rsidR="0055003D" w:rsidRPr="00D65230">
        <w:rPr>
          <w:rFonts w:ascii="Arial" w:hAnsi="Arial" w:cs="Arial"/>
        </w:rPr>
        <w:t xml:space="preserve">ensure further housing renovation funding, implementation of </w:t>
      </w:r>
      <w:r w:rsidR="00C11C20" w:rsidRPr="00D65230">
        <w:rPr>
          <w:rFonts w:ascii="Arial" w:hAnsi="Arial" w:cs="Arial"/>
        </w:rPr>
        <w:t>renovation</w:t>
      </w:r>
      <w:r w:rsidR="0055003D" w:rsidRPr="00D65230">
        <w:rPr>
          <w:rFonts w:ascii="Arial" w:hAnsi="Arial" w:cs="Arial"/>
        </w:rPr>
        <w:t xml:space="preserve"> projects </w:t>
      </w:r>
      <w:r w:rsidRPr="00D65230">
        <w:rPr>
          <w:rFonts w:ascii="Arial" w:hAnsi="Arial" w:cs="Arial"/>
        </w:rPr>
        <w:t xml:space="preserve">started to be </w:t>
      </w:r>
      <w:r w:rsidR="0055003D" w:rsidRPr="00D65230">
        <w:rPr>
          <w:rFonts w:ascii="Arial" w:hAnsi="Arial" w:cs="Arial"/>
        </w:rPr>
        <w:t>financ</w:t>
      </w:r>
      <w:r w:rsidRPr="00D65230">
        <w:rPr>
          <w:rFonts w:ascii="Arial" w:hAnsi="Arial" w:cs="Arial"/>
        </w:rPr>
        <w:t xml:space="preserve">ed by application of </w:t>
      </w:r>
      <w:r w:rsidR="00AF4525" w:rsidRPr="00D65230">
        <w:rPr>
          <w:rFonts w:ascii="Arial" w:hAnsi="Arial" w:cs="Arial"/>
        </w:rPr>
        <w:t xml:space="preserve">Measure No 04.3.1-FM-F-001 „Multi-apartment buildings renovation“ (hereinafter – </w:t>
      </w:r>
      <w:r w:rsidR="000D06ED" w:rsidRPr="00D65230">
        <w:rPr>
          <w:rFonts w:ascii="Arial" w:hAnsi="Arial" w:cs="Arial"/>
        </w:rPr>
        <w:t>Measure DNA</w:t>
      </w:r>
      <w:r w:rsidR="00AF4525" w:rsidRPr="00D65230">
        <w:rPr>
          <w:rFonts w:ascii="Arial" w:hAnsi="Arial" w:cs="Arial"/>
        </w:rPr>
        <w:t xml:space="preserve">) </w:t>
      </w:r>
      <w:r w:rsidRPr="00D65230">
        <w:rPr>
          <w:rFonts w:ascii="Arial" w:hAnsi="Arial" w:cs="Arial"/>
        </w:rPr>
        <w:t xml:space="preserve">under </w:t>
      </w:r>
      <w:r w:rsidR="00AF4525" w:rsidRPr="00D65230">
        <w:rPr>
          <w:rFonts w:ascii="Arial" w:hAnsi="Arial" w:cs="Arial"/>
        </w:rPr>
        <w:t xml:space="preserve">the </w:t>
      </w:r>
      <w:r w:rsidR="0055003D" w:rsidRPr="00D65230">
        <w:rPr>
          <w:rFonts w:ascii="Arial" w:hAnsi="Arial" w:cs="Arial"/>
        </w:rPr>
        <w:t xml:space="preserve">2014-2020 EU </w:t>
      </w:r>
      <w:r w:rsidRPr="00D65230">
        <w:rPr>
          <w:rFonts w:ascii="Arial" w:hAnsi="Arial" w:cs="Arial"/>
        </w:rPr>
        <w:t>I</w:t>
      </w:r>
      <w:r w:rsidR="0055003D" w:rsidRPr="00D65230">
        <w:rPr>
          <w:rFonts w:ascii="Arial" w:hAnsi="Arial" w:cs="Arial"/>
        </w:rPr>
        <w:t xml:space="preserve">nvestment </w:t>
      </w:r>
      <w:r w:rsidRPr="00D65230">
        <w:rPr>
          <w:rFonts w:ascii="Arial" w:hAnsi="Arial" w:cs="Arial"/>
        </w:rPr>
        <w:t>F</w:t>
      </w:r>
      <w:r w:rsidR="0055003D" w:rsidRPr="00D65230">
        <w:rPr>
          <w:rFonts w:ascii="Arial" w:hAnsi="Arial" w:cs="Arial"/>
        </w:rPr>
        <w:t xml:space="preserve">unds </w:t>
      </w:r>
      <w:r w:rsidRPr="00D65230">
        <w:rPr>
          <w:rFonts w:ascii="Arial" w:hAnsi="Arial" w:cs="Arial"/>
        </w:rPr>
        <w:t>A</w:t>
      </w:r>
      <w:r w:rsidR="0055003D" w:rsidRPr="00D65230">
        <w:rPr>
          <w:rFonts w:ascii="Arial" w:hAnsi="Arial" w:cs="Arial"/>
        </w:rPr>
        <w:t>ction</w:t>
      </w:r>
      <w:r w:rsidRPr="00D65230">
        <w:rPr>
          <w:rFonts w:ascii="Arial" w:hAnsi="Arial" w:cs="Arial"/>
        </w:rPr>
        <w:t xml:space="preserve"> Programme.</w:t>
      </w:r>
      <w:r w:rsidR="0055003D" w:rsidRPr="00D65230">
        <w:rPr>
          <w:rFonts w:ascii="Arial" w:hAnsi="Arial" w:cs="Arial"/>
        </w:rPr>
        <w:t xml:space="preserve"> </w:t>
      </w:r>
      <w:r w:rsidRPr="00D65230">
        <w:rPr>
          <w:rFonts w:ascii="Arial" w:hAnsi="Arial" w:cs="Arial"/>
        </w:rPr>
        <w:t xml:space="preserve">As a result, </w:t>
      </w:r>
      <w:r w:rsidR="00AF4525" w:rsidRPr="00D65230">
        <w:rPr>
          <w:rFonts w:ascii="Arial" w:hAnsi="Arial" w:cs="Arial"/>
        </w:rPr>
        <w:t xml:space="preserve">the </w:t>
      </w:r>
      <w:r w:rsidR="0055003D" w:rsidRPr="00D65230">
        <w:rPr>
          <w:rFonts w:ascii="Arial" w:hAnsi="Arial" w:cs="Arial"/>
        </w:rPr>
        <w:t xml:space="preserve">Jessica II </w:t>
      </w:r>
      <w:r w:rsidR="00AF4525" w:rsidRPr="00D65230">
        <w:rPr>
          <w:rFonts w:ascii="Arial" w:hAnsi="Arial" w:cs="Arial"/>
        </w:rPr>
        <w:t>F</w:t>
      </w:r>
      <w:r w:rsidR="0055003D" w:rsidRPr="00D65230">
        <w:rPr>
          <w:rFonts w:ascii="Arial" w:hAnsi="Arial" w:cs="Arial"/>
        </w:rPr>
        <w:t xml:space="preserve">unds </w:t>
      </w:r>
      <w:r w:rsidR="00AF4525" w:rsidRPr="00D65230">
        <w:rPr>
          <w:rFonts w:ascii="Arial" w:hAnsi="Arial" w:cs="Arial"/>
        </w:rPr>
        <w:t>F</w:t>
      </w:r>
      <w:r w:rsidR="0055003D" w:rsidRPr="00D65230">
        <w:rPr>
          <w:rFonts w:ascii="Arial" w:hAnsi="Arial" w:cs="Arial"/>
        </w:rPr>
        <w:t>und, which is worth EUR 150</w:t>
      </w:r>
      <w:r w:rsidR="00E44411" w:rsidRPr="00D65230">
        <w:rPr>
          <w:rFonts w:ascii="Arial" w:hAnsi="Arial" w:cs="Arial"/>
        </w:rPr>
        <w:t>M</w:t>
      </w:r>
      <w:r w:rsidR="0055003D" w:rsidRPr="00D65230">
        <w:rPr>
          <w:rFonts w:ascii="Arial" w:hAnsi="Arial" w:cs="Arial"/>
        </w:rPr>
        <w:t xml:space="preserve"> (hereinafter – J2FF)</w:t>
      </w:r>
      <w:r w:rsidRPr="00D65230">
        <w:rPr>
          <w:rFonts w:ascii="Arial" w:hAnsi="Arial" w:cs="Arial"/>
        </w:rPr>
        <w:t>,</w:t>
      </w:r>
      <w:r w:rsidR="0055003D" w:rsidRPr="00D65230">
        <w:rPr>
          <w:rFonts w:ascii="Arial" w:hAnsi="Arial" w:cs="Arial"/>
        </w:rPr>
        <w:t xml:space="preserve"> and </w:t>
      </w:r>
      <w:r w:rsidR="00AF4525" w:rsidRPr="00D65230">
        <w:rPr>
          <w:rFonts w:ascii="Arial" w:hAnsi="Arial" w:cs="Arial"/>
        </w:rPr>
        <w:t xml:space="preserve">the </w:t>
      </w:r>
      <w:r w:rsidR="0055003D" w:rsidRPr="00D65230">
        <w:rPr>
          <w:rFonts w:ascii="Arial" w:hAnsi="Arial" w:cs="Arial"/>
        </w:rPr>
        <w:t>Multi-</w:t>
      </w:r>
      <w:r w:rsidR="00AF4525" w:rsidRPr="00D65230">
        <w:rPr>
          <w:rFonts w:ascii="Arial" w:hAnsi="Arial" w:cs="Arial"/>
        </w:rPr>
        <w:t>A</w:t>
      </w:r>
      <w:r w:rsidR="0055003D" w:rsidRPr="00D65230">
        <w:rPr>
          <w:rFonts w:ascii="Arial" w:hAnsi="Arial" w:cs="Arial"/>
        </w:rPr>
        <w:t xml:space="preserve">partment </w:t>
      </w:r>
      <w:r w:rsidR="00AF4525" w:rsidRPr="00D65230">
        <w:rPr>
          <w:rFonts w:ascii="Arial" w:hAnsi="Arial" w:cs="Arial"/>
        </w:rPr>
        <w:t>B</w:t>
      </w:r>
      <w:r w:rsidR="0055003D" w:rsidRPr="00D65230">
        <w:rPr>
          <w:rFonts w:ascii="Arial" w:hAnsi="Arial" w:cs="Arial"/>
        </w:rPr>
        <w:t xml:space="preserve">uildings </w:t>
      </w:r>
      <w:r w:rsidR="00AF4525" w:rsidRPr="00D65230">
        <w:rPr>
          <w:rFonts w:ascii="Arial" w:hAnsi="Arial" w:cs="Arial"/>
        </w:rPr>
        <w:t>M</w:t>
      </w:r>
      <w:r w:rsidR="0055003D" w:rsidRPr="00D65230">
        <w:rPr>
          <w:rFonts w:ascii="Arial" w:hAnsi="Arial" w:cs="Arial"/>
        </w:rPr>
        <w:t xml:space="preserve">odernization </w:t>
      </w:r>
      <w:r w:rsidR="00AF4525" w:rsidRPr="00D65230">
        <w:rPr>
          <w:rFonts w:ascii="Arial" w:hAnsi="Arial" w:cs="Arial"/>
        </w:rPr>
        <w:t>F</w:t>
      </w:r>
      <w:r w:rsidR="0055003D" w:rsidRPr="00D65230">
        <w:rPr>
          <w:rFonts w:ascii="Arial" w:hAnsi="Arial" w:cs="Arial"/>
        </w:rPr>
        <w:t xml:space="preserve">und (hereinafter – </w:t>
      </w:r>
      <w:r w:rsidR="00B03BFC" w:rsidRPr="00D65230">
        <w:rPr>
          <w:rFonts w:ascii="Arial" w:hAnsi="Arial" w:cs="Arial"/>
        </w:rPr>
        <w:t>DNMF</w:t>
      </w:r>
      <w:r w:rsidR="0055003D" w:rsidRPr="00D65230">
        <w:rPr>
          <w:rFonts w:ascii="Arial" w:hAnsi="Arial" w:cs="Arial"/>
        </w:rPr>
        <w:t>)</w:t>
      </w:r>
      <w:r w:rsidRPr="00D65230">
        <w:rPr>
          <w:rFonts w:ascii="Arial" w:hAnsi="Arial" w:cs="Arial"/>
        </w:rPr>
        <w:t xml:space="preserve"> were founded</w:t>
      </w:r>
      <w:r w:rsidR="0055003D" w:rsidRPr="00D65230">
        <w:rPr>
          <w:rFonts w:ascii="Arial" w:hAnsi="Arial" w:cs="Arial"/>
        </w:rPr>
        <w:t>. In order to implement the goals</w:t>
      </w:r>
      <w:r w:rsidRPr="00D65230">
        <w:rPr>
          <w:rFonts w:ascii="Arial" w:hAnsi="Arial" w:cs="Arial"/>
        </w:rPr>
        <w:t>,</w:t>
      </w:r>
      <w:r w:rsidR="0055003D" w:rsidRPr="00D65230">
        <w:rPr>
          <w:rFonts w:ascii="Arial" w:hAnsi="Arial" w:cs="Arial"/>
        </w:rPr>
        <w:t xml:space="preserve"> the Risk </w:t>
      </w:r>
      <w:r w:rsidR="00AF4525" w:rsidRPr="00D65230">
        <w:rPr>
          <w:rFonts w:ascii="Arial" w:hAnsi="Arial" w:cs="Arial"/>
        </w:rPr>
        <w:t>S</w:t>
      </w:r>
      <w:r w:rsidR="0055003D" w:rsidRPr="00D65230">
        <w:rPr>
          <w:rFonts w:ascii="Arial" w:hAnsi="Arial" w:cs="Arial"/>
        </w:rPr>
        <w:t xml:space="preserve">haring </w:t>
      </w:r>
      <w:r w:rsidR="00AF4525" w:rsidRPr="00D65230">
        <w:rPr>
          <w:rFonts w:ascii="Arial" w:hAnsi="Arial" w:cs="Arial"/>
        </w:rPr>
        <w:t>F</w:t>
      </w:r>
      <w:r w:rsidR="0055003D" w:rsidRPr="00D65230">
        <w:rPr>
          <w:rFonts w:ascii="Arial" w:hAnsi="Arial" w:cs="Arial"/>
        </w:rPr>
        <w:t xml:space="preserve">und </w:t>
      </w:r>
      <w:r w:rsidRPr="00D65230">
        <w:rPr>
          <w:rFonts w:ascii="Arial" w:hAnsi="Arial" w:cs="Arial"/>
        </w:rPr>
        <w:t xml:space="preserve">(hereinafter – RPF) </w:t>
      </w:r>
      <w:r w:rsidR="0055003D" w:rsidRPr="00D65230">
        <w:rPr>
          <w:rFonts w:ascii="Arial" w:hAnsi="Arial" w:cs="Arial"/>
        </w:rPr>
        <w:t>was founded in October 2016</w:t>
      </w:r>
      <w:r w:rsidRPr="00D65230">
        <w:rPr>
          <w:rFonts w:ascii="Arial" w:hAnsi="Arial" w:cs="Arial"/>
        </w:rPr>
        <w:t xml:space="preserve"> to </w:t>
      </w:r>
      <w:r w:rsidR="0055003D" w:rsidRPr="00D65230">
        <w:rPr>
          <w:rFonts w:ascii="Arial" w:hAnsi="Arial" w:cs="Arial"/>
        </w:rPr>
        <w:t xml:space="preserve">provide guarantees for multi-apartment buildings </w:t>
      </w:r>
      <w:r w:rsidR="00C11C20" w:rsidRPr="00D65230">
        <w:rPr>
          <w:rFonts w:ascii="Arial" w:hAnsi="Arial" w:cs="Arial"/>
        </w:rPr>
        <w:t>renovation</w:t>
      </w:r>
      <w:r w:rsidR="0055003D" w:rsidRPr="00D65230">
        <w:rPr>
          <w:rFonts w:ascii="Arial" w:hAnsi="Arial" w:cs="Arial"/>
        </w:rPr>
        <w:t xml:space="preserve"> projects financed by private investors participating in the RPF.</w:t>
      </w:r>
    </w:p>
    <w:p w:rsidR="0055003D" w:rsidRPr="00D65230" w:rsidRDefault="000B57E2" w:rsidP="0055003D">
      <w:pPr>
        <w:pStyle w:val="Heading4"/>
        <w:rPr>
          <w:rFonts w:eastAsia="Times New Roman"/>
          <w:i w:val="0"/>
          <w:iCs w:val="0"/>
          <w:color w:val="000000"/>
        </w:rPr>
      </w:pPr>
      <w:bookmarkStart w:id="14" w:name="_Toc476908264"/>
      <w:bookmarkStart w:id="15" w:name="_Toc476908580"/>
      <w:bookmarkStart w:id="16" w:name="_Toc476908656"/>
      <w:bookmarkStart w:id="17" w:name="_Toc476908723"/>
      <w:bookmarkStart w:id="18" w:name="_Toc476908790"/>
      <w:bookmarkStart w:id="19" w:name="_Toc476908950"/>
      <w:bookmarkStart w:id="20" w:name="_Toc476909017"/>
      <w:bookmarkStart w:id="21" w:name="_Toc476909451"/>
      <w:bookmarkStart w:id="22" w:name="_Toc476909565"/>
      <w:bookmarkStart w:id="23" w:name="_Toc476909614"/>
      <w:bookmarkStart w:id="24" w:name="_Toc476909665"/>
      <w:bookmarkStart w:id="25" w:name="_Toc476909734"/>
      <w:r w:rsidRPr="00D65230">
        <w:rPr>
          <w:rFonts w:eastAsia="Times New Roman"/>
          <w:i w:val="0"/>
          <w:iCs w:val="0"/>
          <w:color w:val="000000"/>
        </w:rPr>
        <w:t xml:space="preserve">It should be noted that a </w:t>
      </w:r>
      <w:r w:rsidR="0055003D" w:rsidRPr="00D65230">
        <w:rPr>
          <w:rFonts w:eastAsia="Times New Roman"/>
          <w:i w:val="0"/>
          <w:iCs w:val="0"/>
          <w:color w:val="000000"/>
        </w:rPr>
        <w:t xml:space="preserve">project financing structure </w:t>
      </w:r>
      <w:r w:rsidR="00080344" w:rsidRPr="00D65230">
        <w:rPr>
          <w:rFonts w:eastAsia="Times New Roman"/>
          <w:i w:val="0"/>
          <w:iCs w:val="0"/>
          <w:color w:val="000000"/>
        </w:rPr>
        <w:t xml:space="preserve">is </w:t>
      </w:r>
      <w:r w:rsidR="00D10EF4" w:rsidRPr="00D65230">
        <w:rPr>
          <w:rFonts w:eastAsia="Times New Roman"/>
          <w:i w:val="0"/>
          <w:iCs w:val="0"/>
          <w:color w:val="000000"/>
        </w:rPr>
        <w:t xml:space="preserve">of </w:t>
      </w:r>
      <w:r w:rsidRPr="00D65230">
        <w:rPr>
          <w:rFonts w:eastAsia="Times New Roman"/>
          <w:i w:val="0"/>
          <w:iCs w:val="0"/>
          <w:color w:val="000000"/>
        </w:rPr>
        <w:t>great i</w:t>
      </w:r>
      <w:r w:rsidR="0055003D" w:rsidRPr="00D65230">
        <w:rPr>
          <w:rFonts w:eastAsia="Times New Roman"/>
          <w:i w:val="0"/>
          <w:iCs w:val="0"/>
          <w:color w:val="000000"/>
        </w:rPr>
        <w:t>mportan</w:t>
      </w:r>
      <w:r w:rsidRPr="00D65230">
        <w:rPr>
          <w:rFonts w:eastAsia="Times New Roman"/>
          <w:i w:val="0"/>
          <w:iCs w:val="0"/>
          <w:color w:val="000000"/>
        </w:rPr>
        <w:t>ce</w:t>
      </w:r>
      <w:r w:rsidR="0055003D" w:rsidRPr="00D65230">
        <w:rPr>
          <w:rFonts w:eastAsia="Times New Roman"/>
          <w:i w:val="0"/>
          <w:iCs w:val="0"/>
          <w:color w:val="000000"/>
        </w:rPr>
        <w:t xml:space="preserve"> for </w:t>
      </w:r>
      <w:r w:rsidRPr="00D65230">
        <w:rPr>
          <w:rFonts w:eastAsia="Times New Roman"/>
          <w:i w:val="0"/>
          <w:iCs w:val="0"/>
          <w:color w:val="000000"/>
        </w:rPr>
        <w:t xml:space="preserve">the </w:t>
      </w:r>
      <w:r w:rsidR="0055003D" w:rsidRPr="00D65230">
        <w:rPr>
          <w:rFonts w:eastAsia="Times New Roman"/>
          <w:i w:val="0"/>
          <w:iCs w:val="0"/>
          <w:color w:val="000000"/>
        </w:rPr>
        <w:t xml:space="preserve">evaluation of </w:t>
      </w:r>
      <w:r w:rsidRPr="00D65230">
        <w:rPr>
          <w:rFonts w:eastAsia="Times New Roman"/>
          <w:i w:val="0"/>
          <w:iCs w:val="0"/>
          <w:color w:val="000000"/>
        </w:rPr>
        <w:t xml:space="preserve">the </w:t>
      </w:r>
      <w:r w:rsidR="0055003D" w:rsidRPr="00D65230">
        <w:rPr>
          <w:rFonts w:eastAsia="Times New Roman"/>
          <w:i w:val="0"/>
          <w:iCs w:val="0"/>
          <w:color w:val="000000"/>
        </w:rPr>
        <w:t xml:space="preserve">increased renovation demand, </w:t>
      </w:r>
      <w:r w:rsidRPr="00D65230">
        <w:rPr>
          <w:rFonts w:eastAsia="Times New Roman"/>
          <w:i w:val="0"/>
          <w:iCs w:val="0"/>
          <w:color w:val="000000"/>
        </w:rPr>
        <w:t xml:space="preserve">for the </w:t>
      </w:r>
      <w:r w:rsidR="0055003D" w:rsidRPr="00D65230">
        <w:rPr>
          <w:rFonts w:eastAsia="Times New Roman"/>
          <w:i w:val="0"/>
          <w:iCs w:val="0"/>
          <w:color w:val="000000"/>
        </w:rPr>
        <w:t xml:space="preserve">implementation of multi-apartment houses </w:t>
      </w:r>
      <w:r w:rsidR="00C11C20" w:rsidRPr="00D65230">
        <w:rPr>
          <w:rFonts w:eastAsia="Times New Roman"/>
          <w:i w:val="0"/>
          <w:iCs w:val="0"/>
          <w:color w:val="000000"/>
        </w:rPr>
        <w:t>renovation</w:t>
      </w:r>
      <w:r w:rsidR="0055003D" w:rsidRPr="00D65230">
        <w:rPr>
          <w:rFonts w:eastAsia="Times New Roman"/>
          <w:i w:val="0"/>
          <w:iCs w:val="0"/>
          <w:color w:val="000000"/>
        </w:rPr>
        <w:t xml:space="preserve"> projects </w:t>
      </w:r>
      <w:r w:rsidRPr="00D65230">
        <w:rPr>
          <w:rFonts w:eastAsia="Times New Roman"/>
          <w:i w:val="0"/>
          <w:iCs w:val="0"/>
          <w:color w:val="000000"/>
        </w:rPr>
        <w:t xml:space="preserve">and </w:t>
      </w:r>
      <w:r w:rsidR="0055003D" w:rsidRPr="00D65230">
        <w:rPr>
          <w:rFonts w:eastAsia="Times New Roman"/>
          <w:i w:val="0"/>
          <w:iCs w:val="0"/>
          <w:color w:val="000000"/>
        </w:rPr>
        <w:t xml:space="preserve">for the foreseen development of </w:t>
      </w:r>
      <w:r w:rsidRPr="00D65230">
        <w:rPr>
          <w:rFonts w:eastAsia="Times New Roman"/>
          <w:i w:val="0"/>
          <w:iCs w:val="0"/>
          <w:color w:val="000000"/>
        </w:rPr>
        <w:t>the same</w:t>
      </w:r>
      <w:r w:rsidR="0055003D" w:rsidRPr="00D65230">
        <w:rPr>
          <w:rFonts w:eastAsia="Times New Roman"/>
          <w:i w:val="0"/>
          <w:iCs w:val="0"/>
          <w:color w:val="000000"/>
        </w:rPr>
        <w:t xml:space="preserve">. </w:t>
      </w:r>
      <w:r w:rsidR="00D10EF4" w:rsidRPr="00D65230">
        <w:rPr>
          <w:rFonts w:eastAsia="Times New Roman"/>
          <w:i w:val="0"/>
          <w:iCs w:val="0"/>
          <w:color w:val="000000"/>
        </w:rPr>
        <w:t xml:space="preserve">The </w:t>
      </w:r>
      <w:r w:rsidR="0055003D" w:rsidRPr="00D65230">
        <w:rPr>
          <w:rFonts w:eastAsia="Times New Roman"/>
          <w:i w:val="0"/>
          <w:iCs w:val="0"/>
          <w:color w:val="000000"/>
        </w:rPr>
        <w:t>State</w:t>
      </w:r>
      <w:r w:rsidR="00D10EF4" w:rsidRPr="00D65230">
        <w:rPr>
          <w:rFonts w:eastAsia="Times New Roman"/>
          <w:i w:val="0"/>
          <w:iCs w:val="0"/>
          <w:color w:val="000000"/>
        </w:rPr>
        <w:t xml:space="preserve">’s capacity </w:t>
      </w:r>
      <w:r w:rsidR="0055003D" w:rsidRPr="00D65230">
        <w:rPr>
          <w:rFonts w:eastAsia="Times New Roman"/>
          <w:i w:val="0"/>
          <w:iCs w:val="0"/>
          <w:color w:val="000000"/>
        </w:rPr>
        <w:t xml:space="preserve">to provide funding </w:t>
      </w:r>
      <w:r w:rsidRPr="00D65230">
        <w:rPr>
          <w:rFonts w:eastAsia="Times New Roman"/>
          <w:i w:val="0"/>
          <w:iCs w:val="0"/>
          <w:color w:val="000000"/>
        </w:rPr>
        <w:t xml:space="preserve">for </w:t>
      </w:r>
      <w:r w:rsidR="0055003D" w:rsidRPr="00D65230">
        <w:rPr>
          <w:rFonts w:eastAsia="Times New Roman"/>
          <w:i w:val="0"/>
          <w:iCs w:val="0"/>
          <w:color w:val="000000"/>
        </w:rPr>
        <w:t xml:space="preserve">such projects is limited, </w:t>
      </w:r>
      <w:r w:rsidR="00D10EF4" w:rsidRPr="00D65230">
        <w:rPr>
          <w:rFonts w:eastAsia="Times New Roman"/>
          <w:i w:val="0"/>
          <w:iCs w:val="0"/>
          <w:color w:val="000000"/>
        </w:rPr>
        <w:t xml:space="preserve">and </w:t>
      </w:r>
      <w:r w:rsidR="0055003D" w:rsidRPr="00D65230">
        <w:rPr>
          <w:rFonts w:eastAsia="Times New Roman"/>
          <w:i w:val="0"/>
          <w:iCs w:val="0"/>
          <w:color w:val="000000"/>
        </w:rPr>
        <w:t>the lack of funds</w:t>
      </w:r>
      <w:r w:rsidR="00AF4525" w:rsidRPr="00D65230">
        <w:rPr>
          <w:rFonts w:eastAsia="Times New Roman"/>
          <w:i w:val="0"/>
          <w:iCs w:val="0"/>
          <w:color w:val="000000"/>
        </w:rPr>
        <w:t xml:space="preserve"> </w:t>
      </w:r>
      <w:r w:rsidR="0055003D" w:rsidRPr="00D65230">
        <w:rPr>
          <w:rFonts w:eastAsia="Times New Roman"/>
          <w:i w:val="0"/>
          <w:iCs w:val="0"/>
          <w:color w:val="000000"/>
        </w:rPr>
        <w:t>strongly influences the</w:t>
      </w:r>
      <w:r w:rsidR="00080344" w:rsidRPr="00D65230">
        <w:rPr>
          <w:rFonts w:eastAsia="Times New Roman"/>
          <w:i w:val="0"/>
          <w:iCs w:val="0"/>
          <w:color w:val="000000"/>
        </w:rPr>
        <w:t xml:space="preserve"> </w:t>
      </w:r>
      <w:r w:rsidR="0055003D" w:rsidRPr="00D65230">
        <w:rPr>
          <w:rFonts w:eastAsia="Times New Roman"/>
          <w:i w:val="0"/>
          <w:iCs w:val="0"/>
          <w:color w:val="000000"/>
        </w:rPr>
        <w:t>renovation</w:t>
      </w:r>
      <w:r w:rsidR="00080344" w:rsidRPr="00D65230">
        <w:rPr>
          <w:rFonts w:eastAsia="Times New Roman"/>
          <w:i w:val="0"/>
          <w:iCs w:val="0"/>
          <w:color w:val="000000"/>
        </w:rPr>
        <w:t xml:space="preserve"> rates, moreover that the</w:t>
      </w:r>
      <w:r w:rsidR="0055003D" w:rsidRPr="00D65230">
        <w:rPr>
          <w:rFonts w:eastAsia="Times New Roman"/>
          <w:i w:val="0"/>
          <w:iCs w:val="0"/>
          <w:color w:val="000000"/>
        </w:rPr>
        <w:t xml:space="preserve"> current funding proportions and conditions </w:t>
      </w:r>
      <w:r w:rsidR="00D10EF4" w:rsidRPr="00D65230">
        <w:rPr>
          <w:rFonts w:eastAsia="Times New Roman"/>
          <w:i w:val="0"/>
          <w:iCs w:val="0"/>
          <w:color w:val="000000"/>
        </w:rPr>
        <w:t>determined at</w:t>
      </w:r>
      <w:r w:rsidR="0055003D" w:rsidRPr="00D65230">
        <w:rPr>
          <w:rFonts w:eastAsia="Times New Roman"/>
          <w:i w:val="0"/>
          <w:iCs w:val="0"/>
          <w:color w:val="000000"/>
        </w:rPr>
        <w:t xml:space="preserve"> the </w:t>
      </w:r>
      <w:r w:rsidR="00080344" w:rsidRPr="00D65230">
        <w:rPr>
          <w:rFonts w:eastAsia="Times New Roman"/>
          <w:i w:val="0"/>
          <w:iCs w:val="0"/>
          <w:color w:val="000000"/>
        </w:rPr>
        <w:t xml:space="preserve">very </w:t>
      </w:r>
      <w:r w:rsidR="0055003D" w:rsidRPr="00D65230">
        <w:rPr>
          <w:rFonts w:eastAsia="Times New Roman"/>
          <w:i w:val="0"/>
          <w:iCs w:val="0"/>
          <w:color w:val="000000"/>
        </w:rPr>
        <w:t xml:space="preserve">beginning of </w:t>
      </w:r>
      <w:r w:rsidR="00D10EF4" w:rsidRPr="00D65230">
        <w:rPr>
          <w:rFonts w:eastAsia="Times New Roman"/>
          <w:i w:val="0"/>
          <w:iCs w:val="0"/>
          <w:color w:val="000000"/>
        </w:rPr>
        <w:t xml:space="preserve">the </w:t>
      </w:r>
      <w:r w:rsidR="0055003D" w:rsidRPr="00D65230">
        <w:rPr>
          <w:rFonts w:eastAsia="Times New Roman"/>
          <w:i w:val="0"/>
          <w:iCs w:val="0"/>
          <w:color w:val="000000"/>
        </w:rPr>
        <w:t xml:space="preserve">multi-apartment houses renovation process have not </w:t>
      </w:r>
      <w:r w:rsidR="00D10EF4" w:rsidRPr="00D65230">
        <w:rPr>
          <w:rFonts w:eastAsia="Times New Roman"/>
          <w:i w:val="0"/>
          <w:iCs w:val="0"/>
          <w:color w:val="000000"/>
        </w:rPr>
        <w:t>c</w:t>
      </w:r>
      <w:r w:rsidR="0055003D" w:rsidRPr="00D65230">
        <w:rPr>
          <w:rFonts w:eastAsia="Times New Roman"/>
          <w:i w:val="0"/>
          <w:iCs w:val="0"/>
          <w:color w:val="000000"/>
        </w:rPr>
        <w:t xml:space="preserve">hanged </w:t>
      </w:r>
      <w:r w:rsidR="00D10EF4" w:rsidRPr="00D65230">
        <w:rPr>
          <w:rFonts w:eastAsia="Times New Roman"/>
          <w:i w:val="0"/>
          <w:iCs w:val="0"/>
          <w:color w:val="000000"/>
        </w:rPr>
        <w:t>much in general</w:t>
      </w:r>
      <w:r w:rsidR="00080344" w:rsidRPr="00D65230">
        <w:rPr>
          <w:rFonts w:eastAsia="Times New Roman"/>
          <w:i w:val="0"/>
          <w:iCs w:val="0"/>
          <w:color w:val="000000"/>
        </w:rPr>
        <w:t xml:space="preserve"> since then</w:t>
      </w:r>
      <w:r w:rsidR="00D10EF4" w:rsidRPr="00D65230">
        <w:rPr>
          <w:rFonts w:eastAsia="Times New Roman"/>
          <w:i w:val="0"/>
          <w:iCs w:val="0"/>
          <w:color w:val="000000"/>
        </w:rPr>
        <w:t>.</w:t>
      </w:r>
      <w:r w:rsidR="0055003D" w:rsidRPr="00D65230">
        <w:rPr>
          <w:rFonts w:eastAsia="Times New Roman"/>
          <w:i w:val="0"/>
          <w:iCs w:val="0"/>
          <w:color w:val="000000"/>
        </w:rPr>
        <w:t xml:space="preserve"> </w:t>
      </w:r>
      <w:r w:rsidR="00D10EF4" w:rsidRPr="00D65230">
        <w:rPr>
          <w:rFonts w:eastAsia="Times New Roman"/>
          <w:i w:val="0"/>
          <w:iCs w:val="0"/>
          <w:color w:val="000000"/>
        </w:rPr>
        <w:t>Consequently</w:t>
      </w:r>
      <w:r w:rsidR="0055003D" w:rsidRPr="00D65230">
        <w:rPr>
          <w:rFonts w:eastAsia="Times New Roman"/>
          <w:i w:val="0"/>
          <w:iCs w:val="0"/>
          <w:color w:val="000000"/>
        </w:rPr>
        <w:t>, there is a</w:t>
      </w:r>
      <w:r w:rsidR="00D10EF4" w:rsidRPr="00D65230">
        <w:rPr>
          <w:rFonts w:eastAsia="Times New Roman"/>
          <w:i w:val="0"/>
          <w:iCs w:val="0"/>
          <w:color w:val="000000"/>
        </w:rPr>
        <w:t xml:space="preserve"> strong n</w:t>
      </w:r>
      <w:r w:rsidR="0055003D" w:rsidRPr="00D65230">
        <w:rPr>
          <w:rFonts w:eastAsia="Times New Roman"/>
          <w:i w:val="0"/>
          <w:iCs w:val="0"/>
          <w:color w:val="000000"/>
        </w:rPr>
        <w:t xml:space="preserve">eed </w:t>
      </w:r>
      <w:r w:rsidR="00D10EF4" w:rsidRPr="00D65230">
        <w:rPr>
          <w:rFonts w:eastAsia="Times New Roman"/>
          <w:i w:val="0"/>
          <w:iCs w:val="0"/>
          <w:color w:val="000000"/>
        </w:rPr>
        <w:t xml:space="preserve">for </w:t>
      </w:r>
      <w:r w:rsidR="0055003D" w:rsidRPr="00D65230">
        <w:rPr>
          <w:rFonts w:eastAsia="Times New Roman"/>
          <w:i w:val="0"/>
          <w:iCs w:val="0"/>
          <w:color w:val="000000"/>
        </w:rPr>
        <w:t>review</w:t>
      </w:r>
      <w:r w:rsidR="00D10EF4" w:rsidRPr="00D65230">
        <w:rPr>
          <w:rFonts w:eastAsia="Times New Roman"/>
          <w:i w:val="0"/>
          <w:iCs w:val="0"/>
          <w:color w:val="000000"/>
        </w:rPr>
        <w:t xml:space="preserve">ing </w:t>
      </w:r>
      <w:r w:rsidR="0055003D" w:rsidRPr="00D65230">
        <w:rPr>
          <w:rFonts w:eastAsia="Times New Roman"/>
          <w:i w:val="0"/>
          <w:iCs w:val="0"/>
          <w:color w:val="000000"/>
        </w:rPr>
        <w:t xml:space="preserve">national </w:t>
      </w:r>
      <w:r w:rsidR="00D10EF4" w:rsidRPr="00D65230">
        <w:rPr>
          <w:rFonts w:eastAsia="Times New Roman"/>
          <w:i w:val="0"/>
          <w:iCs w:val="0"/>
          <w:color w:val="000000"/>
        </w:rPr>
        <w:t xml:space="preserve">legislation </w:t>
      </w:r>
      <w:r w:rsidR="0055003D" w:rsidRPr="00D65230">
        <w:rPr>
          <w:rFonts w:eastAsia="Times New Roman"/>
          <w:i w:val="0"/>
          <w:iCs w:val="0"/>
          <w:color w:val="000000"/>
        </w:rPr>
        <w:t xml:space="preserve">and other </w:t>
      </w:r>
      <w:r w:rsidR="00D10EF4" w:rsidRPr="00D65230">
        <w:rPr>
          <w:rFonts w:eastAsia="Times New Roman"/>
          <w:i w:val="0"/>
          <w:iCs w:val="0"/>
          <w:color w:val="000000"/>
        </w:rPr>
        <w:t>instruments r</w:t>
      </w:r>
      <w:r w:rsidR="0055003D" w:rsidRPr="00D65230">
        <w:rPr>
          <w:rFonts w:eastAsia="Times New Roman"/>
          <w:i w:val="0"/>
          <w:iCs w:val="0"/>
          <w:color w:val="000000"/>
        </w:rPr>
        <w:t>egulat</w:t>
      </w:r>
      <w:r w:rsidR="00D10EF4" w:rsidRPr="00D65230">
        <w:rPr>
          <w:rFonts w:eastAsia="Times New Roman"/>
          <w:i w:val="0"/>
          <w:iCs w:val="0"/>
          <w:color w:val="000000"/>
        </w:rPr>
        <w:t xml:space="preserve">ing </w:t>
      </w:r>
      <w:r w:rsidR="00AD52B2" w:rsidRPr="00D65230">
        <w:rPr>
          <w:rFonts w:eastAsia="Times New Roman"/>
          <w:i w:val="0"/>
          <w:iCs w:val="0"/>
          <w:color w:val="000000"/>
        </w:rPr>
        <w:t>f</w:t>
      </w:r>
      <w:r w:rsidR="0055003D" w:rsidRPr="00D65230">
        <w:rPr>
          <w:rFonts w:eastAsia="Times New Roman"/>
          <w:i w:val="0"/>
          <w:iCs w:val="0"/>
          <w:color w:val="000000"/>
        </w:rPr>
        <w:t>unding mechanism</w:t>
      </w:r>
      <w:r w:rsidR="00AD52B2" w:rsidRPr="00D65230">
        <w:rPr>
          <w:rFonts w:eastAsia="Times New Roman"/>
          <w:i w:val="0"/>
          <w:iCs w:val="0"/>
          <w:color w:val="000000"/>
        </w:rPr>
        <w:t>s</w:t>
      </w:r>
      <w:r w:rsidR="0055003D" w:rsidRPr="00D65230">
        <w:rPr>
          <w:rFonts w:eastAsia="Times New Roman"/>
          <w:i w:val="0"/>
          <w:iCs w:val="0"/>
          <w:color w:val="000000"/>
        </w:rPr>
        <w:t xml:space="preserve"> </w:t>
      </w:r>
      <w:r w:rsidR="00D10EF4" w:rsidRPr="00D65230">
        <w:rPr>
          <w:rFonts w:eastAsia="Times New Roman"/>
          <w:i w:val="0"/>
          <w:iCs w:val="0"/>
          <w:color w:val="000000"/>
        </w:rPr>
        <w:t xml:space="preserve">for </w:t>
      </w:r>
      <w:r w:rsidR="0055003D" w:rsidRPr="00D65230">
        <w:rPr>
          <w:rFonts w:eastAsia="Times New Roman"/>
          <w:i w:val="0"/>
          <w:iCs w:val="0"/>
          <w:color w:val="000000"/>
        </w:rPr>
        <w:t>multi-apartment buildings renovation projects</w:t>
      </w:r>
      <w:r w:rsidR="00AD52B2" w:rsidRPr="00D65230">
        <w:rPr>
          <w:rFonts w:eastAsia="Times New Roman"/>
          <w:i w:val="0"/>
          <w:iCs w:val="0"/>
          <w:color w:val="000000"/>
        </w:rPr>
        <w:t xml:space="preserve"> so that the </w:t>
      </w:r>
      <w:r w:rsidR="0055003D" w:rsidRPr="00D65230">
        <w:rPr>
          <w:rFonts w:eastAsia="Times New Roman"/>
          <w:i w:val="0"/>
          <w:iCs w:val="0"/>
          <w:color w:val="000000"/>
        </w:rPr>
        <w:t>optimal funding method</w:t>
      </w:r>
      <w:r w:rsidR="00AD52B2" w:rsidRPr="00D65230">
        <w:rPr>
          <w:rFonts w:eastAsia="Times New Roman"/>
          <w:i w:val="0"/>
          <w:iCs w:val="0"/>
          <w:color w:val="000000"/>
        </w:rPr>
        <w:t>s</w:t>
      </w:r>
      <w:r w:rsidR="0055003D" w:rsidRPr="00D65230">
        <w:rPr>
          <w:rFonts w:eastAsia="Times New Roman"/>
          <w:i w:val="0"/>
          <w:iCs w:val="0"/>
          <w:color w:val="000000"/>
        </w:rPr>
        <w:t>, sources and conditions</w:t>
      </w:r>
      <w:r w:rsidR="00AD52B2" w:rsidRPr="00D65230">
        <w:rPr>
          <w:rFonts w:eastAsia="Times New Roman"/>
          <w:i w:val="0"/>
          <w:iCs w:val="0"/>
          <w:color w:val="000000"/>
        </w:rPr>
        <w:t xml:space="preserve"> could be determined</w:t>
      </w:r>
      <w:r w:rsidR="0055003D" w:rsidRPr="00D65230">
        <w:rPr>
          <w:rFonts w:eastAsia="Times New Roman"/>
          <w:i w:val="0"/>
          <w:iCs w:val="0"/>
          <w:color w:val="000000"/>
        </w:rPr>
        <w:t>.</w:t>
      </w:r>
    </w:p>
    <w:bookmarkEnd w:id="14"/>
    <w:bookmarkEnd w:id="15"/>
    <w:bookmarkEnd w:id="16"/>
    <w:bookmarkEnd w:id="17"/>
    <w:bookmarkEnd w:id="18"/>
    <w:bookmarkEnd w:id="19"/>
    <w:bookmarkEnd w:id="20"/>
    <w:bookmarkEnd w:id="21"/>
    <w:bookmarkEnd w:id="22"/>
    <w:bookmarkEnd w:id="23"/>
    <w:bookmarkEnd w:id="24"/>
    <w:bookmarkEnd w:id="25"/>
    <w:p w:rsidR="00C24660" w:rsidRPr="00D65230" w:rsidRDefault="00C24660">
      <w:pPr>
        <w:spacing w:before="0" w:after="160" w:line="259" w:lineRule="auto"/>
        <w:jc w:val="left"/>
        <w:rPr>
          <w:rFonts w:ascii="Arial" w:eastAsiaTheme="majorEastAsia" w:hAnsi="Arial" w:cs="Arial"/>
          <w:i/>
          <w:iCs/>
          <w:color w:val="2E74B5" w:themeColor="accent1" w:themeShade="BF"/>
        </w:rPr>
      </w:pPr>
      <w:r w:rsidRPr="00D65230">
        <w:rPr>
          <w:rFonts w:ascii="Arial" w:eastAsiaTheme="majorEastAsia" w:hAnsi="Arial" w:cs="Arial"/>
          <w:i/>
          <w:iCs/>
          <w:color w:val="2E74B5" w:themeColor="accent1" w:themeShade="BF"/>
        </w:rPr>
        <w:br w:type="page"/>
      </w:r>
    </w:p>
    <w:p w:rsidR="0055003D" w:rsidRPr="00D65230" w:rsidRDefault="0055003D" w:rsidP="00D92753">
      <w:pPr>
        <w:spacing w:before="0" w:after="160" w:line="259" w:lineRule="auto"/>
        <w:rPr>
          <w:rFonts w:ascii="Arial" w:eastAsiaTheme="majorEastAsia" w:hAnsi="Arial" w:cs="Arial"/>
          <w:i/>
          <w:iCs/>
          <w:color w:val="2E74B5" w:themeColor="accent1" w:themeShade="BF"/>
        </w:rPr>
      </w:pPr>
      <w:r w:rsidRPr="00D65230">
        <w:rPr>
          <w:rFonts w:ascii="Arial" w:eastAsiaTheme="majorEastAsia" w:hAnsi="Arial" w:cs="Arial"/>
          <w:i/>
          <w:iCs/>
          <w:color w:val="2E74B5" w:themeColor="accent1" w:themeShade="BF"/>
        </w:rPr>
        <w:lastRenderedPageBreak/>
        <w:t xml:space="preserve">The goal of evaluation </w:t>
      </w:r>
    </w:p>
    <w:p w:rsidR="0055003D" w:rsidRPr="00D65230" w:rsidRDefault="00AD52B2" w:rsidP="004A2D94">
      <w:pPr>
        <w:pStyle w:val="Heading4"/>
        <w:rPr>
          <w:rFonts w:eastAsia="Times New Roman"/>
          <w:i w:val="0"/>
          <w:iCs w:val="0"/>
          <w:color w:val="000000" w:themeColor="text1"/>
        </w:rPr>
      </w:pPr>
      <w:bookmarkStart w:id="26" w:name="_Toc476908265"/>
      <w:bookmarkStart w:id="27" w:name="_Toc476908581"/>
      <w:bookmarkStart w:id="28" w:name="_Toc476908657"/>
      <w:bookmarkStart w:id="29" w:name="_Toc476908724"/>
      <w:bookmarkStart w:id="30" w:name="_Toc476908791"/>
      <w:bookmarkStart w:id="31" w:name="_Toc476908951"/>
      <w:bookmarkStart w:id="32" w:name="_Toc476909018"/>
      <w:bookmarkStart w:id="33" w:name="_Toc476909452"/>
      <w:bookmarkStart w:id="34" w:name="_Toc476909566"/>
      <w:bookmarkStart w:id="35" w:name="_Toc476909615"/>
      <w:bookmarkStart w:id="36" w:name="_Toc476909666"/>
      <w:bookmarkStart w:id="37" w:name="_Toc476909735"/>
      <w:r w:rsidRPr="00D65230">
        <w:rPr>
          <w:rFonts w:eastAsia="Times New Roman"/>
          <w:i w:val="0"/>
          <w:iCs w:val="0"/>
          <w:color w:val="000000" w:themeColor="text1"/>
        </w:rPr>
        <w:t xml:space="preserve">The goal of this evaluation is to </w:t>
      </w:r>
      <w:r w:rsidR="0055003D" w:rsidRPr="00D65230">
        <w:rPr>
          <w:rFonts w:eastAsia="Times New Roman"/>
          <w:i w:val="0"/>
          <w:iCs w:val="0"/>
          <w:color w:val="000000" w:themeColor="text1"/>
        </w:rPr>
        <w:t xml:space="preserve">determine </w:t>
      </w:r>
      <w:r w:rsidRPr="00D65230">
        <w:rPr>
          <w:rFonts w:eastAsia="Times New Roman"/>
          <w:i w:val="0"/>
          <w:iCs w:val="0"/>
          <w:color w:val="000000" w:themeColor="text1"/>
        </w:rPr>
        <w:t xml:space="preserve">the </w:t>
      </w:r>
      <w:r w:rsidR="0055003D" w:rsidRPr="00D65230">
        <w:rPr>
          <w:rFonts w:eastAsia="Times New Roman"/>
          <w:i w:val="0"/>
          <w:iCs w:val="0"/>
          <w:color w:val="000000" w:themeColor="text1"/>
        </w:rPr>
        <w:t xml:space="preserve">optimal methods, sources and conditions </w:t>
      </w:r>
      <w:r w:rsidRPr="00D65230">
        <w:rPr>
          <w:rFonts w:eastAsia="Times New Roman"/>
          <w:i w:val="0"/>
          <w:iCs w:val="0"/>
          <w:color w:val="000000" w:themeColor="text1"/>
        </w:rPr>
        <w:t xml:space="preserve">applicable to </w:t>
      </w:r>
      <w:r w:rsidR="0055003D" w:rsidRPr="00D65230">
        <w:rPr>
          <w:rFonts w:eastAsia="Times New Roman"/>
          <w:i w:val="0"/>
          <w:iCs w:val="0"/>
          <w:color w:val="000000" w:themeColor="text1"/>
        </w:rPr>
        <w:t xml:space="preserve">financing </w:t>
      </w:r>
      <w:r w:rsidRPr="00D65230">
        <w:rPr>
          <w:rFonts w:eastAsia="Times New Roman"/>
          <w:i w:val="0"/>
          <w:iCs w:val="0"/>
          <w:color w:val="000000" w:themeColor="text1"/>
        </w:rPr>
        <w:t xml:space="preserve">of </w:t>
      </w:r>
      <w:r w:rsidR="0055003D" w:rsidRPr="00D65230">
        <w:rPr>
          <w:rFonts w:eastAsia="Times New Roman"/>
          <w:i w:val="0"/>
          <w:iCs w:val="0"/>
          <w:color w:val="000000" w:themeColor="text1"/>
        </w:rPr>
        <w:t xml:space="preserve">multi-apartment buildings </w:t>
      </w:r>
      <w:r w:rsidR="00C11C20" w:rsidRPr="00D65230">
        <w:rPr>
          <w:rFonts w:eastAsia="Times New Roman"/>
          <w:i w:val="0"/>
          <w:iCs w:val="0"/>
          <w:color w:val="000000" w:themeColor="text1"/>
        </w:rPr>
        <w:t>renovation</w:t>
      </w:r>
      <w:r w:rsidR="0055003D" w:rsidRPr="00D65230">
        <w:rPr>
          <w:rFonts w:eastAsia="Times New Roman"/>
          <w:i w:val="0"/>
          <w:iCs w:val="0"/>
          <w:color w:val="000000" w:themeColor="text1"/>
        </w:rPr>
        <w:t xml:space="preserve"> projects.</w:t>
      </w:r>
    </w:p>
    <w:bookmarkEnd w:id="26"/>
    <w:bookmarkEnd w:id="27"/>
    <w:bookmarkEnd w:id="28"/>
    <w:bookmarkEnd w:id="29"/>
    <w:bookmarkEnd w:id="30"/>
    <w:bookmarkEnd w:id="31"/>
    <w:bookmarkEnd w:id="32"/>
    <w:bookmarkEnd w:id="33"/>
    <w:bookmarkEnd w:id="34"/>
    <w:bookmarkEnd w:id="35"/>
    <w:bookmarkEnd w:id="36"/>
    <w:bookmarkEnd w:id="37"/>
    <w:p w:rsidR="00C5375C" w:rsidRPr="00D65230" w:rsidRDefault="000B57E2" w:rsidP="004A2D94">
      <w:pPr>
        <w:pStyle w:val="Heading4"/>
      </w:pPr>
      <w:r w:rsidRPr="00D65230">
        <w:t>The object</w:t>
      </w:r>
      <w:r w:rsidR="0055003D" w:rsidRPr="00D65230">
        <w:t xml:space="preserve"> of evaluation</w:t>
      </w:r>
    </w:p>
    <w:p w:rsidR="00C5375C" w:rsidRPr="00D65230" w:rsidRDefault="00AD52B2" w:rsidP="00C5375C">
      <w:pPr>
        <w:rPr>
          <w:rFonts w:ascii="Arial" w:hAnsi="Arial" w:cs="Arial"/>
        </w:rPr>
      </w:pPr>
      <w:r w:rsidRPr="00D65230">
        <w:rPr>
          <w:rFonts w:ascii="Arial" w:hAnsi="Arial" w:cs="Arial"/>
        </w:rPr>
        <w:t>The e</w:t>
      </w:r>
      <w:r w:rsidR="0055003D" w:rsidRPr="00D65230">
        <w:rPr>
          <w:rFonts w:ascii="Arial" w:hAnsi="Arial" w:cs="Arial"/>
        </w:rPr>
        <w:t xml:space="preserve">valuation covers </w:t>
      </w:r>
      <w:r w:rsidRPr="00D65230">
        <w:rPr>
          <w:rFonts w:ascii="Arial" w:hAnsi="Arial" w:cs="Arial"/>
        </w:rPr>
        <w:t xml:space="preserve">the following </w:t>
      </w:r>
      <w:r w:rsidR="0055003D" w:rsidRPr="00D65230">
        <w:rPr>
          <w:rFonts w:ascii="Arial" w:hAnsi="Arial" w:cs="Arial"/>
        </w:rPr>
        <w:t xml:space="preserve">two </w:t>
      </w:r>
      <w:r w:rsidRPr="00D65230">
        <w:rPr>
          <w:rFonts w:ascii="Arial" w:hAnsi="Arial" w:cs="Arial"/>
        </w:rPr>
        <w:t xml:space="preserve">measures available under the </w:t>
      </w:r>
      <w:r w:rsidR="0055003D" w:rsidRPr="00D65230">
        <w:rPr>
          <w:rFonts w:ascii="Arial" w:hAnsi="Arial" w:cs="Arial"/>
        </w:rPr>
        <w:t>EU structural funds</w:t>
      </w:r>
      <w:r w:rsidR="00C5375C" w:rsidRPr="00D65230">
        <w:rPr>
          <w:rFonts w:ascii="Arial" w:hAnsi="Arial" w:cs="Arial"/>
        </w:rPr>
        <w:t>:</w:t>
      </w:r>
    </w:p>
    <w:p w:rsidR="0055003D" w:rsidRPr="00D65230" w:rsidRDefault="000D06ED" w:rsidP="0055003D">
      <w:pPr>
        <w:pStyle w:val="Tablebulletsub"/>
        <w:ind w:left="567" w:hanging="283"/>
        <w:rPr>
          <w:rFonts w:ascii="Arial" w:hAnsi="Arial" w:cs="Arial"/>
        </w:rPr>
      </w:pPr>
      <w:r w:rsidRPr="00D65230">
        <w:rPr>
          <w:rFonts w:ascii="Arial" w:hAnsi="Arial" w:cs="Arial"/>
        </w:rPr>
        <w:t>Measure JKF</w:t>
      </w:r>
      <w:r w:rsidR="0055003D" w:rsidRPr="00D65230">
        <w:rPr>
          <w:rFonts w:ascii="Arial" w:hAnsi="Arial" w:cs="Arial"/>
        </w:rPr>
        <w:t>;</w:t>
      </w:r>
      <w:r w:rsidR="00D74CE3" w:rsidRPr="00D65230">
        <w:rPr>
          <w:rFonts w:ascii="Arial" w:hAnsi="Arial" w:cs="Arial"/>
        </w:rPr>
        <w:t xml:space="preserve"> and</w:t>
      </w:r>
    </w:p>
    <w:p w:rsidR="00C5375C" w:rsidRPr="00D65230" w:rsidRDefault="000D06ED" w:rsidP="0055003D">
      <w:pPr>
        <w:pStyle w:val="Tablebulletsub"/>
        <w:ind w:left="567" w:hanging="283"/>
        <w:rPr>
          <w:rFonts w:ascii="Arial" w:hAnsi="Arial" w:cs="Arial"/>
        </w:rPr>
      </w:pPr>
      <w:r w:rsidRPr="00D65230">
        <w:rPr>
          <w:rFonts w:ascii="Arial" w:hAnsi="Arial" w:cs="Arial"/>
        </w:rPr>
        <w:t>Measure DNA</w:t>
      </w:r>
      <w:r w:rsidR="0055003D" w:rsidRPr="00D65230">
        <w:rPr>
          <w:rFonts w:ascii="Arial" w:hAnsi="Arial" w:cs="Arial"/>
        </w:rPr>
        <w:t>.</w:t>
      </w:r>
    </w:p>
    <w:p w:rsidR="00C5375C" w:rsidRPr="00D65230" w:rsidRDefault="0055003D" w:rsidP="00C5375C">
      <w:pPr>
        <w:pStyle w:val="Tablebulletsub"/>
        <w:numPr>
          <w:ilvl w:val="0"/>
          <w:numId w:val="0"/>
        </w:numPr>
        <w:rPr>
          <w:rFonts w:ascii="Arial" w:hAnsi="Arial" w:cs="Arial"/>
        </w:rPr>
      </w:pPr>
      <w:r w:rsidRPr="00D65230">
        <w:rPr>
          <w:rFonts w:ascii="Arial" w:hAnsi="Arial" w:cs="Arial"/>
        </w:rPr>
        <w:t xml:space="preserve">Also, considering that the implementation of multi-apartment buildings </w:t>
      </w:r>
      <w:r w:rsidR="00C11C20" w:rsidRPr="00D65230">
        <w:rPr>
          <w:rFonts w:ascii="Arial" w:hAnsi="Arial" w:cs="Arial"/>
        </w:rPr>
        <w:t>renovation</w:t>
      </w:r>
      <w:r w:rsidRPr="00D65230">
        <w:rPr>
          <w:rFonts w:ascii="Arial" w:hAnsi="Arial" w:cs="Arial"/>
        </w:rPr>
        <w:t xml:space="preserve"> projects is funded not only under the above-indicated measures but also by allocating the target </w:t>
      </w:r>
      <w:r w:rsidR="00614547" w:rsidRPr="00D65230">
        <w:rPr>
          <w:rFonts w:ascii="Arial" w:hAnsi="Arial" w:cs="Arial"/>
        </w:rPr>
        <w:t>support</w:t>
      </w:r>
      <w:r w:rsidRPr="00D65230">
        <w:rPr>
          <w:rFonts w:ascii="Arial" w:hAnsi="Arial" w:cs="Arial"/>
        </w:rPr>
        <w:t xml:space="preserve"> from the State budget, the whole multi-apartment buildings </w:t>
      </w:r>
      <w:r w:rsidR="00C11C20" w:rsidRPr="00D65230">
        <w:rPr>
          <w:rFonts w:ascii="Arial" w:hAnsi="Arial" w:cs="Arial"/>
        </w:rPr>
        <w:t>renovation</w:t>
      </w:r>
      <w:r w:rsidRPr="00D65230">
        <w:rPr>
          <w:rFonts w:ascii="Arial" w:hAnsi="Arial" w:cs="Arial"/>
        </w:rPr>
        <w:t xml:space="preserve"> projects funding mechanism </w:t>
      </w:r>
      <w:r w:rsidR="00A11BD0" w:rsidRPr="00D65230">
        <w:rPr>
          <w:rFonts w:ascii="Arial" w:hAnsi="Arial" w:cs="Arial"/>
        </w:rPr>
        <w:t xml:space="preserve">has to be </w:t>
      </w:r>
      <w:r w:rsidRPr="00D65230">
        <w:rPr>
          <w:rFonts w:ascii="Arial" w:hAnsi="Arial" w:cs="Arial"/>
        </w:rPr>
        <w:t>anal</w:t>
      </w:r>
      <w:r w:rsidR="006D6968" w:rsidRPr="00D65230">
        <w:rPr>
          <w:rFonts w:ascii="Arial" w:hAnsi="Arial" w:cs="Arial"/>
        </w:rPr>
        <w:t>ys</w:t>
      </w:r>
      <w:r w:rsidRPr="00D65230">
        <w:rPr>
          <w:rFonts w:ascii="Arial" w:hAnsi="Arial" w:cs="Arial"/>
        </w:rPr>
        <w:t>ed.</w:t>
      </w:r>
    </w:p>
    <w:p w:rsidR="00C5375C" w:rsidRPr="00D65230" w:rsidRDefault="000B57E2" w:rsidP="004A2D94">
      <w:pPr>
        <w:pStyle w:val="Heading4"/>
      </w:pPr>
      <w:r w:rsidRPr="00D65230">
        <w:t xml:space="preserve">The </w:t>
      </w:r>
      <w:r w:rsidR="0055003D" w:rsidRPr="00D65230">
        <w:t>evaluation</w:t>
      </w:r>
      <w:r w:rsidRPr="00D65230">
        <w:t xml:space="preserve"> methodology</w:t>
      </w:r>
    </w:p>
    <w:p w:rsidR="00C5375C" w:rsidRPr="00D65230" w:rsidRDefault="00A11BD0" w:rsidP="00C5375C">
      <w:pPr>
        <w:pStyle w:val="Tablebulletsub"/>
        <w:numPr>
          <w:ilvl w:val="0"/>
          <w:numId w:val="0"/>
        </w:numPr>
        <w:rPr>
          <w:rFonts w:ascii="Arial" w:hAnsi="Arial" w:cs="Arial"/>
        </w:rPr>
      </w:pPr>
      <w:r w:rsidRPr="00D65230">
        <w:rPr>
          <w:rFonts w:ascii="Arial" w:hAnsi="Arial" w:cs="Arial"/>
        </w:rPr>
        <w:t xml:space="preserve">The following methods have been applied for the </w:t>
      </w:r>
      <w:r w:rsidR="0055003D" w:rsidRPr="00D65230">
        <w:rPr>
          <w:rFonts w:ascii="Arial" w:hAnsi="Arial" w:cs="Arial"/>
        </w:rPr>
        <w:t>evaluation p</w:t>
      </w:r>
      <w:r w:rsidRPr="00D65230">
        <w:rPr>
          <w:rFonts w:ascii="Arial" w:hAnsi="Arial" w:cs="Arial"/>
        </w:rPr>
        <w:t>urpose</w:t>
      </w:r>
      <w:r w:rsidR="00C5375C" w:rsidRPr="00D65230">
        <w:rPr>
          <w:rFonts w:ascii="Arial" w:hAnsi="Arial" w:cs="Arial"/>
        </w:rPr>
        <w:t>:</w:t>
      </w:r>
    </w:p>
    <w:p w:rsidR="0055003D" w:rsidRPr="00D65230" w:rsidRDefault="0055003D" w:rsidP="0055003D">
      <w:pPr>
        <w:pStyle w:val="Tablebulletsub"/>
        <w:ind w:left="567" w:hanging="283"/>
        <w:rPr>
          <w:rFonts w:ascii="Arial" w:hAnsi="Arial" w:cs="Arial"/>
        </w:rPr>
      </w:pPr>
      <w:r w:rsidRPr="00D65230">
        <w:rPr>
          <w:rFonts w:ascii="Arial" w:hAnsi="Arial" w:cs="Arial"/>
        </w:rPr>
        <w:t>analys</w:t>
      </w:r>
      <w:r w:rsidR="0060042C" w:rsidRPr="00D65230">
        <w:rPr>
          <w:rFonts w:ascii="Arial" w:hAnsi="Arial" w:cs="Arial"/>
        </w:rPr>
        <w:t>e</w:t>
      </w:r>
      <w:r w:rsidRPr="00D65230">
        <w:rPr>
          <w:rFonts w:ascii="Arial" w:hAnsi="Arial" w:cs="Arial"/>
        </w:rPr>
        <w:t xml:space="preserve">s of primary and secondary sources of information, including legal acts on multi-apartment buildings </w:t>
      </w:r>
      <w:r w:rsidR="00C11C20" w:rsidRPr="00D65230">
        <w:rPr>
          <w:rFonts w:ascii="Arial" w:hAnsi="Arial" w:cs="Arial"/>
        </w:rPr>
        <w:t>renovation</w:t>
      </w:r>
      <w:r w:rsidRPr="00D65230">
        <w:rPr>
          <w:rFonts w:ascii="Arial" w:hAnsi="Arial" w:cs="Arial"/>
        </w:rPr>
        <w:t>, relevant programming and planning documents, evaluations and case studies, documents produced by th</w:t>
      </w:r>
      <w:r w:rsidR="0060042C" w:rsidRPr="00D65230">
        <w:rPr>
          <w:rFonts w:ascii="Arial" w:hAnsi="Arial" w:cs="Arial"/>
        </w:rPr>
        <w:t xml:space="preserve">ose involved in the </w:t>
      </w:r>
      <w:r w:rsidR="00C11C20" w:rsidRPr="00D65230">
        <w:rPr>
          <w:rFonts w:ascii="Arial" w:hAnsi="Arial" w:cs="Arial"/>
        </w:rPr>
        <w:t>renovation</w:t>
      </w:r>
      <w:r w:rsidRPr="00D65230">
        <w:rPr>
          <w:rFonts w:ascii="Arial" w:hAnsi="Arial" w:cs="Arial"/>
        </w:rPr>
        <w:t xml:space="preserve"> process;</w:t>
      </w:r>
    </w:p>
    <w:p w:rsidR="0055003D" w:rsidRPr="00D65230" w:rsidRDefault="0055003D" w:rsidP="0055003D">
      <w:pPr>
        <w:pStyle w:val="Tablebulletsub"/>
        <w:ind w:left="567" w:hanging="283"/>
        <w:rPr>
          <w:rFonts w:ascii="Arial" w:hAnsi="Arial" w:cs="Arial"/>
        </w:rPr>
      </w:pPr>
      <w:r w:rsidRPr="00D65230">
        <w:rPr>
          <w:rFonts w:ascii="Arial" w:hAnsi="Arial" w:cs="Arial"/>
        </w:rPr>
        <w:t xml:space="preserve">meetings with multi-apartment buildings </w:t>
      </w:r>
      <w:r w:rsidR="00C11C20" w:rsidRPr="00D65230">
        <w:rPr>
          <w:rFonts w:ascii="Arial" w:hAnsi="Arial" w:cs="Arial"/>
        </w:rPr>
        <w:t>renovation</w:t>
      </w:r>
      <w:r w:rsidRPr="00D65230">
        <w:rPr>
          <w:rFonts w:ascii="Arial" w:hAnsi="Arial" w:cs="Arial"/>
        </w:rPr>
        <w:t xml:space="preserve"> process </w:t>
      </w:r>
      <w:r w:rsidR="0060042C" w:rsidRPr="00D65230">
        <w:rPr>
          <w:rFonts w:ascii="Arial" w:hAnsi="Arial" w:cs="Arial"/>
        </w:rPr>
        <w:t xml:space="preserve">participants </w:t>
      </w:r>
      <w:r w:rsidRPr="00D65230">
        <w:rPr>
          <w:rFonts w:ascii="Arial" w:hAnsi="Arial" w:cs="Arial"/>
        </w:rPr>
        <w:t>-</w:t>
      </w:r>
      <w:r w:rsidR="00E44411" w:rsidRPr="00D65230">
        <w:rPr>
          <w:rFonts w:ascii="Arial" w:hAnsi="Arial" w:cs="Arial"/>
        </w:rPr>
        <w:t xml:space="preserve"> </w:t>
      </w:r>
      <w:r w:rsidR="0060042C" w:rsidRPr="00D65230">
        <w:rPr>
          <w:rFonts w:ascii="Arial" w:hAnsi="Arial" w:cs="Arial"/>
        </w:rPr>
        <w:t>a</w:t>
      </w:r>
      <w:r w:rsidRPr="00D65230">
        <w:rPr>
          <w:rFonts w:ascii="Arial" w:hAnsi="Arial" w:cs="Arial"/>
        </w:rPr>
        <w:t xml:space="preserve"> focus group discussion and 12 interviews </w:t>
      </w:r>
      <w:r w:rsidR="0060042C" w:rsidRPr="00D65230">
        <w:rPr>
          <w:rFonts w:ascii="Arial" w:hAnsi="Arial" w:cs="Arial"/>
        </w:rPr>
        <w:t>have been held during the evaluation process;</w:t>
      </w:r>
    </w:p>
    <w:p w:rsidR="0055003D" w:rsidRPr="00D65230" w:rsidRDefault="0055003D" w:rsidP="0055003D">
      <w:pPr>
        <w:pStyle w:val="Tablebulletsub"/>
        <w:ind w:left="567" w:hanging="283"/>
        <w:rPr>
          <w:rFonts w:ascii="Arial" w:hAnsi="Arial" w:cs="Arial"/>
        </w:rPr>
      </w:pPr>
      <w:r w:rsidRPr="00D65230">
        <w:rPr>
          <w:rFonts w:ascii="Arial" w:hAnsi="Arial" w:cs="Arial"/>
        </w:rPr>
        <w:t>written surveys –</w:t>
      </w:r>
      <w:r w:rsidR="00C44B93" w:rsidRPr="00D65230">
        <w:rPr>
          <w:rFonts w:ascii="Arial" w:hAnsi="Arial" w:cs="Arial"/>
        </w:rPr>
        <w:t xml:space="preserve"> </w:t>
      </w:r>
      <w:r w:rsidRPr="00D65230">
        <w:rPr>
          <w:rFonts w:ascii="Arial" w:hAnsi="Arial" w:cs="Arial"/>
        </w:rPr>
        <w:t xml:space="preserve">administrators of multi-apartment buildings and municipal </w:t>
      </w:r>
      <w:r w:rsidR="00C44B93" w:rsidRPr="00D65230">
        <w:rPr>
          <w:rFonts w:ascii="Arial" w:hAnsi="Arial" w:cs="Arial"/>
        </w:rPr>
        <w:t>officers have been asked to give their opinions during the evaluation process</w:t>
      </w:r>
      <w:r w:rsidRPr="00D65230">
        <w:rPr>
          <w:rFonts w:ascii="Arial" w:hAnsi="Arial" w:cs="Arial"/>
        </w:rPr>
        <w:t>;</w:t>
      </w:r>
    </w:p>
    <w:p w:rsidR="0055003D" w:rsidRPr="00D65230" w:rsidRDefault="0055003D" w:rsidP="0055003D">
      <w:pPr>
        <w:pStyle w:val="Tablebulletsub"/>
        <w:ind w:left="567" w:hanging="283"/>
        <w:rPr>
          <w:rFonts w:ascii="Arial" w:hAnsi="Arial" w:cs="Arial"/>
        </w:rPr>
      </w:pPr>
      <w:r w:rsidRPr="00D65230">
        <w:rPr>
          <w:rFonts w:ascii="Arial" w:hAnsi="Arial" w:cs="Arial"/>
        </w:rPr>
        <w:t>expert multi-criterion evaluation</w:t>
      </w:r>
      <w:r w:rsidR="00C44B93" w:rsidRPr="00D65230">
        <w:rPr>
          <w:rFonts w:ascii="Arial" w:hAnsi="Arial" w:cs="Arial"/>
        </w:rPr>
        <w:t>s</w:t>
      </w:r>
      <w:r w:rsidRPr="00D65230">
        <w:rPr>
          <w:rFonts w:ascii="Arial" w:hAnsi="Arial" w:cs="Arial"/>
        </w:rPr>
        <w:t xml:space="preserve"> – </w:t>
      </w:r>
      <w:r w:rsidR="00C44B93" w:rsidRPr="00D65230">
        <w:rPr>
          <w:rFonts w:ascii="Arial" w:hAnsi="Arial" w:cs="Arial"/>
        </w:rPr>
        <w:t>u</w:t>
      </w:r>
      <w:r w:rsidRPr="00D65230">
        <w:rPr>
          <w:rFonts w:ascii="Arial" w:hAnsi="Arial" w:cs="Arial"/>
        </w:rPr>
        <w:t xml:space="preserve">sed to </w:t>
      </w:r>
      <w:r w:rsidR="00420494" w:rsidRPr="00D65230">
        <w:rPr>
          <w:rFonts w:ascii="Arial" w:hAnsi="Arial" w:cs="Arial"/>
        </w:rPr>
        <w:t>assess</w:t>
      </w:r>
      <w:r w:rsidRPr="00D65230">
        <w:rPr>
          <w:rFonts w:ascii="Arial" w:hAnsi="Arial" w:cs="Arial"/>
        </w:rPr>
        <w:t xml:space="preserve"> the </w:t>
      </w:r>
      <w:r w:rsidR="00420494" w:rsidRPr="00D65230">
        <w:rPr>
          <w:rFonts w:ascii="Arial" w:hAnsi="Arial" w:cs="Arial"/>
        </w:rPr>
        <w:t xml:space="preserve">alternative models of </w:t>
      </w:r>
      <w:r w:rsidRPr="00D65230">
        <w:rPr>
          <w:rFonts w:ascii="Arial" w:hAnsi="Arial" w:cs="Arial"/>
        </w:rPr>
        <w:t>State</w:t>
      </w:r>
      <w:r w:rsidR="00C44B93" w:rsidRPr="00D65230">
        <w:rPr>
          <w:rFonts w:ascii="Arial" w:hAnsi="Arial" w:cs="Arial"/>
        </w:rPr>
        <w:t>’s</w:t>
      </w:r>
      <w:r w:rsidRPr="00D65230">
        <w:rPr>
          <w:rFonts w:ascii="Arial" w:hAnsi="Arial" w:cs="Arial"/>
        </w:rPr>
        <w:t xml:space="preserve"> support </w:t>
      </w:r>
      <w:r w:rsidR="00C44B93" w:rsidRPr="00D65230">
        <w:rPr>
          <w:rFonts w:ascii="Arial" w:hAnsi="Arial" w:cs="Arial"/>
        </w:rPr>
        <w:t xml:space="preserve">to </w:t>
      </w:r>
      <w:r w:rsidRPr="00D65230">
        <w:rPr>
          <w:rFonts w:ascii="Arial" w:hAnsi="Arial" w:cs="Arial"/>
        </w:rPr>
        <w:t xml:space="preserve">multi-apartment buildings </w:t>
      </w:r>
      <w:r w:rsidR="00C11C20" w:rsidRPr="00D65230">
        <w:rPr>
          <w:rFonts w:ascii="Arial" w:hAnsi="Arial" w:cs="Arial"/>
        </w:rPr>
        <w:t>renovation</w:t>
      </w:r>
      <w:r w:rsidRPr="00D65230">
        <w:rPr>
          <w:rFonts w:ascii="Arial" w:hAnsi="Arial" w:cs="Arial"/>
        </w:rPr>
        <w:t xml:space="preserve"> projects;</w:t>
      </w:r>
    </w:p>
    <w:p w:rsidR="00C06377" w:rsidRPr="00D65230" w:rsidRDefault="0055003D" w:rsidP="0055003D">
      <w:pPr>
        <w:pStyle w:val="Tablebulletsub"/>
        <w:ind w:left="567" w:hanging="283"/>
        <w:rPr>
          <w:rFonts w:ascii="Arial" w:hAnsi="Arial" w:cs="Arial"/>
        </w:rPr>
      </w:pPr>
      <w:proofErr w:type="gramStart"/>
      <w:r w:rsidRPr="00D65230">
        <w:rPr>
          <w:rFonts w:ascii="Arial" w:hAnsi="Arial" w:cs="Arial"/>
        </w:rPr>
        <w:t>reconstruction</w:t>
      </w:r>
      <w:proofErr w:type="gramEnd"/>
      <w:r w:rsidRPr="00D65230">
        <w:rPr>
          <w:rFonts w:ascii="Arial" w:hAnsi="Arial" w:cs="Arial"/>
        </w:rPr>
        <w:t xml:space="preserve"> of the intervention logic, </w:t>
      </w:r>
      <w:r w:rsidR="00420494" w:rsidRPr="00D65230">
        <w:rPr>
          <w:rFonts w:ascii="Arial" w:hAnsi="Arial" w:cs="Arial"/>
        </w:rPr>
        <w:t>cost-benefit analysis and other methods</w:t>
      </w:r>
      <w:r w:rsidR="00C06377" w:rsidRPr="00D65230">
        <w:rPr>
          <w:rFonts w:ascii="Arial" w:hAnsi="Arial" w:cs="Arial"/>
        </w:rPr>
        <w:t>.</w:t>
      </w:r>
    </w:p>
    <w:p w:rsidR="00566E06" w:rsidRPr="00D65230" w:rsidRDefault="000B57E2" w:rsidP="004A2D94">
      <w:pPr>
        <w:spacing w:before="120"/>
        <w:rPr>
          <w:rFonts w:ascii="Arial" w:hAnsi="Arial" w:cs="Arial"/>
          <w:b/>
          <w:color w:val="00338D"/>
          <w:sz w:val="28"/>
        </w:rPr>
      </w:pPr>
      <w:r w:rsidRPr="00D65230">
        <w:rPr>
          <w:rFonts w:ascii="Arial" w:hAnsi="Arial" w:cs="Arial"/>
          <w:b/>
          <w:color w:val="00338D"/>
          <w:sz w:val="28"/>
        </w:rPr>
        <w:t xml:space="preserve">Evaluation </w:t>
      </w:r>
      <w:r w:rsidR="000B73BE" w:rsidRPr="00D65230">
        <w:rPr>
          <w:rFonts w:ascii="Arial" w:hAnsi="Arial" w:cs="Arial"/>
          <w:b/>
          <w:color w:val="00338D"/>
          <w:sz w:val="28"/>
        </w:rPr>
        <w:t xml:space="preserve">Results and </w:t>
      </w:r>
      <w:r w:rsidRPr="00D65230">
        <w:rPr>
          <w:rFonts w:ascii="Arial" w:hAnsi="Arial" w:cs="Arial"/>
          <w:b/>
          <w:color w:val="00338D"/>
          <w:sz w:val="28"/>
        </w:rPr>
        <w:t>F</w:t>
      </w:r>
      <w:r w:rsidR="0055003D" w:rsidRPr="00D65230">
        <w:rPr>
          <w:rFonts w:ascii="Arial" w:hAnsi="Arial" w:cs="Arial"/>
          <w:b/>
          <w:color w:val="00338D"/>
          <w:sz w:val="28"/>
        </w:rPr>
        <w:t xml:space="preserve">indings </w:t>
      </w:r>
    </w:p>
    <w:p w:rsidR="00740C88" w:rsidRPr="00D65230" w:rsidRDefault="0055003D" w:rsidP="00740C88">
      <w:pPr>
        <w:pStyle w:val="Tablebulletsub"/>
        <w:numPr>
          <w:ilvl w:val="0"/>
          <w:numId w:val="0"/>
        </w:numPr>
        <w:rPr>
          <w:rFonts w:ascii="Arial" w:hAnsi="Arial" w:cs="Arial"/>
        </w:rPr>
      </w:pPr>
      <w:r w:rsidRPr="00D65230">
        <w:rPr>
          <w:rFonts w:ascii="Arial" w:hAnsi="Arial" w:cs="Arial"/>
        </w:rPr>
        <w:t xml:space="preserve">The following summarizes the </w:t>
      </w:r>
      <w:r w:rsidR="000B73BE" w:rsidRPr="00D65230">
        <w:rPr>
          <w:rFonts w:ascii="Arial" w:hAnsi="Arial" w:cs="Arial"/>
        </w:rPr>
        <w:t xml:space="preserve">evaluation </w:t>
      </w:r>
      <w:r w:rsidRPr="00D65230">
        <w:rPr>
          <w:rFonts w:ascii="Arial" w:hAnsi="Arial" w:cs="Arial"/>
        </w:rPr>
        <w:t>results and findings by the main structural parts</w:t>
      </w:r>
      <w:r w:rsidR="000B73BE" w:rsidRPr="00D65230">
        <w:rPr>
          <w:rFonts w:ascii="Arial" w:hAnsi="Arial" w:cs="Arial"/>
        </w:rPr>
        <w:t xml:space="preserve"> of this Report</w:t>
      </w:r>
      <w:r w:rsidR="001003A0" w:rsidRPr="00D65230">
        <w:rPr>
          <w:rFonts w:ascii="Arial" w:hAnsi="Arial" w:cs="Arial"/>
        </w:rPr>
        <w:t>.</w:t>
      </w:r>
    </w:p>
    <w:p w:rsidR="000F2BB6" w:rsidRPr="00D65230" w:rsidRDefault="0055003D" w:rsidP="000F2BB6">
      <w:pPr>
        <w:pStyle w:val="Heading4"/>
        <w:rPr>
          <w:i w:val="0"/>
          <w:color w:val="00338D"/>
        </w:rPr>
      </w:pPr>
      <w:r w:rsidRPr="00D65230">
        <w:rPr>
          <w:i w:val="0"/>
          <w:color w:val="00338D"/>
        </w:rPr>
        <w:t xml:space="preserve">Review of the social-economic situation and the development of multi-apartment buildings </w:t>
      </w:r>
      <w:r w:rsidR="00C11C20" w:rsidRPr="00D65230">
        <w:rPr>
          <w:i w:val="0"/>
          <w:color w:val="00338D"/>
        </w:rPr>
        <w:t>renovation</w:t>
      </w:r>
      <w:r w:rsidR="000B73BE" w:rsidRPr="00D65230">
        <w:rPr>
          <w:i w:val="0"/>
          <w:color w:val="00338D"/>
        </w:rPr>
        <w:t xml:space="preserve"> in Lithuania</w:t>
      </w:r>
    </w:p>
    <w:p w:rsidR="007D2F4B" w:rsidRPr="00D65230" w:rsidRDefault="0055003D" w:rsidP="000F2BB6">
      <w:pPr>
        <w:rPr>
          <w:rFonts w:ascii="Arial" w:hAnsi="Arial" w:cs="Arial"/>
        </w:rPr>
      </w:pPr>
      <w:r w:rsidRPr="00D65230">
        <w:rPr>
          <w:rFonts w:ascii="Arial" w:hAnsi="Arial" w:cs="Arial"/>
        </w:rPr>
        <w:t>Lithuania</w:t>
      </w:r>
      <w:r w:rsidR="000B73BE" w:rsidRPr="00D65230">
        <w:rPr>
          <w:rFonts w:ascii="Arial" w:hAnsi="Arial" w:cs="Arial"/>
        </w:rPr>
        <w:t>’s</w:t>
      </w:r>
      <w:r w:rsidRPr="00D65230">
        <w:rPr>
          <w:rFonts w:ascii="Arial" w:hAnsi="Arial" w:cs="Arial"/>
        </w:rPr>
        <w:t xml:space="preserve"> social-economic development in the last decade </w:t>
      </w:r>
      <w:r w:rsidR="000B73BE" w:rsidRPr="00D65230">
        <w:rPr>
          <w:rFonts w:ascii="Arial" w:hAnsi="Arial" w:cs="Arial"/>
        </w:rPr>
        <w:t>may</w:t>
      </w:r>
      <w:r w:rsidRPr="00D65230">
        <w:rPr>
          <w:rFonts w:ascii="Arial" w:hAnsi="Arial" w:cs="Arial"/>
        </w:rPr>
        <w:t xml:space="preserve"> be characterized by substantial increases and slumps. The analysis of </w:t>
      </w:r>
      <w:r w:rsidR="000B73BE" w:rsidRPr="00D65230">
        <w:rPr>
          <w:rFonts w:ascii="Arial" w:hAnsi="Arial" w:cs="Arial"/>
        </w:rPr>
        <w:t xml:space="preserve">the </w:t>
      </w:r>
      <w:r w:rsidRPr="00D65230">
        <w:rPr>
          <w:rFonts w:ascii="Arial" w:hAnsi="Arial" w:cs="Arial"/>
        </w:rPr>
        <w:t xml:space="preserve">State’s key macroeconomic indicators shows that the period from the year 2005 to 2016 could be split into four different </w:t>
      </w:r>
      <w:r w:rsidR="00F43F0F" w:rsidRPr="00D65230">
        <w:rPr>
          <w:rFonts w:ascii="Arial" w:hAnsi="Arial" w:cs="Arial"/>
        </w:rPr>
        <w:t>sections</w:t>
      </w:r>
      <w:r w:rsidRPr="00D65230">
        <w:rPr>
          <w:rFonts w:ascii="Arial" w:hAnsi="Arial" w:cs="Arial"/>
        </w:rPr>
        <w:t xml:space="preserve">: starting with </w:t>
      </w:r>
      <w:r w:rsidR="00D807A1" w:rsidRPr="00D65230">
        <w:rPr>
          <w:rFonts w:ascii="Arial" w:hAnsi="Arial" w:cs="Arial"/>
        </w:rPr>
        <w:t xml:space="preserve">an </w:t>
      </w:r>
      <w:r w:rsidRPr="00D65230">
        <w:rPr>
          <w:rFonts w:ascii="Arial" w:hAnsi="Arial" w:cs="Arial"/>
        </w:rPr>
        <w:t xml:space="preserve">intensive economic growth in 2005-2008; recession in 2008-2010, because of the </w:t>
      </w:r>
      <w:r w:rsidR="00D807A1" w:rsidRPr="00D65230">
        <w:rPr>
          <w:rFonts w:ascii="Arial" w:hAnsi="Arial" w:cs="Arial"/>
        </w:rPr>
        <w:t>g</w:t>
      </w:r>
      <w:r w:rsidRPr="00D65230">
        <w:rPr>
          <w:rFonts w:ascii="Arial" w:hAnsi="Arial" w:cs="Arial"/>
        </w:rPr>
        <w:t>lobal crisis; recovery period in 2010-2013 and the economic slowdown period, which started in 2014 and continues.</w:t>
      </w:r>
      <w:r w:rsidR="00BE7835" w:rsidRPr="00D65230">
        <w:rPr>
          <w:rFonts w:ascii="Arial" w:hAnsi="Arial" w:cs="Arial"/>
        </w:rPr>
        <w:t xml:space="preserve"> </w:t>
      </w:r>
      <w:r w:rsidR="007D2F4B" w:rsidRPr="00D65230">
        <w:rPr>
          <w:rFonts w:ascii="Arial" w:hAnsi="Arial" w:cs="Arial"/>
        </w:rPr>
        <w:t>According to the legal and economic changes, multi-apartment buildings provisory policy can be divided into two main stages: (1) until the year 2009; (2) after the year 2009.</w:t>
      </w:r>
    </w:p>
    <w:p w:rsidR="00101613" w:rsidRPr="00D65230" w:rsidRDefault="007D2F4B" w:rsidP="000F2BB6">
      <w:pPr>
        <w:rPr>
          <w:rFonts w:ascii="Arial" w:hAnsi="Arial" w:cs="Arial"/>
        </w:rPr>
      </w:pPr>
      <w:r w:rsidRPr="00D65230">
        <w:rPr>
          <w:rFonts w:ascii="Arial" w:hAnsi="Arial" w:cs="Arial"/>
        </w:rPr>
        <w:t>Since the year 2004, when the Program</w:t>
      </w:r>
      <w:r w:rsidR="000B73BE" w:rsidRPr="00D65230">
        <w:rPr>
          <w:rFonts w:ascii="Arial" w:hAnsi="Arial" w:cs="Arial"/>
        </w:rPr>
        <w:t>me</w:t>
      </w:r>
      <w:r w:rsidRPr="00D65230">
        <w:rPr>
          <w:rFonts w:ascii="Arial" w:hAnsi="Arial" w:cs="Arial"/>
        </w:rPr>
        <w:t xml:space="preserve"> was approved, to the year 2009 multi-apartment buildings </w:t>
      </w:r>
      <w:r w:rsidR="00C11C20" w:rsidRPr="00D65230">
        <w:rPr>
          <w:rFonts w:ascii="Arial" w:hAnsi="Arial" w:cs="Arial"/>
        </w:rPr>
        <w:t>renovation</w:t>
      </w:r>
      <w:r w:rsidRPr="00D65230">
        <w:rPr>
          <w:rFonts w:ascii="Arial" w:hAnsi="Arial" w:cs="Arial"/>
        </w:rPr>
        <w:t xml:space="preserve"> projects were funded via credit and government support mechanism, using the State budget, </w:t>
      </w:r>
      <w:r w:rsidR="00614547" w:rsidRPr="00D65230">
        <w:rPr>
          <w:rFonts w:ascii="Arial" w:hAnsi="Arial" w:cs="Arial"/>
        </w:rPr>
        <w:t>apartment owners’</w:t>
      </w:r>
      <w:r w:rsidRPr="00D65230">
        <w:rPr>
          <w:rFonts w:ascii="Arial" w:hAnsi="Arial" w:cs="Arial"/>
        </w:rPr>
        <w:t xml:space="preserve"> and commercial banks</w:t>
      </w:r>
      <w:r w:rsidR="00614547" w:rsidRPr="00D65230">
        <w:rPr>
          <w:rFonts w:ascii="Arial" w:hAnsi="Arial" w:cs="Arial"/>
        </w:rPr>
        <w:t>’</w:t>
      </w:r>
      <w:r w:rsidRPr="00D65230">
        <w:rPr>
          <w:rFonts w:ascii="Arial" w:hAnsi="Arial" w:cs="Arial"/>
        </w:rPr>
        <w:t xml:space="preserve"> funds. In order to create favourable conditions for commercial banks to fund projects of multi-apartment buildings </w:t>
      </w:r>
      <w:r w:rsidR="00C11C20" w:rsidRPr="00D65230">
        <w:rPr>
          <w:rFonts w:ascii="Arial" w:hAnsi="Arial" w:cs="Arial"/>
        </w:rPr>
        <w:lastRenderedPageBreak/>
        <w:t>renovation</w:t>
      </w:r>
      <w:r w:rsidRPr="00D65230">
        <w:rPr>
          <w:rFonts w:ascii="Arial" w:hAnsi="Arial" w:cs="Arial"/>
        </w:rPr>
        <w:t xml:space="preserve">, </w:t>
      </w:r>
      <w:r w:rsidRPr="00D65230">
        <w:rPr>
          <w:rFonts w:ascii="Arial" w:hAnsi="Arial" w:cs="Arial"/>
          <w:i/>
        </w:rPr>
        <w:t xml:space="preserve">UAB </w:t>
      </w:r>
      <w:proofErr w:type="spellStart"/>
      <w:r w:rsidRPr="00D65230">
        <w:rPr>
          <w:rFonts w:ascii="Arial" w:hAnsi="Arial" w:cs="Arial"/>
          <w:i/>
        </w:rPr>
        <w:t>Būsto</w:t>
      </w:r>
      <w:proofErr w:type="spellEnd"/>
      <w:r w:rsidRPr="00D65230">
        <w:rPr>
          <w:rFonts w:ascii="Arial" w:hAnsi="Arial" w:cs="Arial"/>
          <w:i/>
        </w:rPr>
        <w:t xml:space="preserve"> </w:t>
      </w:r>
      <w:proofErr w:type="spellStart"/>
      <w:r w:rsidRPr="00D65230">
        <w:rPr>
          <w:rFonts w:ascii="Arial" w:hAnsi="Arial" w:cs="Arial"/>
          <w:i/>
        </w:rPr>
        <w:t>paskolų</w:t>
      </w:r>
      <w:proofErr w:type="spellEnd"/>
      <w:r w:rsidRPr="00D65230">
        <w:rPr>
          <w:rFonts w:ascii="Arial" w:hAnsi="Arial" w:cs="Arial"/>
          <w:i/>
        </w:rPr>
        <w:t xml:space="preserve"> </w:t>
      </w:r>
      <w:proofErr w:type="spellStart"/>
      <w:r w:rsidRPr="00D65230">
        <w:rPr>
          <w:rFonts w:ascii="Arial" w:hAnsi="Arial" w:cs="Arial"/>
          <w:i/>
        </w:rPr>
        <w:t>draudimas</w:t>
      </w:r>
      <w:proofErr w:type="spellEnd"/>
      <w:r w:rsidRPr="00D65230">
        <w:rPr>
          <w:rFonts w:ascii="Arial" w:hAnsi="Arial" w:cs="Arial"/>
        </w:rPr>
        <w:t xml:space="preserve"> and </w:t>
      </w:r>
      <w:r w:rsidRPr="00D65230">
        <w:rPr>
          <w:rFonts w:ascii="Arial" w:hAnsi="Arial" w:cs="Arial"/>
          <w:i/>
        </w:rPr>
        <w:t xml:space="preserve">UAB </w:t>
      </w:r>
      <w:proofErr w:type="spellStart"/>
      <w:r w:rsidRPr="00D65230">
        <w:rPr>
          <w:rFonts w:ascii="Arial" w:hAnsi="Arial" w:cs="Arial"/>
          <w:i/>
        </w:rPr>
        <w:t>Investicijų</w:t>
      </w:r>
      <w:proofErr w:type="spellEnd"/>
      <w:r w:rsidRPr="00D65230">
        <w:rPr>
          <w:rFonts w:ascii="Arial" w:hAnsi="Arial" w:cs="Arial"/>
          <w:i/>
        </w:rPr>
        <w:t xml:space="preserve"> </w:t>
      </w:r>
      <w:proofErr w:type="spellStart"/>
      <w:r w:rsidRPr="00D65230">
        <w:rPr>
          <w:rFonts w:ascii="Arial" w:hAnsi="Arial" w:cs="Arial"/>
          <w:i/>
        </w:rPr>
        <w:t>ir</w:t>
      </w:r>
      <w:proofErr w:type="spellEnd"/>
      <w:r w:rsidRPr="00D65230">
        <w:rPr>
          <w:rFonts w:ascii="Arial" w:hAnsi="Arial" w:cs="Arial"/>
          <w:i/>
        </w:rPr>
        <w:t xml:space="preserve"> </w:t>
      </w:r>
      <w:proofErr w:type="spellStart"/>
      <w:r w:rsidRPr="00D65230">
        <w:rPr>
          <w:rFonts w:ascii="Arial" w:hAnsi="Arial" w:cs="Arial"/>
          <w:i/>
        </w:rPr>
        <w:t>verslo</w:t>
      </w:r>
      <w:proofErr w:type="spellEnd"/>
      <w:r w:rsidRPr="00D65230">
        <w:rPr>
          <w:rFonts w:ascii="Arial" w:hAnsi="Arial" w:cs="Arial"/>
          <w:i/>
        </w:rPr>
        <w:t xml:space="preserve"> </w:t>
      </w:r>
      <w:proofErr w:type="spellStart"/>
      <w:r w:rsidRPr="00D65230">
        <w:rPr>
          <w:rFonts w:ascii="Arial" w:hAnsi="Arial" w:cs="Arial"/>
          <w:i/>
        </w:rPr>
        <w:t>garantijos</w:t>
      </w:r>
      <w:proofErr w:type="spellEnd"/>
      <w:r w:rsidRPr="00D65230">
        <w:rPr>
          <w:rFonts w:ascii="Arial" w:hAnsi="Arial" w:cs="Arial"/>
        </w:rPr>
        <w:t xml:space="preserve"> (INVEGA), which were founded by the Government, provided loan guarantees to the credit institutions for multi-apartment buildings </w:t>
      </w:r>
      <w:r w:rsidR="00C11C20" w:rsidRPr="00D65230">
        <w:rPr>
          <w:rFonts w:ascii="Arial" w:hAnsi="Arial" w:cs="Arial"/>
        </w:rPr>
        <w:t>renovation</w:t>
      </w:r>
      <w:r w:rsidRPr="00D65230">
        <w:rPr>
          <w:rFonts w:ascii="Arial" w:hAnsi="Arial" w:cs="Arial"/>
        </w:rPr>
        <w:t xml:space="preserve"> loans. According to the data provided by the Ministry of Environment of the Republic of Lithuania (hereinafter – EM), in the period </w:t>
      </w:r>
      <w:r w:rsidR="00D807A1" w:rsidRPr="00D65230">
        <w:rPr>
          <w:rFonts w:ascii="Arial" w:hAnsi="Arial" w:cs="Arial"/>
        </w:rPr>
        <w:t>from</w:t>
      </w:r>
      <w:r w:rsidRPr="00D65230">
        <w:rPr>
          <w:rFonts w:ascii="Arial" w:hAnsi="Arial" w:cs="Arial"/>
        </w:rPr>
        <w:t xml:space="preserve"> 2007</w:t>
      </w:r>
      <w:r w:rsidR="00D807A1" w:rsidRPr="00D65230">
        <w:rPr>
          <w:rFonts w:ascii="Arial" w:hAnsi="Arial" w:cs="Arial"/>
        </w:rPr>
        <w:t xml:space="preserve"> to </w:t>
      </w:r>
      <w:r w:rsidRPr="00D65230">
        <w:rPr>
          <w:rFonts w:ascii="Arial" w:hAnsi="Arial" w:cs="Arial"/>
        </w:rPr>
        <w:t>2009</w:t>
      </w:r>
      <w:r w:rsidR="00D807A1" w:rsidRPr="00D65230">
        <w:rPr>
          <w:rFonts w:ascii="Arial" w:hAnsi="Arial" w:cs="Arial"/>
        </w:rPr>
        <w:t>,</w:t>
      </w:r>
      <w:r w:rsidRPr="00D65230">
        <w:rPr>
          <w:rFonts w:ascii="Arial" w:hAnsi="Arial" w:cs="Arial"/>
        </w:rPr>
        <w:t xml:space="preserve"> 236 multi-apartment buildings </w:t>
      </w:r>
      <w:r w:rsidR="00C11C20" w:rsidRPr="00D65230">
        <w:rPr>
          <w:rFonts w:ascii="Arial" w:hAnsi="Arial" w:cs="Arial"/>
        </w:rPr>
        <w:t>renovation</w:t>
      </w:r>
      <w:r w:rsidRPr="00D65230">
        <w:rPr>
          <w:rFonts w:ascii="Arial" w:hAnsi="Arial" w:cs="Arial"/>
        </w:rPr>
        <w:t xml:space="preserve"> projects were implemented (</w:t>
      </w:r>
      <w:r w:rsidR="00AF4525" w:rsidRPr="00D65230">
        <w:rPr>
          <w:rFonts w:ascii="Arial" w:hAnsi="Arial" w:cs="Arial"/>
        </w:rPr>
        <w:t xml:space="preserve">the </w:t>
      </w:r>
      <w:r w:rsidRPr="00D65230">
        <w:rPr>
          <w:rFonts w:ascii="Arial" w:hAnsi="Arial" w:cs="Arial"/>
        </w:rPr>
        <w:t xml:space="preserve">total value of the projects </w:t>
      </w:r>
      <w:r w:rsidR="00AF4525" w:rsidRPr="00D65230">
        <w:rPr>
          <w:rFonts w:ascii="Arial" w:hAnsi="Arial" w:cs="Arial"/>
        </w:rPr>
        <w:t>exceeds</w:t>
      </w:r>
      <w:r w:rsidRPr="00D65230">
        <w:rPr>
          <w:rFonts w:ascii="Arial" w:hAnsi="Arial" w:cs="Arial"/>
        </w:rPr>
        <w:t xml:space="preserve"> EUR 40</w:t>
      </w:r>
      <w:r w:rsidR="00E44411" w:rsidRPr="00D65230">
        <w:rPr>
          <w:rFonts w:ascii="Arial" w:hAnsi="Arial" w:cs="Arial"/>
        </w:rPr>
        <w:t>M</w:t>
      </w:r>
      <w:r w:rsidRPr="00D65230">
        <w:rPr>
          <w:rFonts w:ascii="Arial" w:hAnsi="Arial" w:cs="Arial"/>
        </w:rPr>
        <w:t>)</w:t>
      </w:r>
      <w:r w:rsidR="000F2BB6" w:rsidRPr="00D65230">
        <w:rPr>
          <w:rFonts w:ascii="Arial" w:hAnsi="Arial" w:cs="Arial"/>
        </w:rPr>
        <w:t xml:space="preserve">. </w:t>
      </w:r>
    </w:p>
    <w:p w:rsidR="000F2BB6" w:rsidRPr="00D65230" w:rsidRDefault="007D2F4B" w:rsidP="007D2F4B">
      <w:pPr>
        <w:rPr>
          <w:rFonts w:ascii="Arial" w:hAnsi="Arial" w:cs="Arial"/>
        </w:rPr>
      </w:pPr>
      <w:r w:rsidRPr="00D65230">
        <w:rPr>
          <w:rFonts w:ascii="Arial" w:hAnsi="Arial" w:cs="Arial"/>
        </w:rPr>
        <w:t xml:space="preserve">The whole </w:t>
      </w:r>
      <w:r w:rsidR="000B73BE" w:rsidRPr="00D65230">
        <w:rPr>
          <w:rFonts w:ascii="Arial" w:hAnsi="Arial" w:cs="Arial"/>
        </w:rPr>
        <w:t>P</w:t>
      </w:r>
      <w:r w:rsidRPr="00D65230">
        <w:rPr>
          <w:rFonts w:ascii="Arial" w:hAnsi="Arial" w:cs="Arial"/>
        </w:rPr>
        <w:t>rogram</w:t>
      </w:r>
      <w:r w:rsidR="000B73BE" w:rsidRPr="00D65230">
        <w:rPr>
          <w:rFonts w:ascii="Arial" w:hAnsi="Arial" w:cs="Arial"/>
        </w:rPr>
        <w:t>me</w:t>
      </w:r>
      <w:r w:rsidRPr="00D65230">
        <w:rPr>
          <w:rFonts w:ascii="Arial" w:hAnsi="Arial" w:cs="Arial"/>
        </w:rPr>
        <w:t xml:space="preserve"> </w:t>
      </w:r>
      <w:r w:rsidR="000B73BE" w:rsidRPr="00D65230">
        <w:rPr>
          <w:rFonts w:ascii="Arial" w:hAnsi="Arial" w:cs="Arial"/>
        </w:rPr>
        <w:t xml:space="preserve">has been </w:t>
      </w:r>
      <w:r w:rsidRPr="00D65230">
        <w:rPr>
          <w:rFonts w:ascii="Arial" w:hAnsi="Arial" w:cs="Arial"/>
        </w:rPr>
        <w:t xml:space="preserve">impeded due to </w:t>
      </w:r>
      <w:r w:rsidR="000B73BE" w:rsidRPr="00D65230">
        <w:rPr>
          <w:rFonts w:ascii="Arial" w:hAnsi="Arial" w:cs="Arial"/>
        </w:rPr>
        <w:t xml:space="preserve">lack of </w:t>
      </w:r>
      <w:r w:rsidR="00614547" w:rsidRPr="00D65230">
        <w:rPr>
          <w:rFonts w:ascii="Arial" w:hAnsi="Arial" w:cs="Arial"/>
        </w:rPr>
        <w:t xml:space="preserve">funding for the provision of </w:t>
      </w:r>
      <w:r w:rsidRPr="00D65230">
        <w:rPr>
          <w:rFonts w:ascii="Arial" w:hAnsi="Arial" w:cs="Arial"/>
        </w:rPr>
        <w:t xml:space="preserve">State support. </w:t>
      </w:r>
      <w:r w:rsidR="000B73BE" w:rsidRPr="00D65230">
        <w:rPr>
          <w:rFonts w:ascii="Arial" w:hAnsi="Arial" w:cs="Arial"/>
        </w:rPr>
        <w:t>Taking into account its</w:t>
      </w:r>
      <w:r w:rsidRPr="00D65230">
        <w:rPr>
          <w:rFonts w:ascii="Arial" w:hAnsi="Arial" w:cs="Arial"/>
        </w:rPr>
        <w:t xml:space="preserve"> limited </w:t>
      </w:r>
      <w:r w:rsidR="00F43F0F" w:rsidRPr="00D65230">
        <w:rPr>
          <w:rFonts w:ascii="Arial" w:hAnsi="Arial" w:cs="Arial"/>
        </w:rPr>
        <w:t>capacity</w:t>
      </w:r>
      <w:r w:rsidRPr="00D65230">
        <w:rPr>
          <w:rFonts w:ascii="Arial" w:hAnsi="Arial" w:cs="Arial"/>
        </w:rPr>
        <w:t xml:space="preserve">, the budget and </w:t>
      </w:r>
      <w:r w:rsidR="000B73BE" w:rsidRPr="00D65230">
        <w:rPr>
          <w:rFonts w:ascii="Arial" w:hAnsi="Arial" w:cs="Arial"/>
        </w:rPr>
        <w:t xml:space="preserve">the </w:t>
      </w:r>
      <w:r w:rsidRPr="00D65230">
        <w:rPr>
          <w:rFonts w:ascii="Arial" w:hAnsi="Arial" w:cs="Arial"/>
        </w:rPr>
        <w:t xml:space="preserve">financial condition </w:t>
      </w:r>
      <w:r w:rsidR="000B73BE" w:rsidRPr="00D65230">
        <w:rPr>
          <w:rFonts w:ascii="Arial" w:hAnsi="Arial" w:cs="Arial"/>
        </w:rPr>
        <w:t xml:space="preserve">of the State </w:t>
      </w:r>
      <w:r w:rsidRPr="00D65230">
        <w:rPr>
          <w:rFonts w:ascii="Arial" w:hAnsi="Arial" w:cs="Arial"/>
        </w:rPr>
        <w:t xml:space="preserve">(in the second half of 2008 the State felt the impact of </w:t>
      </w:r>
      <w:r w:rsidR="000B73BE" w:rsidRPr="00D65230">
        <w:rPr>
          <w:rFonts w:ascii="Arial" w:hAnsi="Arial" w:cs="Arial"/>
        </w:rPr>
        <w:t>the g</w:t>
      </w:r>
      <w:r w:rsidRPr="00D65230">
        <w:rPr>
          <w:rFonts w:ascii="Arial" w:hAnsi="Arial" w:cs="Arial"/>
        </w:rPr>
        <w:t xml:space="preserve">lobal financial crisis), in the first half of 2009 the Government decided to create </w:t>
      </w:r>
      <w:r w:rsidR="000B73BE" w:rsidRPr="00D65230">
        <w:rPr>
          <w:rFonts w:ascii="Arial" w:hAnsi="Arial" w:cs="Arial"/>
        </w:rPr>
        <w:t xml:space="preserve">a </w:t>
      </w:r>
      <w:r w:rsidRPr="00D65230">
        <w:rPr>
          <w:rFonts w:ascii="Arial" w:hAnsi="Arial" w:cs="Arial"/>
        </w:rPr>
        <w:t xml:space="preserve">new </w:t>
      </w:r>
      <w:r w:rsidR="000B73BE" w:rsidRPr="00D65230">
        <w:rPr>
          <w:rFonts w:ascii="Arial" w:hAnsi="Arial" w:cs="Arial"/>
        </w:rPr>
        <w:t>f</w:t>
      </w:r>
      <w:r w:rsidRPr="00D65230">
        <w:rPr>
          <w:rFonts w:ascii="Arial" w:hAnsi="Arial" w:cs="Arial"/>
        </w:rPr>
        <w:t>unding mechanism</w:t>
      </w:r>
      <w:r w:rsidR="000B73BE" w:rsidRPr="00D65230">
        <w:rPr>
          <w:rFonts w:ascii="Arial" w:hAnsi="Arial" w:cs="Arial"/>
        </w:rPr>
        <w:t xml:space="preserve"> for the Programme</w:t>
      </w:r>
      <w:r w:rsidRPr="00D65230">
        <w:rPr>
          <w:rFonts w:ascii="Arial" w:hAnsi="Arial" w:cs="Arial"/>
        </w:rPr>
        <w:t xml:space="preserve">, using </w:t>
      </w:r>
      <w:r w:rsidR="000B73BE" w:rsidRPr="00D65230">
        <w:rPr>
          <w:rFonts w:ascii="Arial" w:hAnsi="Arial" w:cs="Arial"/>
        </w:rPr>
        <w:t xml:space="preserve">the </w:t>
      </w:r>
      <w:r w:rsidRPr="00D65230">
        <w:rPr>
          <w:rFonts w:ascii="Arial" w:hAnsi="Arial" w:cs="Arial"/>
        </w:rPr>
        <w:t>EU structural support funds</w:t>
      </w:r>
      <w:r w:rsidR="000B73BE" w:rsidRPr="00D65230">
        <w:rPr>
          <w:rFonts w:ascii="Arial" w:hAnsi="Arial" w:cs="Arial"/>
        </w:rPr>
        <w:t xml:space="preserve"> </w:t>
      </w:r>
      <w:r w:rsidRPr="00D65230">
        <w:rPr>
          <w:rFonts w:ascii="Arial" w:hAnsi="Arial" w:cs="Arial"/>
        </w:rPr>
        <w:t xml:space="preserve">assigned by </w:t>
      </w:r>
      <w:r w:rsidR="000B73BE" w:rsidRPr="00D65230">
        <w:rPr>
          <w:rFonts w:ascii="Arial" w:hAnsi="Arial" w:cs="Arial"/>
        </w:rPr>
        <w:t xml:space="preserve">the </w:t>
      </w:r>
      <w:r w:rsidRPr="00D65230">
        <w:rPr>
          <w:rFonts w:ascii="Arial" w:hAnsi="Arial" w:cs="Arial"/>
        </w:rPr>
        <w:t xml:space="preserve">SSVP for </w:t>
      </w:r>
      <w:r w:rsidR="000B73BE" w:rsidRPr="00D65230">
        <w:rPr>
          <w:rFonts w:ascii="Arial" w:hAnsi="Arial" w:cs="Arial"/>
        </w:rPr>
        <w:t xml:space="preserve">the </w:t>
      </w:r>
      <w:r w:rsidRPr="00D65230">
        <w:rPr>
          <w:rFonts w:ascii="Arial" w:hAnsi="Arial" w:cs="Arial"/>
        </w:rPr>
        <w:t xml:space="preserve">implementation of </w:t>
      </w:r>
      <w:r w:rsidR="000B73BE" w:rsidRPr="00D65230">
        <w:rPr>
          <w:rFonts w:ascii="Arial" w:hAnsi="Arial" w:cs="Arial"/>
        </w:rPr>
        <w:t xml:space="preserve">the </w:t>
      </w:r>
      <w:r w:rsidRPr="00D65230">
        <w:rPr>
          <w:rFonts w:ascii="Arial" w:hAnsi="Arial" w:cs="Arial"/>
        </w:rPr>
        <w:t xml:space="preserve">JESSICA initiative. In the mid-2009, by implementing </w:t>
      </w:r>
      <w:r w:rsidR="00396A60" w:rsidRPr="00D65230">
        <w:rPr>
          <w:rFonts w:ascii="Arial" w:hAnsi="Arial" w:cs="Arial"/>
        </w:rPr>
        <w:t xml:space="preserve">the </w:t>
      </w:r>
      <w:r w:rsidR="000D06ED" w:rsidRPr="00D65230">
        <w:rPr>
          <w:rFonts w:ascii="Arial" w:hAnsi="Arial" w:cs="Arial"/>
        </w:rPr>
        <w:t>Measure JKF</w:t>
      </w:r>
      <w:r w:rsidRPr="00D65230">
        <w:rPr>
          <w:rFonts w:ascii="Arial" w:hAnsi="Arial" w:cs="Arial"/>
        </w:rPr>
        <w:t xml:space="preserve">, the JKF was founded. The funds of </w:t>
      </w:r>
      <w:r w:rsidR="000B73BE" w:rsidRPr="00D65230">
        <w:rPr>
          <w:rFonts w:ascii="Arial" w:hAnsi="Arial" w:cs="Arial"/>
        </w:rPr>
        <w:t xml:space="preserve">the </w:t>
      </w:r>
      <w:r w:rsidRPr="00D65230">
        <w:rPr>
          <w:rFonts w:ascii="Arial" w:hAnsi="Arial" w:cs="Arial"/>
        </w:rPr>
        <w:t xml:space="preserve">JKF were used to issue preferential loans for multi-apartment buildings </w:t>
      </w:r>
      <w:r w:rsidR="00086206" w:rsidRPr="00D65230">
        <w:rPr>
          <w:rFonts w:ascii="Arial" w:hAnsi="Arial" w:cs="Arial"/>
        </w:rPr>
        <w:t>renovation</w:t>
      </w:r>
      <w:r w:rsidRPr="00D65230">
        <w:rPr>
          <w:rFonts w:ascii="Arial" w:hAnsi="Arial" w:cs="Arial"/>
        </w:rPr>
        <w:t xml:space="preserve"> projects meeting the requirements of the program. In conjunction with the preferential loans, the non-repayable state support was given in order to prepare the multi-apartment buildings </w:t>
      </w:r>
      <w:r w:rsidR="00C11C20" w:rsidRPr="00D65230">
        <w:rPr>
          <w:rFonts w:ascii="Arial" w:hAnsi="Arial" w:cs="Arial"/>
        </w:rPr>
        <w:t>renovation</w:t>
      </w:r>
      <w:r w:rsidRPr="00D65230">
        <w:rPr>
          <w:rFonts w:ascii="Arial" w:hAnsi="Arial" w:cs="Arial"/>
        </w:rPr>
        <w:t xml:space="preserve"> project, to ensure building</w:t>
      </w:r>
      <w:r w:rsidR="00F43F0F" w:rsidRPr="00D65230">
        <w:rPr>
          <w:rFonts w:ascii="Arial" w:hAnsi="Arial" w:cs="Arial"/>
        </w:rPr>
        <w:t>’s</w:t>
      </w:r>
      <w:r w:rsidRPr="00D65230">
        <w:rPr>
          <w:rFonts w:ascii="Arial" w:hAnsi="Arial" w:cs="Arial"/>
        </w:rPr>
        <w:t xml:space="preserve"> technical maintenance and to compensate investments. Policy with regard financing of the initial contribution and later payments had also been changing. It was found, that the initial contribution may not be less than 5% of the total investment amount of the project. However, the financial intermediaries’ duty to demand from the owners of multi-apartment buildings the initial deposit has not been established as a general rule, and it depended on the specific conditions of the call. In total, using the JKF funds 1</w:t>
      </w:r>
      <w:r w:rsidR="000B73BE" w:rsidRPr="00D65230">
        <w:rPr>
          <w:rFonts w:ascii="Arial" w:hAnsi="Arial" w:cs="Arial"/>
        </w:rPr>
        <w:t>.</w:t>
      </w:r>
      <w:r w:rsidRPr="00D65230">
        <w:rPr>
          <w:rFonts w:ascii="Arial" w:hAnsi="Arial" w:cs="Arial"/>
        </w:rPr>
        <w:t>039 loans were granted through financial intermediaries for multi-apartment buildings renovation projects and 16 loans for dormitories of high schools and vocational training schools (total amount is over EUR 257</w:t>
      </w:r>
      <w:r w:rsidR="00E44411" w:rsidRPr="00D65230">
        <w:rPr>
          <w:rFonts w:ascii="Arial" w:hAnsi="Arial" w:cs="Arial"/>
        </w:rPr>
        <w:t>M</w:t>
      </w:r>
      <w:r w:rsidRPr="00D65230">
        <w:rPr>
          <w:rFonts w:ascii="Arial" w:hAnsi="Arial" w:cs="Arial"/>
        </w:rPr>
        <w:t>)</w:t>
      </w:r>
      <w:r w:rsidR="000F2BB6" w:rsidRPr="00D65230">
        <w:rPr>
          <w:rFonts w:ascii="Arial" w:hAnsi="Arial" w:cs="Arial"/>
        </w:rPr>
        <w:t>.</w:t>
      </w:r>
    </w:p>
    <w:p w:rsidR="00F51BDF" w:rsidRPr="00D65230" w:rsidRDefault="0060042C" w:rsidP="007D2F4B">
      <w:pPr>
        <w:rPr>
          <w:rFonts w:ascii="Arial" w:hAnsi="Arial" w:cs="Arial"/>
        </w:rPr>
      </w:pPr>
      <w:r w:rsidRPr="00D65230">
        <w:rPr>
          <w:rFonts w:ascii="Arial" w:hAnsi="Arial" w:cs="Arial"/>
          <w:color w:val="000000" w:themeColor="text1"/>
        </w:rPr>
        <w:t>At</w:t>
      </w:r>
      <w:r w:rsidR="007D2F4B" w:rsidRPr="00D65230">
        <w:rPr>
          <w:rFonts w:ascii="Arial" w:hAnsi="Arial" w:cs="Arial"/>
          <w:color w:val="000000" w:themeColor="text1"/>
        </w:rPr>
        <w:t xml:space="preserve"> the beginning of the 2014-2020 EU programming period, </w:t>
      </w:r>
      <w:r w:rsidR="00396A60" w:rsidRPr="00D65230">
        <w:rPr>
          <w:rFonts w:ascii="Arial" w:hAnsi="Arial" w:cs="Arial"/>
          <w:color w:val="000000" w:themeColor="text1"/>
        </w:rPr>
        <w:t xml:space="preserve">the </w:t>
      </w:r>
      <w:r w:rsidR="000D06ED" w:rsidRPr="00D65230">
        <w:rPr>
          <w:rFonts w:ascii="Arial" w:hAnsi="Arial" w:cs="Arial"/>
          <w:color w:val="000000" w:themeColor="text1"/>
        </w:rPr>
        <w:t>Measure DNA</w:t>
      </w:r>
      <w:r w:rsidR="007D2F4B" w:rsidRPr="00D65230">
        <w:rPr>
          <w:rFonts w:ascii="Arial" w:hAnsi="Arial" w:cs="Arial"/>
          <w:color w:val="000000" w:themeColor="text1"/>
        </w:rPr>
        <w:t xml:space="preserve"> was created</w:t>
      </w:r>
      <w:r w:rsidRPr="00D65230">
        <w:rPr>
          <w:rFonts w:ascii="Arial" w:hAnsi="Arial" w:cs="Arial"/>
          <w:color w:val="000000" w:themeColor="text1"/>
        </w:rPr>
        <w:t xml:space="preserve">, and the following </w:t>
      </w:r>
      <w:r w:rsidR="007D2F4B" w:rsidRPr="00D65230">
        <w:rPr>
          <w:rFonts w:ascii="Arial" w:hAnsi="Arial" w:cs="Arial"/>
          <w:color w:val="000000" w:themeColor="text1"/>
        </w:rPr>
        <w:t>three funds</w:t>
      </w:r>
      <w:r w:rsidRPr="00D65230">
        <w:rPr>
          <w:rFonts w:ascii="Arial" w:hAnsi="Arial" w:cs="Arial"/>
          <w:color w:val="000000" w:themeColor="text1"/>
        </w:rPr>
        <w:t xml:space="preserve">, i.e. </w:t>
      </w:r>
      <w:r w:rsidR="007D2F4B" w:rsidRPr="00D65230">
        <w:rPr>
          <w:rFonts w:ascii="Arial" w:hAnsi="Arial" w:cs="Arial"/>
          <w:color w:val="000000" w:themeColor="text1"/>
        </w:rPr>
        <w:t>DNMF, J2FF and RPF</w:t>
      </w:r>
      <w:r w:rsidRPr="00D65230">
        <w:rPr>
          <w:rFonts w:ascii="Arial" w:hAnsi="Arial" w:cs="Arial"/>
          <w:color w:val="000000" w:themeColor="text1"/>
        </w:rPr>
        <w:t xml:space="preserve">, were founded using its resources. </w:t>
      </w:r>
      <w:r w:rsidR="007D2F4B" w:rsidRPr="00D65230">
        <w:rPr>
          <w:rFonts w:ascii="Arial" w:hAnsi="Arial" w:cs="Arial"/>
          <w:color w:val="000000" w:themeColor="text1"/>
        </w:rPr>
        <w:t xml:space="preserve">DNMF, which is controlled by VIPA, and </w:t>
      </w:r>
      <w:r w:rsidR="00D807A1" w:rsidRPr="00D65230">
        <w:rPr>
          <w:rFonts w:ascii="Arial" w:hAnsi="Arial" w:cs="Arial"/>
          <w:color w:val="000000" w:themeColor="text1"/>
        </w:rPr>
        <w:t xml:space="preserve">the </w:t>
      </w:r>
      <w:r w:rsidR="007D2F4B" w:rsidRPr="00D65230">
        <w:rPr>
          <w:rFonts w:ascii="Arial" w:hAnsi="Arial" w:cs="Arial"/>
          <w:color w:val="000000" w:themeColor="text1"/>
        </w:rPr>
        <w:t xml:space="preserve">J2FF, which is controlled by EIB, continue to implement preferential loans financial measure. The essential change from the EU programming period </w:t>
      </w:r>
      <w:r w:rsidR="00D807A1" w:rsidRPr="00D65230">
        <w:rPr>
          <w:rFonts w:ascii="Arial" w:hAnsi="Arial" w:cs="Arial"/>
          <w:color w:val="000000" w:themeColor="text1"/>
        </w:rPr>
        <w:t>of</w:t>
      </w:r>
      <w:r w:rsidR="007D2F4B" w:rsidRPr="00D65230">
        <w:rPr>
          <w:rFonts w:ascii="Arial" w:hAnsi="Arial" w:cs="Arial"/>
          <w:color w:val="000000" w:themeColor="text1"/>
        </w:rPr>
        <w:t xml:space="preserve"> 2007-2013 - greater emphasis on the private capital involvement and the creation of </w:t>
      </w:r>
      <w:proofErr w:type="gramStart"/>
      <w:r w:rsidR="007D2F4B" w:rsidRPr="00D65230">
        <w:rPr>
          <w:rFonts w:ascii="Arial" w:hAnsi="Arial" w:cs="Arial"/>
          <w:color w:val="000000" w:themeColor="text1"/>
        </w:rPr>
        <w:t>leverage</w:t>
      </w:r>
      <w:proofErr w:type="gramEnd"/>
      <w:r w:rsidR="007D2F4B" w:rsidRPr="00D65230">
        <w:rPr>
          <w:rFonts w:ascii="Arial" w:hAnsi="Arial" w:cs="Arial"/>
          <w:color w:val="000000" w:themeColor="text1"/>
        </w:rPr>
        <w:t xml:space="preserve"> effect of public funds. The main measure, which aims to increase the participation of private capital in funding of multi-apartment buildings </w:t>
      </w:r>
      <w:r w:rsidR="00086206" w:rsidRPr="00D65230">
        <w:rPr>
          <w:rFonts w:ascii="Arial" w:hAnsi="Arial" w:cs="Arial"/>
          <w:color w:val="000000" w:themeColor="text1"/>
        </w:rPr>
        <w:t>renovation</w:t>
      </w:r>
      <w:r w:rsidR="007D2F4B" w:rsidRPr="00D65230">
        <w:rPr>
          <w:rFonts w:ascii="Arial" w:hAnsi="Arial" w:cs="Arial"/>
          <w:color w:val="000000" w:themeColor="text1"/>
        </w:rPr>
        <w:t xml:space="preserve"> – </w:t>
      </w:r>
      <w:r w:rsidR="00D807A1" w:rsidRPr="00D65230">
        <w:rPr>
          <w:rFonts w:ascii="Arial" w:hAnsi="Arial" w:cs="Arial"/>
          <w:color w:val="000000" w:themeColor="text1"/>
        </w:rPr>
        <w:t xml:space="preserve">the </w:t>
      </w:r>
      <w:r w:rsidR="007D2F4B" w:rsidRPr="00D65230">
        <w:rPr>
          <w:rFonts w:ascii="Arial" w:hAnsi="Arial" w:cs="Arial"/>
          <w:color w:val="000000" w:themeColor="text1"/>
        </w:rPr>
        <w:t xml:space="preserve">RPF, which will provide guarantees to the financial intermediaries for the provided preferential loans with regards to multi-apartment buildings </w:t>
      </w:r>
      <w:r w:rsidR="00086206" w:rsidRPr="00D65230">
        <w:rPr>
          <w:rFonts w:ascii="Arial" w:hAnsi="Arial" w:cs="Arial"/>
          <w:color w:val="000000" w:themeColor="text1"/>
        </w:rPr>
        <w:t>renovation</w:t>
      </w:r>
      <w:r w:rsidR="007D2F4B" w:rsidRPr="00D65230">
        <w:rPr>
          <w:rFonts w:ascii="Arial" w:hAnsi="Arial" w:cs="Arial"/>
          <w:color w:val="000000" w:themeColor="text1"/>
        </w:rPr>
        <w:t xml:space="preserve"> projects</w:t>
      </w:r>
      <w:r w:rsidR="00F51BDF" w:rsidRPr="00D65230">
        <w:rPr>
          <w:rFonts w:ascii="Arial" w:hAnsi="Arial" w:cs="Arial"/>
        </w:rPr>
        <w:t xml:space="preserve">. </w:t>
      </w:r>
    </w:p>
    <w:p w:rsidR="00566E06" w:rsidRPr="00D65230" w:rsidRDefault="007D2F4B" w:rsidP="00566E06">
      <w:pPr>
        <w:rPr>
          <w:rFonts w:ascii="Arial" w:hAnsi="Arial" w:cs="Arial"/>
          <w:szCs w:val="20"/>
        </w:rPr>
      </w:pPr>
      <w:r w:rsidRPr="00D65230">
        <w:rPr>
          <w:rFonts w:ascii="Arial" w:hAnsi="Arial" w:cs="Arial"/>
          <w:szCs w:val="20"/>
        </w:rPr>
        <w:t xml:space="preserve">According to the analysis of the secondary sources, results of surveys of multi-apartment buildings administrators and municipalities, information, which was gathered during the interviews with participants of multi-apartment buildings </w:t>
      </w:r>
      <w:r w:rsidR="00C11C20" w:rsidRPr="00D65230">
        <w:rPr>
          <w:rFonts w:ascii="Arial" w:hAnsi="Arial" w:cs="Arial"/>
          <w:szCs w:val="20"/>
        </w:rPr>
        <w:t>renovation</w:t>
      </w:r>
      <w:r w:rsidRPr="00D65230">
        <w:rPr>
          <w:rFonts w:ascii="Arial" w:hAnsi="Arial" w:cs="Arial"/>
          <w:szCs w:val="20"/>
        </w:rPr>
        <w:t xml:space="preserve"> process, we can distinguish three main State’s socio-economic situation indicators, that affects multi-apartment building </w:t>
      </w:r>
      <w:r w:rsidR="00C11C20" w:rsidRPr="00D65230">
        <w:rPr>
          <w:rFonts w:ascii="Arial" w:hAnsi="Arial" w:cs="Arial"/>
          <w:szCs w:val="20"/>
        </w:rPr>
        <w:t>renovation</w:t>
      </w:r>
      <w:r w:rsidRPr="00D65230">
        <w:rPr>
          <w:rFonts w:ascii="Arial" w:hAnsi="Arial" w:cs="Arial"/>
          <w:szCs w:val="20"/>
        </w:rPr>
        <w:t>:</w:t>
      </w:r>
    </w:p>
    <w:p w:rsidR="007D2F4B" w:rsidRPr="00D65230" w:rsidRDefault="007D2F4B" w:rsidP="007D2F4B">
      <w:pPr>
        <w:pStyle w:val="Tablebulletsub"/>
        <w:ind w:left="567" w:hanging="283"/>
        <w:rPr>
          <w:rFonts w:ascii="Arial" w:hAnsi="Arial" w:cs="Arial"/>
        </w:rPr>
      </w:pPr>
      <w:r w:rsidRPr="00D65230">
        <w:rPr>
          <w:rFonts w:ascii="Arial" w:hAnsi="Arial" w:cs="Arial"/>
        </w:rPr>
        <w:t xml:space="preserve">heating energy price, </w:t>
      </w:r>
      <w:r w:rsidR="00F43F0F" w:rsidRPr="00D65230">
        <w:rPr>
          <w:rFonts w:ascii="Arial" w:hAnsi="Arial" w:cs="Arial"/>
        </w:rPr>
        <w:t>the increase of which</w:t>
      </w:r>
      <w:r w:rsidRPr="00D65230">
        <w:rPr>
          <w:rFonts w:ascii="Arial" w:hAnsi="Arial" w:cs="Arial"/>
        </w:rPr>
        <w:t xml:space="preserve"> shortens the payback period of </w:t>
      </w:r>
      <w:r w:rsidR="00C11C20" w:rsidRPr="00D65230">
        <w:rPr>
          <w:rFonts w:ascii="Arial" w:hAnsi="Arial" w:cs="Arial"/>
        </w:rPr>
        <w:t>renovation</w:t>
      </w:r>
      <w:r w:rsidRPr="00D65230">
        <w:rPr>
          <w:rFonts w:ascii="Arial" w:hAnsi="Arial" w:cs="Arial"/>
        </w:rPr>
        <w:t xml:space="preserve"> projects and </w:t>
      </w:r>
      <w:r w:rsidR="00D74CE3" w:rsidRPr="00D65230">
        <w:rPr>
          <w:rFonts w:ascii="Arial" w:hAnsi="Arial" w:cs="Arial"/>
        </w:rPr>
        <w:t>in</w:t>
      </w:r>
      <w:r w:rsidRPr="00D65230">
        <w:rPr>
          <w:rFonts w:ascii="Arial" w:hAnsi="Arial" w:cs="Arial"/>
        </w:rPr>
        <w:t xml:space="preserve">creases attractiveness of </w:t>
      </w:r>
      <w:r w:rsidR="00C11C20" w:rsidRPr="00D65230">
        <w:rPr>
          <w:rFonts w:ascii="Arial" w:hAnsi="Arial" w:cs="Arial"/>
        </w:rPr>
        <w:t>renovation</w:t>
      </w:r>
      <w:r w:rsidRPr="00D65230">
        <w:rPr>
          <w:rFonts w:ascii="Arial" w:hAnsi="Arial" w:cs="Arial"/>
        </w:rPr>
        <w:t>;</w:t>
      </w:r>
    </w:p>
    <w:p w:rsidR="007D2F4B" w:rsidRPr="00D65230" w:rsidRDefault="007D2F4B" w:rsidP="007D2F4B">
      <w:pPr>
        <w:pStyle w:val="Tablebulletsub"/>
        <w:ind w:left="567" w:hanging="283"/>
        <w:rPr>
          <w:rFonts w:ascii="Arial" w:hAnsi="Arial" w:cs="Arial"/>
        </w:rPr>
      </w:pPr>
      <w:r w:rsidRPr="00D65230">
        <w:rPr>
          <w:rFonts w:ascii="Arial" w:hAnsi="Arial" w:cs="Arial"/>
        </w:rPr>
        <w:t xml:space="preserve">household income the growth of which indicates financial possibilities of multi-apartment buildings owners and allows </w:t>
      </w:r>
      <w:r w:rsidR="00086206" w:rsidRPr="00D65230">
        <w:rPr>
          <w:rFonts w:ascii="Arial" w:hAnsi="Arial" w:cs="Arial"/>
        </w:rPr>
        <w:t xml:space="preserve">for an increase in the number of </w:t>
      </w:r>
      <w:r w:rsidR="00F43F0F" w:rsidRPr="00D65230">
        <w:rPr>
          <w:rFonts w:ascii="Arial" w:hAnsi="Arial" w:cs="Arial"/>
        </w:rPr>
        <w:t xml:space="preserve">the </w:t>
      </w:r>
      <w:r w:rsidR="00086206" w:rsidRPr="00D65230">
        <w:rPr>
          <w:rFonts w:ascii="Arial" w:hAnsi="Arial" w:cs="Arial"/>
        </w:rPr>
        <w:t>implemented</w:t>
      </w:r>
      <w:r w:rsidR="00F43F0F" w:rsidRPr="00D65230">
        <w:rPr>
          <w:rFonts w:ascii="Arial" w:hAnsi="Arial" w:cs="Arial"/>
        </w:rPr>
        <w:t xml:space="preserve"> </w:t>
      </w:r>
      <w:r w:rsidR="00086206" w:rsidRPr="00D65230">
        <w:rPr>
          <w:rFonts w:ascii="Arial" w:hAnsi="Arial" w:cs="Arial"/>
        </w:rPr>
        <w:t>renovation</w:t>
      </w:r>
      <w:r w:rsidRPr="00D65230">
        <w:rPr>
          <w:rFonts w:ascii="Arial" w:hAnsi="Arial" w:cs="Arial"/>
        </w:rPr>
        <w:t xml:space="preserve"> projects;</w:t>
      </w:r>
    </w:p>
    <w:p w:rsidR="00566E06" w:rsidRPr="00D65230" w:rsidRDefault="007D2F4B" w:rsidP="007D2F4B">
      <w:pPr>
        <w:pStyle w:val="Tablebulletsub"/>
        <w:ind w:left="567" w:hanging="283"/>
        <w:rPr>
          <w:rFonts w:ascii="Arial" w:hAnsi="Arial" w:cs="Arial"/>
        </w:rPr>
      </w:pPr>
      <w:proofErr w:type="gramStart"/>
      <w:r w:rsidRPr="00D65230">
        <w:rPr>
          <w:rFonts w:ascii="Arial" w:hAnsi="Arial" w:cs="Arial"/>
        </w:rPr>
        <w:lastRenderedPageBreak/>
        <w:t>construction</w:t>
      </w:r>
      <w:proofErr w:type="gramEnd"/>
      <w:r w:rsidRPr="00D65230">
        <w:rPr>
          <w:rFonts w:ascii="Arial" w:hAnsi="Arial" w:cs="Arial"/>
        </w:rPr>
        <w:t xml:space="preserve"> price, the growth of which increases </w:t>
      </w:r>
      <w:r w:rsidR="00C11C20" w:rsidRPr="00D65230">
        <w:rPr>
          <w:rFonts w:ascii="Arial" w:hAnsi="Arial" w:cs="Arial"/>
        </w:rPr>
        <w:t>renovation</w:t>
      </w:r>
      <w:r w:rsidRPr="00D65230">
        <w:rPr>
          <w:rFonts w:ascii="Arial" w:hAnsi="Arial" w:cs="Arial"/>
        </w:rPr>
        <w:t xml:space="preserve"> price, prolongs the payback period and reduces the attractiveness of </w:t>
      </w:r>
      <w:r w:rsidR="00C11C20" w:rsidRPr="00D65230">
        <w:rPr>
          <w:rFonts w:ascii="Arial" w:hAnsi="Arial" w:cs="Arial"/>
        </w:rPr>
        <w:t>renovation</w:t>
      </w:r>
      <w:r w:rsidRPr="00D65230">
        <w:rPr>
          <w:rFonts w:ascii="Arial" w:hAnsi="Arial" w:cs="Arial"/>
        </w:rPr>
        <w:t xml:space="preserve"> from the point of view of the multi-apartment buildings owners.</w:t>
      </w:r>
    </w:p>
    <w:p w:rsidR="00566E06" w:rsidRPr="00D65230" w:rsidRDefault="007D2F4B" w:rsidP="00566E06">
      <w:pPr>
        <w:rPr>
          <w:rFonts w:ascii="Arial" w:hAnsi="Arial" w:cs="Arial"/>
        </w:rPr>
      </w:pPr>
      <w:r w:rsidRPr="00D65230">
        <w:rPr>
          <w:rFonts w:ascii="Arial" w:hAnsi="Arial" w:cs="Arial"/>
        </w:rPr>
        <w:t xml:space="preserve">Despite the significant dynamics of </w:t>
      </w:r>
      <w:r w:rsidR="00F43F0F" w:rsidRPr="00D65230">
        <w:rPr>
          <w:rFonts w:ascii="Arial" w:hAnsi="Arial" w:cs="Arial"/>
        </w:rPr>
        <w:t xml:space="preserve">the </w:t>
      </w:r>
      <w:r w:rsidRPr="00D65230">
        <w:rPr>
          <w:rFonts w:ascii="Arial" w:hAnsi="Arial" w:cs="Arial"/>
        </w:rPr>
        <w:t xml:space="preserve">aforementioned socio economic indexes, the amount of the State’s multi-apartment buildings </w:t>
      </w:r>
      <w:r w:rsidR="00C11C20" w:rsidRPr="00D65230">
        <w:rPr>
          <w:rFonts w:ascii="Arial" w:hAnsi="Arial" w:cs="Arial"/>
        </w:rPr>
        <w:t>renovation</w:t>
      </w:r>
      <w:r w:rsidRPr="00D65230">
        <w:rPr>
          <w:rFonts w:ascii="Arial" w:hAnsi="Arial" w:cs="Arial"/>
        </w:rPr>
        <w:t xml:space="preserve"> projects did not exceeded the limit of one hundred implemented projects till the year 2014</w:t>
      </w:r>
      <w:r w:rsidR="00566E06" w:rsidRPr="00D65230">
        <w:rPr>
          <w:rFonts w:ascii="Arial" w:hAnsi="Arial" w:cs="Arial"/>
        </w:rPr>
        <w:t xml:space="preserve">. </w:t>
      </w:r>
    </w:p>
    <w:p w:rsidR="00566E06" w:rsidRPr="00D65230" w:rsidRDefault="007D2F4B" w:rsidP="007D2F4B">
      <w:pPr>
        <w:rPr>
          <w:rFonts w:ascii="Arial" w:hAnsi="Arial" w:cs="Arial"/>
        </w:rPr>
      </w:pPr>
      <w:r w:rsidRPr="00D65230">
        <w:rPr>
          <w:rFonts w:ascii="Arial" w:hAnsi="Arial" w:cs="Arial"/>
        </w:rPr>
        <w:t xml:space="preserve">The turning point in </w:t>
      </w:r>
      <w:r w:rsidR="00C11C20" w:rsidRPr="00D65230">
        <w:rPr>
          <w:rFonts w:ascii="Arial" w:hAnsi="Arial" w:cs="Arial"/>
        </w:rPr>
        <w:t>renovation</w:t>
      </w:r>
      <w:r w:rsidRPr="00D65230">
        <w:rPr>
          <w:rFonts w:ascii="Arial" w:hAnsi="Arial" w:cs="Arial"/>
        </w:rPr>
        <w:t xml:space="preserve"> pace happened in the period </w:t>
      </w:r>
      <w:r w:rsidR="00D807A1" w:rsidRPr="00D65230">
        <w:rPr>
          <w:rFonts w:ascii="Arial" w:hAnsi="Arial" w:cs="Arial"/>
        </w:rPr>
        <w:t>from</w:t>
      </w:r>
      <w:r w:rsidRPr="00D65230">
        <w:rPr>
          <w:rFonts w:ascii="Arial" w:hAnsi="Arial" w:cs="Arial"/>
        </w:rPr>
        <w:t xml:space="preserve"> 2013</w:t>
      </w:r>
      <w:r w:rsidR="00D807A1" w:rsidRPr="00D65230">
        <w:rPr>
          <w:rFonts w:ascii="Arial" w:hAnsi="Arial" w:cs="Arial"/>
        </w:rPr>
        <w:t xml:space="preserve"> to </w:t>
      </w:r>
      <w:r w:rsidRPr="00D65230">
        <w:rPr>
          <w:rFonts w:ascii="Arial" w:hAnsi="Arial" w:cs="Arial"/>
        </w:rPr>
        <w:t>2014. In 2013</w:t>
      </w:r>
      <w:r w:rsidR="00D807A1" w:rsidRPr="00D65230">
        <w:rPr>
          <w:rFonts w:ascii="Arial" w:hAnsi="Arial" w:cs="Arial"/>
        </w:rPr>
        <w:t>,</w:t>
      </w:r>
      <w:r w:rsidRPr="00D65230">
        <w:rPr>
          <w:rFonts w:ascii="Arial" w:hAnsi="Arial" w:cs="Arial"/>
        </w:rPr>
        <w:t xml:space="preserve"> significant changes in multi-apartment buildings </w:t>
      </w:r>
      <w:r w:rsidR="00C11C20" w:rsidRPr="00D65230">
        <w:rPr>
          <w:rFonts w:ascii="Arial" w:hAnsi="Arial" w:cs="Arial"/>
        </w:rPr>
        <w:t>renovation</w:t>
      </w:r>
      <w:r w:rsidRPr="00D65230">
        <w:rPr>
          <w:rFonts w:ascii="Arial" w:hAnsi="Arial" w:cs="Arial"/>
        </w:rPr>
        <w:t xml:space="preserve"> policy were implemented, for instance: the law on monetary social support for deprived citizens, providing that persons, who do not participate in </w:t>
      </w:r>
      <w:r w:rsidR="00086206" w:rsidRPr="00D65230">
        <w:rPr>
          <w:rFonts w:ascii="Arial" w:hAnsi="Arial" w:cs="Arial"/>
        </w:rPr>
        <w:t>renovation</w:t>
      </w:r>
      <w:r w:rsidRPr="00D65230">
        <w:rPr>
          <w:rFonts w:ascii="Arial" w:hAnsi="Arial" w:cs="Arial"/>
        </w:rPr>
        <w:t xml:space="preserve"> of housing, lose compensation for heating expenses; the law on state support for multi-apartment buildings renovation (modernization) was changed by creating conditions for municipal</w:t>
      </w:r>
      <w:r w:rsidR="00A11BD0" w:rsidRPr="00D65230">
        <w:rPr>
          <w:rFonts w:ascii="Arial" w:hAnsi="Arial" w:cs="Arial"/>
        </w:rPr>
        <w:t>it</w:t>
      </w:r>
      <w:r w:rsidRPr="00D65230">
        <w:rPr>
          <w:rFonts w:ascii="Arial" w:hAnsi="Arial" w:cs="Arial"/>
        </w:rPr>
        <w:t>y-ap</w:t>
      </w:r>
      <w:r w:rsidR="00A11BD0" w:rsidRPr="00D65230">
        <w:rPr>
          <w:rFonts w:ascii="Arial" w:hAnsi="Arial" w:cs="Arial"/>
        </w:rPr>
        <w:t>p</w:t>
      </w:r>
      <w:r w:rsidRPr="00D65230">
        <w:rPr>
          <w:rFonts w:ascii="Arial" w:hAnsi="Arial" w:cs="Arial"/>
        </w:rPr>
        <w:t xml:space="preserve">ointed administrators to implement </w:t>
      </w:r>
      <w:r w:rsidR="00C11C20" w:rsidRPr="00D65230">
        <w:rPr>
          <w:rFonts w:ascii="Arial" w:hAnsi="Arial" w:cs="Arial"/>
        </w:rPr>
        <w:t>renovation</w:t>
      </w:r>
      <w:r w:rsidRPr="00D65230">
        <w:rPr>
          <w:rFonts w:ascii="Arial" w:hAnsi="Arial" w:cs="Arial"/>
        </w:rPr>
        <w:t xml:space="preserve"> projects under the locally approved municipal </w:t>
      </w:r>
      <w:r w:rsidR="00086206" w:rsidRPr="00D65230">
        <w:rPr>
          <w:rFonts w:ascii="Arial" w:hAnsi="Arial" w:cs="Arial"/>
        </w:rPr>
        <w:t>renovation</w:t>
      </w:r>
      <w:r w:rsidRPr="00D65230">
        <w:rPr>
          <w:rFonts w:ascii="Arial" w:hAnsi="Arial" w:cs="Arial"/>
        </w:rPr>
        <w:t xml:space="preserve"> program</w:t>
      </w:r>
      <w:r w:rsidR="000B73BE" w:rsidRPr="00D65230">
        <w:rPr>
          <w:rFonts w:ascii="Arial" w:hAnsi="Arial" w:cs="Arial"/>
        </w:rPr>
        <w:t>me</w:t>
      </w:r>
      <w:r w:rsidRPr="00D65230">
        <w:rPr>
          <w:rFonts w:ascii="Arial" w:hAnsi="Arial" w:cs="Arial"/>
        </w:rPr>
        <w:t>s. The administrator must be a non-profit organization appointed by a municipality or an undertaking, selected via competitive tendering procedure. The administrator by the decision of the owners of a multi</w:t>
      </w:r>
      <w:r w:rsidR="00A11BD0" w:rsidRPr="00D65230">
        <w:rPr>
          <w:rFonts w:ascii="Arial" w:hAnsi="Arial" w:cs="Arial"/>
        </w:rPr>
        <w:t>-</w:t>
      </w:r>
      <w:r w:rsidRPr="00D65230">
        <w:rPr>
          <w:rFonts w:ascii="Arial" w:hAnsi="Arial" w:cs="Arial"/>
        </w:rPr>
        <w:t xml:space="preserve">apartment building is authorized to organise the implementation of </w:t>
      </w:r>
      <w:r w:rsidR="00086206" w:rsidRPr="00D65230">
        <w:rPr>
          <w:rFonts w:ascii="Arial" w:hAnsi="Arial" w:cs="Arial"/>
        </w:rPr>
        <w:t>renovation</w:t>
      </w:r>
      <w:r w:rsidRPr="00D65230">
        <w:rPr>
          <w:rFonts w:ascii="Arial" w:hAnsi="Arial" w:cs="Arial"/>
        </w:rPr>
        <w:t xml:space="preserve"> project by owners meeting. These changes created conditions to renew almost 1500 multi-apartment buildings in the period </w:t>
      </w:r>
      <w:r w:rsidR="00D807A1" w:rsidRPr="00D65230">
        <w:rPr>
          <w:rFonts w:ascii="Arial" w:hAnsi="Arial" w:cs="Arial"/>
        </w:rPr>
        <w:t>from</w:t>
      </w:r>
      <w:r w:rsidR="00086206" w:rsidRPr="00D65230">
        <w:rPr>
          <w:rFonts w:ascii="Arial" w:hAnsi="Arial" w:cs="Arial"/>
        </w:rPr>
        <w:t xml:space="preserve"> </w:t>
      </w:r>
      <w:r w:rsidRPr="00D65230">
        <w:rPr>
          <w:rFonts w:ascii="Arial" w:hAnsi="Arial" w:cs="Arial"/>
        </w:rPr>
        <w:t>2014</w:t>
      </w:r>
      <w:r w:rsidR="00D807A1" w:rsidRPr="00D65230">
        <w:rPr>
          <w:rFonts w:ascii="Arial" w:hAnsi="Arial" w:cs="Arial"/>
        </w:rPr>
        <w:t xml:space="preserve"> to </w:t>
      </w:r>
      <w:r w:rsidRPr="00D65230">
        <w:rPr>
          <w:rFonts w:ascii="Arial" w:hAnsi="Arial" w:cs="Arial"/>
        </w:rPr>
        <w:t xml:space="preserve">2016. It is three times more than </w:t>
      </w:r>
      <w:r w:rsidR="00F43F0F" w:rsidRPr="00D65230">
        <w:rPr>
          <w:rFonts w:ascii="Arial" w:hAnsi="Arial" w:cs="Arial"/>
        </w:rPr>
        <w:t xml:space="preserve">the number of projects implemented </w:t>
      </w:r>
      <w:r w:rsidRPr="00D65230">
        <w:rPr>
          <w:rFonts w:ascii="Arial" w:hAnsi="Arial" w:cs="Arial"/>
        </w:rPr>
        <w:t xml:space="preserve">in the period </w:t>
      </w:r>
      <w:r w:rsidR="00D807A1" w:rsidRPr="00D65230">
        <w:rPr>
          <w:rFonts w:ascii="Arial" w:hAnsi="Arial" w:cs="Arial"/>
        </w:rPr>
        <w:t>from</w:t>
      </w:r>
      <w:r w:rsidRPr="00D65230">
        <w:rPr>
          <w:rFonts w:ascii="Arial" w:hAnsi="Arial" w:cs="Arial"/>
        </w:rPr>
        <w:t xml:space="preserve"> 2005</w:t>
      </w:r>
      <w:r w:rsidR="00D807A1" w:rsidRPr="00D65230">
        <w:rPr>
          <w:rFonts w:ascii="Arial" w:hAnsi="Arial" w:cs="Arial"/>
        </w:rPr>
        <w:t xml:space="preserve"> to </w:t>
      </w:r>
      <w:r w:rsidRPr="00D65230">
        <w:rPr>
          <w:rFonts w:ascii="Arial" w:hAnsi="Arial" w:cs="Arial"/>
        </w:rPr>
        <w:t>2013</w:t>
      </w:r>
      <w:r w:rsidR="00566E06" w:rsidRPr="00D65230">
        <w:rPr>
          <w:rFonts w:ascii="Arial" w:hAnsi="Arial" w:cs="Arial"/>
        </w:rPr>
        <w:t>.</w:t>
      </w:r>
    </w:p>
    <w:p w:rsidR="00566E06" w:rsidRPr="00D65230" w:rsidRDefault="007D2F4B" w:rsidP="007D2F4B">
      <w:pPr>
        <w:rPr>
          <w:rFonts w:ascii="Arial" w:hAnsi="Arial" w:cs="Arial"/>
        </w:rPr>
      </w:pPr>
      <w:r w:rsidRPr="00D65230">
        <w:rPr>
          <w:rFonts w:ascii="Arial" w:hAnsi="Arial" w:cs="Arial"/>
        </w:rPr>
        <w:t xml:space="preserve">The performed analysis revealed that the main impact on the demand of </w:t>
      </w:r>
      <w:r w:rsidR="00C11C20" w:rsidRPr="00D65230">
        <w:rPr>
          <w:rFonts w:ascii="Arial" w:hAnsi="Arial" w:cs="Arial"/>
        </w:rPr>
        <w:t>renovation</w:t>
      </w:r>
      <w:r w:rsidRPr="00D65230">
        <w:rPr>
          <w:rFonts w:ascii="Arial" w:hAnsi="Arial" w:cs="Arial"/>
        </w:rPr>
        <w:t xml:space="preserve"> projects was not caused by the changes in socio-economic situation, but the </w:t>
      </w:r>
      <w:r w:rsidR="00C11C20" w:rsidRPr="00D65230">
        <w:rPr>
          <w:rFonts w:ascii="Arial" w:hAnsi="Arial" w:cs="Arial"/>
        </w:rPr>
        <w:t>renovation</w:t>
      </w:r>
      <w:r w:rsidRPr="00D65230">
        <w:rPr>
          <w:rFonts w:ascii="Arial" w:hAnsi="Arial" w:cs="Arial"/>
        </w:rPr>
        <w:t xml:space="preserve"> policy factors. This finding was confirmed by the analysis of statistics and surveys, where respondents indicated that the State‘s non-repayable support and organisational aspects (legal basis, administrative requirements etc.) of multi-apartment buildings </w:t>
      </w:r>
      <w:r w:rsidR="00086206" w:rsidRPr="00D65230">
        <w:rPr>
          <w:rFonts w:ascii="Arial" w:hAnsi="Arial" w:cs="Arial"/>
        </w:rPr>
        <w:t>renovation</w:t>
      </w:r>
      <w:r w:rsidRPr="00D65230">
        <w:rPr>
          <w:rFonts w:ascii="Arial" w:hAnsi="Arial" w:cs="Arial"/>
        </w:rPr>
        <w:t xml:space="preserve"> projects had the biggest impact for </w:t>
      </w:r>
      <w:r w:rsidR="00086206" w:rsidRPr="00D65230">
        <w:rPr>
          <w:rFonts w:ascii="Arial" w:hAnsi="Arial" w:cs="Arial"/>
        </w:rPr>
        <w:t>renovation</w:t>
      </w:r>
      <w:r w:rsidRPr="00D65230">
        <w:rPr>
          <w:rFonts w:ascii="Arial" w:hAnsi="Arial" w:cs="Arial"/>
        </w:rPr>
        <w:t xml:space="preserve"> demand</w:t>
      </w:r>
      <w:r w:rsidR="00566E06" w:rsidRPr="00D65230">
        <w:rPr>
          <w:rFonts w:ascii="Arial" w:hAnsi="Arial" w:cs="Arial"/>
        </w:rPr>
        <w:t>.</w:t>
      </w:r>
    </w:p>
    <w:p w:rsidR="0001081C" w:rsidRPr="00D65230" w:rsidRDefault="007D2F4B" w:rsidP="001F720F">
      <w:pPr>
        <w:pStyle w:val="Heading4"/>
        <w:rPr>
          <w:i w:val="0"/>
          <w:color w:val="00338D"/>
        </w:rPr>
      </w:pPr>
      <w:r w:rsidRPr="00D65230">
        <w:rPr>
          <w:i w:val="0"/>
          <w:color w:val="00338D"/>
        </w:rPr>
        <w:t xml:space="preserve">Results of </w:t>
      </w:r>
      <w:r w:rsidR="00396A60" w:rsidRPr="00D65230">
        <w:rPr>
          <w:i w:val="0"/>
          <w:color w:val="00338D"/>
        </w:rPr>
        <w:t xml:space="preserve">the </w:t>
      </w:r>
      <w:r w:rsidR="000D06ED" w:rsidRPr="00D65230">
        <w:rPr>
          <w:i w:val="0"/>
          <w:color w:val="00338D"/>
        </w:rPr>
        <w:t>Measure JKF</w:t>
      </w:r>
      <w:r w:rsidRPr="00D65230">
        <w:rPr>
          <w:i w:val="0"/>
          <w:color w:val="00338D"/>
        </w:rPr>
        <w:t xml:space="preserve"> su</w:t>
      </w:r>
      <w:r w:rsidR="006D12BF" w:rsidRPr="00D65230">
        <w:rPr>
          <w:i w:val="0"/>
          <w:color w:val="00338D"/>
        </w:rPr>
        <w:t>ita</w:t>
      </w:r>
      <w:r w:rsidRPr="00D65230">
        <w:rPr>
          <w:i w:val="0"/>
          <w:color w:val="00338D"/>
        </w:rPr>
        <w:t>bility and compa</w:t>
      </w:r>
      <w:r w:rsidR="00D47B0E" w:rsidRPr="00D65230">
        <w:rPr>
          <w:i w:val="0"/>
          <w:color w:val="00338D"/>
        </w:rPr>
        <w:t>ti</w:t>
      </w:r>
      <w:r w:rsidRPr="00D65230">
        <w:rPr>
          <w:i w:val="0"/>
          <w:color w:val="00338D"/>
        </w:rPr>
        <w:t>bility analysis</w:t>
      </w:r>
    </w:p>
    <w:p w:rsidR="00BF6C31" w:rsidRPr="00D65230" w:rsidRDefault="00396A60" w:rsidP="000F2BB6">
      <w:pPr>
        <w:rPr>
          <w:rFonts w:ascii="Arial" w:hAnsi="Arial" w:cs="Arial"/>
        </w:rPr>
      </w:pPr>
      <w:r w:rsidRPr="00D65230">
        <w:rPr>
          <w:rFonts w:ascii="Arial" w:hAnsi="Arial" w:cs="Arial"/>
        </w:rPr>
        <w:t xml:space="preserve">The </w:t>
      </w:r>
      <w:r w:rsidR="000D06ED" w:rsidRPr="00D65230">
        <w:rPr>
          <w:rFonts w:ascii="Arial" w:hAnsi="Arial" w:cs="Arial"/>
        </w:rPr>
        <w:t>Measure JKF</w:t>
      </w:r>
      <w:r w:rsidR="007D2F4B" w:rsidRPr="00D65230">
        <w:rPr>
          <w:rFonts w:ascii="Arial" w:hAnsi="Arial" w:cs="Arial"/>
        </w:rPr>
        <w:t xml:space="preserve"> was implemented on the basis of </w:t>
      </w:r>
      <w:r w:rsidR="00D807A1" w:rsidRPr="00D65230">
        <w:rPr>
          <w:rFonts w:ascii="Arial" w:hAnsi="Arial" w:cs="Arial"/>
        </w:rPr>
        <w:t>P</w:t>
      </w:r>
      <w:r w:rsidR="007D2F4B" w:rsidRPr="00D65230">
        <w:rPr>
          <w:rFonts w:ascii="Arial" w:hAnsi="Arial" w:cs="Arial"/>
        </w:rPr>
        <w:t xml:space="preserve">riority </w:t>
      </w:r>
      <w:r w:rsidR="00D807A1" w:rsidRPr="00D65230">
        <w:rPr>
          <w:rFonts w:ascii="Arial" w:hAnsi="Arial" w:cs="Arial"/>
        </w:rPr>
        <w:t xml:space="preserve">1 </w:t>
      </w:r>
      <w:r w:rsidR="007D2F4B" w:rsidRPr="00D65230">
        <w:rPr>
          <w:rFonts w:ascii="Arial" w:hAnsi="Arial" w:cs="Arial"/>
        </w:rPr>
        <w:t>“Local and urban development, cultural heritage, environmental preservation and tourism development”</w:t>
      </w:r>
      <w:r w:rsidR="00D807A1" w:rsidRPr="00D65230">
        <w:rPr>
          <w:rFonts w:ascii="Arial" w:hAnsi="Arial" w:cs="Arial"/>
        </w:rPr>
        <w:t xml:space="preserve"> of the</w:t>
      </w:r>
      <w:r w:rsidR="007D2F4B" w:rsidRPr="00D65230">
        <w:rPr>
          <w:rFonts w:ascii="Arial" w:hAnsi="Arial" w:cs="Arial"/>
        </w:rPr>
        <w:t xml:space="preserve"> </w:t>
      </w:r>
      <w:r w:rsidR="00D807A1" w:rsidRPr="00D65230">
        <w:rPr>
          <w:rFonts w:ascii="Arial" w:hAnsi="Arial" w:cs="Arial"/>
        </w:rPr>
        <w:t xml:space="preserve">SVPP </w:t>
      </w:r>
      <w:r w:rsidR="007D2F4B" w:rsidRPr="00D65230">
        <w:rPr>
          <w:rFonts w:ascii="Arial" w:hAnsi="Arial" w:cs="Arial"/>
        </w:rPr>
        <w:t>and contributed to the task</w:t>
      </w:r>
      <w:r w:rsidR="00D807A1" w:rsidRPr="00D65230">
        <w:rPr>
          <w:rFonts w:ascii="Arial" w:hAnsi="Arial" w:cs="Arial"/>
        </w:rPr>
        <w:t>, which is to</w:t>
      </w:r>
      <w:r w:rsidR="007D2F4B" w:rsidRPr="00D65230">
        <w:rPr>
          <w:rFonts w:ascii="Arial" w:hAnsi="Arial" w:cs="Arial"/>
        </w:rPr>
        <w:t xml:space="preserve"> reduce living environment and quality differences between the main and the other cities of the State, especially focusing on the improvement of the housing conditions. The goal of the Measure was to improve </w:t>
      </w:r>
      <w:r w:rsidR="007C6820" w:rsidRPr="00D65230">
        <w:rPr>
          <w:rFonts w:ascii="Arial" w:hAnsi="Arial" w:cs="Arial"/>
        </w:rPr>
        <w:t xml:space="preserve">the </w:t>
      </w:r>
      <w:r w:rsidR="007D2F4B" w:rsidRPr="00D65230">
        <w:rPr>
          <w:rFonts w:ascii="Arial" w:hAnsi="Arial" w:cs="Arial"/>
        </w:rPr>
        <w:t>housing sector energy usage efficiency financing conditions</w:t>
      </w:r>
      <w:r w:rsidR="004D2144" w:rsidRPr="00D65230">
        <w:rPr>
          <w:rFonts w:ascii="Arial" w:hAnsi="Arial" w:cs="Arial"/>
        </w:rPr>
        <w:t>.</w:t>
      </w:r>
    </w:p>
    <w:p w:rsidR="00716C00" w:rsidRPr="00D65230" w:rsidRDefault="007D2F4B" w:rsidP="0039522E">
      <w:pPr>
        <w:rPr>
          <w:rFonts w:ascii="Arial" w:hAnsi="Arial" w:cs="Arial"/>
        </w:rPr>
      </w:pPr>
      <w:r w:rsidRPr="00D65230">
        <w:rPr>
          <w:rFonts w:ascii="Arial" w:hAnsi="Arial" w:cs="Arial"/>
        </w:rPr>
        <w:t xml:space="preserve">By funds allocated to the </w:t>
      </w:r>
      <w:r w:rsidR="00D47B0E" w:rsidRPr="00D65230">
        <w:rPr>
          <w:rFonts w:ascii="Arial" w:hAnsi="Arial" w:cs="Arial"/>
        </w:rPr>
        <w:t>M</w:t>
      </w:r>
      <w:r w:rsidRPr="00D65230">
        <w:rPr>
          <w:rFonts w:ascii="Arial" w:hAnsi="Arial" w:cs="Arial"/>
        </w:rPr>
        <w:t xml:space="preserve">easure, </w:t>
      </w:r>
      <w:r w:rsidR="00903366" w:rsidRPr="00D65230">
        <w:rPr>
          <w:rFonts w:ascii="Arial" w:hAnsi="Arial" w:cs="Arial"/>
        </w:rPr>
        <w:t xml:space="preserve">the </w:t>
      </w:r>
      <w:r w:rsidRPr="00D65230">
        <w:rPr>
          <w:rFonts w:ascii="Arial" w:hAnsi="Arial" w:cs="Arial"/>
        </w:rPr>
        <w:t xml:space="preserve">JKF was founded, which </w:t>
      </w:r>
      <w:r w:rsidR="007C6820" w:rsidRPr="00D65230">
        <w:rPr>
          <w:rFonts w:ascii="Arial" w:hAnsi="Arial" w:cs="Arial"/>
        </w:rPr>
        <w:t xml:space="preserve">provided </w:t>
      </w:r>
      <w:r w:rsidRPr="00D65230">
        <w:rPr>
          <w:rFonts w:ascii="Arial" w:hAnsi="Arial" w:cs="Arial"/>
        </w:rPr>
        <w:t>through financ</w:t>
      </w:r>
      <w:r w:rsidR="007C6820" w:rsidRPr="00D65230">
        <w:rPr>
          <w:rFonts w:ascii="Arial" w:hAnsi="Arial" w:cs="Arial"/>
        </w:rPr>
        <w:t>ial</w:t>
      </w:r>
      <w:r w:rsidR="00086206" w:rsidRPr="00D65230">
        <w:rPr>
          <w:rFonts w:ascii="Arial" w:hAnsi="Arial" w:cs="Arial"/>
        </w:rPr>
        <w:t xml:space="preserve"> </w:t>
      </w:r>
      <w:r w:rsidRPr="00D65230">
        <w:rPr>
          <w:rFonts w:ascii="Arial" w:hAnsi="Arial" w:cs="Arial"/>
        </w:rPr>
        <w:t>intermediaries preferential loans for</w:t>
      </w:r>
      <w:r w:rsidR="007C6820" w:rsidRPr="00D65230">
        <w:rPr>
          <w:rFonts w:ascii="Arial" w:hAnsi="Arial" w:cs="Arial"/>
        </w:rPr>
        <w:t xml:space="preserve"> </w:t>
      </w:r>
      <w:r w:rsidR="00C11C20" w:rsidRPr="00D65230">
        <w:rPr>
          <w:rFonts w:ascii="Arial" w:hAnsi="Arial" w:cs="Arial"/>
        </w:rPr>
        <w:t>renovation</w:t>
      </w:r>
      <w:r w:rsidR="007C6820" w:rsidRPr="00D65230">
        <w:rPr>
          <w:rFonts w:ascii="Arial" w:hAnsi="Arial" w:cs="Arial"/>
        </w:rPr>
        <w:t xml:space="preserve"> of </w:t>
      </w:r>
      <w:r w:rsidRPr="00D65230">
        <w:rPr>
          <w:rFonts w:ascii="Arial" w:hAnsi="Arial" w:cs="Arial"/>
        </w:rPr>
        <w:t>multi</w:t>
      </w:r>
      <w:r w:rsidR="007C6820" w:rsidRPr="00D65230">
        <w:rPr>
          <w:rFonts w:ascii="Arial" w:hAnsi="Arial" w:cs="Arial"/>
        </w:rPr>
        <w:t>-</w:t>
      </w:r>
      <w:r w:rsidRPr="00D65230">
        <w:rPr>
          <w:rFonts w:ascii="Arial" w:hAnsi="Arial" w:cs="Arial"/>
        </w:rPr>
        <w:t>apartment houses</w:t>
      </w:r>
      <w:r w:rsidR="007C6820" w:rsidRPr="00D65230">
        <w:rPr>
          <w:rFonts w:ascii="Arial" w:hAnsi="Arial" w:cs="Arial"/>
        </w:rPr>
        <w:t>,</w:t>
      </w:r>
      <w:r w:rsidRPr="00D65230">
        <w:rPr>
          <w:rFonts w:ascii="Arial" w:hAnsi="Arial" w:cs="Arial"/>
        </w:rPr>
        <w:t xml:space="preserve"> </w:t>
      </w:r>
      <w:r w:rsidR="007C6820" w:rsidRPr="00D65230">
        <w:rPr>
          <w:rFonts w:ascii="Arial" w:hAnsi="Arial" w:cs="Arial"/>
        </w:rPr>
        <w:t xml:space="preserve">public secondary </w:t>
      </w:r>
      <w:r w:rsidRPr="00D65230">
        <w:rPr>
          <w:rFonts w:ascii="Arial" w:hAnsi="Arial" w:cs="Arial"/>
        </w:rPr>
        <w:t xml:space="preserve">and vocational training schools </w:t>
      </w:r>
      <w:r w:rsidR="007C6820" w:rsidRPr="00D65230">
        <w:rPr>
          <w:rFonts w:ascii="Arial" w:hAnsi="Arial" w:cs="Arial"/>
        </w:rPr>
        <w:t xml:space="preserve">and </w:t>
      </w:r>
      <w:r w:rsidRPr="00D65230">
        <w:rPr>
          <w:rFonts w:ascii="Arial" w:hAnsi="Arial" w:cs="Arial"/>
        </w:rPr>
        <w:t xml:space="preserve">dormitories. Funds allocated to the Measure by EU and State budged accounted for more than </w:t>
      </w:r>
      <w:r w:rsidR="00AF4525" w:rsidRPr="00D65230">
        <w:rPr>
          <w:rFonts w:ascii="Arial" w:hAnsi="Arial" w:cs="Arial"/>
        </w:rPr>
        <w:t xml:space="preserve">EUR </w:t>
      </w:r>
      <w:r w:rsidRPr="00D65230">
        <w:rPr>
          <w:rFonts w:ascii="Arial" w:hAnsi="Arial" w:cs="Arial"/>
        </w:rPr>
        <w:t>173</w:t>
      </w:r>
      <w:r w:rsidR="00B46EAC" w:rsidRPr="00D65230">
        <w:rPr>
          <w:rFonts w:ascii="Arial" w:hAnsi="Arial" w:cs="Arial"/>
        </w:rPr>
        <w:t>M</w:t>
      </w:r>
      <w:r w:rsidRPr="00D65230">
        <w:rPr>
          <w:rFonts w:ascii="Arial" w:hAnsi="Arial" w:cs="Arial"/>
        </w:rPr>
        <w:t xml:space="preserve">; attracted private (commercial banks) funds – about </w:t>
      </w:r>
      <w:r w:rsidR="00AF4525" w:rsidRPr="00D65230">
        <w:rPr>
          <w:rFonts w:ascii="Arial" w:hAnsi="Arial" w:cs="Arial"/>
        </w:rPr>
        <w:t xml:space="preserve">EUR </w:t>
      </w:r>
      <w:r w:rsidRPr="00D65230">
        <w:rPr>
          <w:rFonts w:ascii="Arial" w:hAnsi="Arial" w:cs="Arial"/>
        </w:rPr>
        <w:t>80</w:t>
      </w:r>
      <w:r w:rsidR="00B46EAC" w:rsidRPr="00D65230">
        <w:rPr>
          <w:rFonts w:ascii="Arial" w:hAnsi="Arial" w:cs="Arial"/>
        </w:rPr>
        <w:t>M</w:t>
      </w:r>
      <w:r w:rsidRPr="00D65230">
        <w:rPr>
          <w:rFonts w:ascii="Arial" w:hAnsi="Arial" w:cs="Arial"/>
        </w:rPr>
        <w:t>. Altogether, 1.068 loans to multi</w:t>
      </w:r>
      <w:r w:rsidR="007C6820" w:rsidRPr="00D65230">
        <w:rPr>
          <w:rFonts w:ascii="Arial" w:hAnsi="Arial" w:cs="Arial"/>
        </w:rPr>
        <w:t>-</w:t>
      </w:r>
      <w:r w:rsidRPr="00D65230">
        <w:rPr>
          <w:rFonts w:ascii="Arial" w:hAnsi="Arial" w:cs="Arial"/>
        </w:rPr>
        <w:t xml:space="preserve">apartment houses and dormitories </w:t>
      </w:r>
      <w:r w:rsidR="00C11C20" w:rsidRPr="00D65230">
        <w:rPr>
          <w:rFonts w:ascii="Arial" w:hAnsi="Arial" w:cs="Arial"/>
        </w:rPr>
        <w:t>renovation</w:t>
      </w:r>
      <w:r w:rsidRPr="00D65230">
        <w:rPr>
          <w:rFonts w:ascii="Arial" w:hAnsi="Arial" w:cs="Arial"/>
        </w:rPr>
        <w:t xml:space="preserve"> were provided under the </w:t>
      </w:r>
      <w:r w:rsidR="00D47B0E" w:rsidRPr="00D65230">
        <w:rPr>
          <w:rFonts w:ascii="Arial" w:hAnsi="Arial" w:cs="Arial"/>
        </w:rPr>
        <w:t>M</w:t>
      </w:r>
      <w:r w:rsidRPr="00D65230">
        <w:rPr>
          <w:rFonts w:ascii="Arial" w:hAnsi="Arial" w:cs="Arial"/>
        </w:rPr>
        <w:t>easure</w:t>
      </w:r>
      <w:r w:rsidR="00E95DD5" w:rsidRPr="00D65230">
        <w:rPr>
          <w:rFonts w:ascii="Arial" w:hAnsi="Arial" w:cs="Arial"/>
        </w:rPr>
        <w:t>.</w:t>
      </w:r>
    </w:p>
    <w:p w:rsidR="0039522E" w:rsidRPr="00D65230" w:rsidRDefault="007D2F4B" w:rsidP="0039522E">
      <w:pPr>
        <w:rPr>
          <w:rFonts w:ascii="Arial" w:hAnsi="Arial" w:cs="Arial"/>
        </w:rPr>
      </w:pPr>
      <w:r w:rsidRPr="00D65230">
        <w:rPr>
          <w:rFonts w:ascii="Arial" w:hAnsi="Arial" w:cs="Arial"/>
        </w:rPr>
        <w:t xml:space="preserve">Accomplished suitability and compatibility evaluation of </w:t>
      </w:r>
      <w:r w:rsidR="00F43F0F" w:rsidRPr="00D65230">
        <w:rPr>
          <w:rFonts w:ascii="Arial" w:hAnsi="Arial" w:cs="Arial"/>
        </w:rPr>
        <w:t xml:space="preserve">the </w:t>
      </w:r>
      <w:r w:rsidRPr="00D65230">
        <w:rPr>
          <w:rFonts w:ascii="Arial" w:hAnsi="Arial" w:cs="Arial"/>
        </w:rPr>
        <w:t xml:space="preserve">measure and </w:t>
      </w:r>
      <w:r w:rsidR="00F43F0F" w:rsidRPr="00D65230">
        <w:rPr>
          <w:rFonts w:ascii="Arial" w:hAnsi="Arial" w:cs="Arial"/>
        </w:rPr>
        <w:t xml:space="preserve">the </w:t>
      </w:r>
      <w:r w:rsidRPr="00D65230">
        <w:rPr>
          <w:rFonts w:ascii="Arial" w:hAnsi="Arial" w:cs="Arial"/>
        </w:rPr>
        <w:t>State support given through its implementation period, revealed that</w:t>
      </w:r>
      <w:r w:rsidR="0039522E" w:rsidRPr="00D65230">
        <w:rPr>
          <w:rFonts w:ascii="Arial" w:hAnsi="Arial" w:cs="Arial"/>
        </w:rPr>
        <w:t>:</w:t>
      </w:r>
    </w:p>
    <w:p w:rsidR="006219AA" w:rsidRPr="00D65230" w:rsidRDefault="007D2F4B" w:rsidP="007D2F4B">
      <w:pPr>
        <w:pStyle w:val="Tablebulletsub"/>
        <w:ind w:left="317" w:hanging="283"/>
        <w:rPr>
          <w:rFonts w:ascii="Arial" w:hAnsi="Arial" w:cs="Arial"/>
          <w:szCs w:val="20"/>
        </w:rPr>
      </w:pPr>
      <w:r w:rsidRPr="00D65230">
        <w:rPr>
          <w:rFonts w:ascii="Arial" w:hAnsi="Arial" w:cs="Arial"/>
          <w:szCs w:val="20"/>
        </w:rPr>
        <w:t>Purposes, challenges, indicators set fo</w:t>
      </w:r>
      <w:r w:rsidR="00D47B0E" w:rsidRPr="00D65230">
        <w:rPr>
          <w:rFonts w:ascii="Arial" w:hAnsi="Arial" w:cs="Arial"/>
          <w:szCs w:val="20"/>
        </w:rPr>
        <w:t xml:space="preserve">r </w:t>
      </w:r>
      <w:r w:rsidR="00396A60" w:rsidRPr="00D65230">
        <w:rPr>
          <w:rFonts w:ascii="Arial" w:hAnsi="Arial" w:cs="Arial"/>
          <w:szCs w:val="20"/>
        </w:rPr>
        <w:t xml:space="preserve">the </w:t>
      </w:r>
      <w:r w:rsidR="000D06ED" w:rsidRPr="00D65230">
        <w:rPr>
          <w:rFonts w:ascii="Arial" w:hAnsi="Arial" w:cs="Arial"/>
          <w:szCs w:val="20"/>
        </w:rPr>
        <w:t>Measure JKF</w:t>
      </w:r>
      <w:r w:rsidRPr="00D65230">
        <w:rPr>
          <w:rFonts w:ascii="Arial" w:hAnsi="Arial" w:cs="Arial"/>
          <w:szCs w:val="20"/>
        </w:rPr>
        <w:t xml:space="preserve"> were compatible with the overall aims set by the State renovation policy and contributed to its implementation</w:t>
      </w:r>
      <w:r w:rsidR="006219AA" w:rsidRPr="00D65230">
        <w:rPr>
          <w:rFonts w:ascii="Arial" w:hAnsi="Arial" w:cs="Arial"/>
          <w:szCs w:val="20"/>
        </w:rPr>
        <w:t>.</w:t>
      </w:r>
    </w:p>
    <w:p w:rsidR="00672B48" w:rsidRPr="00D65230" w:rsidRDefault="007D2F4B" w:rsidP="007D2F4B">
      <w:pPr>
        <w:pStyle w:val="Tablebulletsub"/>
        <w:ind w:left="317" w:hanging="283"/>
        <w:rPr>
          <w:rFonts w:ascii="Arial" w:hAnsi="Arial" w:cs="Arial"/>
          <w:szCs w:val="20"/>
        </w:rPr>
      </w:pPr>
      <w:r w:rsidRPr="00D65230">
        <w:rPr>
          <w:rFonts w:ascii="Arial" w:hAnsi="Arial" w:cs="Arial"/>
          <w:szCs w:val="20"/>
        </w:rPr>
        <w:lastRenderedPageBreak/>
        <w:t xml:space="preserve">The legal regulation, during the implementation of </w:t>
      </w:r>
      <w:r w:rsidR="00396A60" w:rsidRPr="00D65230">
        <w:rPr>
          <w:rFonts w:ascii="Arial" w:hAnsi="Arial" w:cs="Arial"/>
          <w:szCs w:val="20"/>
        </w:rPr>
        <w:t xml:space="preserve">the </w:t>
      </w:r>
      <w:r w:rsidR="000D06ED" w:rsidRPr="00D65230">
        <w:rPr>
          <w:rFonts w:ascii="Arial" w:hAnsi="Arial" w:cs="Arial"/>
          <w:szCs w:val="20"/>
        </w:rPr>
        <w:t>Measure JKF</w:t>
      </w:r>
      <w:r w:rsidRPr="00D65230">
        <w:rPr>
          <w:rFonts w:ascii="Arial" w:hAnsi="Arial" w:cs="Arial"/>
          <w:szCs w:val="20"/>
        </w:rPr>
        <w:t xml:space="preserve">, was in general suitable and </w:t>
      </w:r>
      <w:r w:rsidR="00613042" w:rsidRPr="00D65230">
        <w:rPr>
          <w:rFonts w:ascii="Arial" w:hAnsi="Arial" w:cs="Arial"/>
          <w:szCs w:val="20"/>
        </w:rPr>
        <w:t xml:space="preserve">that the </w:t>
      </w:r>
      <w:r w:rsidRPr="00D65230">
        <w:rPr>
          <w:rFonts w:ascii="Arial" w:hAnsi="Arial" w:cs="Arial"/>
          <w:szCs w:val="20"/>
        </w:rPr>
        <w:t xml:space="preserve">chosen measures, financing sources helped to implement higher quantity of </w:t>
      </w:r>
      <w:r w:rsidR="00C11C20" w:rsidRPr="00D65230">
        <w:rPr>
          <w:rFonts w:ascii="Arial" w:hAnsi="Arial" w:cs="Arial"/>
          <w:szCs w:val="20"/>
        </w:rPr>
        <w:t>renovation</w:t>
      </w:r>
      <w:r w:rsidRPr="00D65230">
        <w:rPr>
          <w:rFonts w:ascii="Arial" w:hAnsi="Arial" w:cs="Arial"/>
          <w:szCs w:val="20"/>
        </w:rPr>
        <w:t xml:space="preserve"> projects and to attract private funds. Ne</w:t>
      </w:r>
      <w:r w:rsidR="00D47B0E" w:rsidRPr="00D65230">
        <w:rPr>
          <w:rFonts w:ascii="Arial" w:hAnsi="Arial" w:cs="Arial"/>
          <w:szCs w:val="20"/>
        </w:rPr>
        <w:t>v</w:t>
      </w:r>
      <w:r w:rsidRPr="00D65230">
        <w:rPr>
          <w:rFonts w:ascii="Arial" w:hAnsi="Arial" w:cs="Arial"/>
          <w:szCs w:val="20"/>
        </w:rPr>
        <w:t>erthele</w:t>
      </w:r>
      <w:r w:rsidR="00D47B0E" w:rsidRPr="00D65230">
        <w:rPr>
          <w:rFonts w:ascii="Arial" w:hAnsi="Arial" w:cs="Arial"/>
          <w:szCs w:val="20"/>
        </w:rPr>
        <w:t>s</w:t>
      </w:r>
      <w:r w:rsidRPr="00D65230">
        <w:rPr>
          <w:rFonts w:ascii="Arial" w:hAnsi="Arial" w:cs="Arial"/>
          <w:szCs w:val="20"/>
        </w:rPr>
        <w:t xml:space="preserve">s, </w:t>
      </w:r>
      <w:r w:rsidR="00613042" w:rsidRPr="00D65230">
        <w:rPr>
          <w:rFonts w:ascii="Arial" w:hAnsi="Arial" w:cs="Arial"/>
          <w:szCs w:val="20"/>
        </w:rPr>
        <w:t xml:space="preserve">the </w:t>
      </w:r>
      <w:r w:rsidRPr="00D65230">
        <w:rPr>
          <w:rFonts w:ascii="Arial" w:hAnsi="Arial" w:cs="Arial"/>
          <w:szCs w:val="20"/>
        </w:rPr>
        <w:t xml:space="preserve">chosen measures were not designated to reduce the State budget funds (allocated for </w:t>
      </w:r>
      <w:r w:rsidR="00C11C20" w:rsidRPr="00D65230">
        <w:rPr>
          <w:rFonts w:ascii="Arial" w:hAnsi="Arial" w:cs="Arial"/>
          <w:szCs w:val="20"/>
        </w:rPr>
        <w:t>renovation</w:t>
      </w:r>
      <w:r w:rsidRPr="00D65230">
        <w:rPr>
          <w:rFonts w:ascii="Arial" w:hAnsi="Arial" w:cs="Arial"/>
          <w:szCs w:val="20"/>
        </w:rPr>
        <w:t xml:space="preserve"> support). Furthermore, </w:t>
      </w:r>
      <w:r w:rsidR="00613042" w:rsidRPr="00D65230">
        <w:rPr>
          <w:rFonts w:ascii="Arial" w:hAnsi="Arial" w:cs="Arial"/>
          <w:szCs w:val="20"/>
        </w:rPr>
        <w:t xml:space="preserve">the </w:t>
      </w:r>
      <w:r w:rsidRPr="00D65230">
        <w:rPr>
          <w:rFonts w:ascii="Arial" w:hAnsi="Arial" w:cs="Arial"/>
          <w:szCs w:val="20"/>
        </w:rPr>
        <w:t>chosen measures did not ensure the highest possible energy savings for the lowest price</w:t>
      </w:r>
      <w:r w:rsidR="00672B48" w:rsidRPr="00D65230">
        <w:rPr>
          <w:rFonts w:ascii="Arial" w:hAnsi="Arial" w:cs="Arial"/>
          <w:szCs w:val="20"/>
        </w:rPr>
        <w:t>.</w:t>
      </w:r>
    </w:p>
    <w:p w:rsidR="00672B48" w:rsidRPr="00D65230" w:rsidRDefault="007D2F4B" w:rsidP="007D2F4B">
      <w:pPr>
        <w:pStyle w:val="Tablebulletsub"/>
        <w:ind w:left="317" w:hanging="283"/>
        <w:rPr>
          <w:rFonts w:ascii="Arial" w:hAnsi="Arial" w:cs="Arial"/>
          <w:szCs w:val="20"/>
        </w:rPr>
      </w:pPr>
      <w:r w:rsidRPr="00D65230">
        <w:rPr>
          <w:rFonts w:ascii="Arial" w:hAnsi="Arial" w:cs="Arial"/>
          <w:szCs w:val="20"/>
        </w:rPr>
        <w:t xml:space="preserve">During the implementation of the </w:t>
      </w:r>
      <w:r w:rsidR="000D06ED" w:rsidRPr="00D65230">
        <w:rPr>
          <w:rFonts w:ascii="Arial" w:hAnsi="Arial" w:cs="Arial"/>
          <w:szCs w:val="20"/>
        </w:rPr>
        <w:t>Measure JKF</w:t>
      </w:r>
      <w:r w:rsidR="00396A60" w:rsidRPr="00D65230">
        <w:rPr>
          <w:rFonts w:ascii="Arial" w:hAnsi="Arial" w:cs="Arial"/>
          <w:szCs w:val="20"/>
        </w:rPr>
        <w:t>,</w:t>
      </w:r>
      <w:r w:rsidRPr="00D65230">
        <w:rPr>
          <w:rFonts w:ascii="Arial" w:hAnsi="Arial" w:cs="Arial"/>
          <w:szCs w:val="20"/>
        </w:rPr>
        <w:t xml:space="preserve"> none of the financing sources were able to satisfy the needs of all of the interested parties, i.e. each separate financing source had certain shortcomings. This reason had led to the need for the coordination of different financing sources, including State financing intervention measures (non-repayable support, preferential loans) in combination with the financing sources available in the market. Suitability and compatibility analysis of the financing sources revealed that during the period of </w:t>
      </w:r>
      <w:r w:rsidR="00396A60" w:rsidRPr="00D65230">
        <w:rPr>
          <w:rFonts w:ascii="Arial" w:hAnsi="Arial" w:cs="Arial"/>
          <w:szCs w:val="20"/>
        </w:rPr>
        <w:t xml:space="preserve">the </w:t>
      </w:r>
      <w:r w:rsidR="000D06ED" w:rsidRPr="00D65230">
        <w:rPr>
          <w:rFonts w:ascii="Arial" w:hAnsi="Arial" w:cs="Arial"/>
          <w:szCs w:val="20"/>
        </w:rPr>
        <w:t>Measure JKF</w:t>
      </w:r>
      <w:r w:rsidR="00396A60" w:rsidRPr="00D65230">
        <w:rPr>
          <w:rFonts w:ascii="Arial" w:hAnsi="Arial" w:cs="Arial"/>
          <w:szCs w:val="20"/>
        </w:rPr>
        <w:t xml:space="preserve"> </w:t>
      </w:r>
      <w:r w:rsidRPr="00D65230">
        <w:rPr>
          <w:rFonts w:ascii="Arial" w:hAnsi="Arial" w:cs="Arial"/>
          <w:szCs w:val="20"/>
        </w:rPr>
        <w:t xml:space="preserve">implementation, the abovementioned shortage was </w:t>
      </w:r>
      <w:r w:rsidR="00613042" w:rsidRPr="00D65230">
        <w:rPr>
          <w:rFonts w:ascii="Arial" w:hAnsi="Arial" w:cs="Arial"/>
          <w:szCs w:val="20"/>
        </w:rPr>
        <w:t>compensated by combination</w:t>
      </w:r>
      <w:r w:rsidRPr="00D65230">
        <w:rPr>
          <w:rFonts w:ascii="Arial" w:hAnsi="Arial" w:cs="Arial"/>
          <w:szCs w:val="20"/>
        </w:rPr>
        <w:t xml:space="preserve"> </w:t>
      </w:r>
      <w:r w:rsidR="00613042" w:rsidRPr="00D65230">
        <w:rPr>
          <w:rFonts w:ascii="Arial" w:hAnsi="Arial" w:cs="Arial"/>
          <w:szCs w:val="20"/>
        </w:rPr>
        <w:t xml:space="preserve">of different funding sources that </w:t>
      </w:r>
      <w:r w:rsidRPr="00D65230">
        <w:rPr>
          <w:rFonts w:ascii="Arial" w:hAnsi="Arial" w:cs="Arial"/>
          <w:szCs w:val="20"/>
        </w:rPr>
        <w:t>usefully completed each other</w:t>
      </w:r>
      <w:r w:rsidR="00672B48" w:rsidRPr="00D65230">
        <w:rPr>
          <w:rFonts w:ascii="Arial" w:hAnsi="Arial" w:cs="Arial"/>
          <w:szCs w:val="20"/>
        </w:rPr>
        <w:t>.</w:t>
      </w:r>
    </w:p>
    <w:p w:rsidR="00672B48" w:rsidRPr="00D65230" w:rsidRDefault="007D2F4B" w:rsidP="007D2F4B">
      <w:pPr>
        <w:pStyle w:val="Tablebulletsub"/>
        <w:ind w:left="317" w:hanging="283"/>
        <w:rPr>
          <w:rFonts w:ascii="Arial" w:hAnsi="Arial" w:cs="Arial"/>
          <w:szCs w:val="20"/>
        </w:rPr>
      </w:pPr>
      <w:r w:rsidRPr="00D65230">
        <w:rPr>
          <w:rFonts w:ascii="Arial" w:hAnsi="Arial" w:cs="Arial"/>
          <w:szCs w:val="20"/>
        </w:rPr>
        <w:t>It should be noted that intervention of private capital to multi</w:t>
      </w:r>
      <w:r w:rsidR="007C6820" w:rsidRPr="00D65230">
        <w:rPr>
          <w:rFonts w:ascii="Arial" w:hAnsi="Arial" w:cs="Arial"/>
          <w:szCs w:val="20"/>
        </w:rPr>
        <w:t>-</w:t>
      </w:r>
      <w:r w:rsidRPr="00D65230">
        <w:rPr>
          <w:rFonts w:ascii="Arial" w:hAnsi="Arial" w:cs="Arial"/>
          <w:szCs w:val="20"/>
        </w:rPr>
        <w:t xml:space="preserve">apartment houses </w:t>
      </w:r>
      <w:r w:rsidR="00C11C20" w:rsidRPr="00D65230">
        <w:rPr>
          <w:rFonts w:ascii="Arial" w:hAnsi="Arial" w:cs="Arial"/>
          <w:szCs w:val="20"/>
        </w:rPr>
        <w:t>renovation</w:t>
      </w:r>
      <w:r w:rsidRPr="00D65230">
        <w:rPr>
          <w:rFonts w:ascii="Arial" w:hAnsi="Arial" w:cs="Arial"/>
          <w:szCs w:val="20"/>
        </w:rPr>
        <w:t xml:space="preserve"> during the </w:t>
      </w:r>
      <w:r w:rsidR="000D06ED" w:rsidRPr="00D65230">
        <w:rPr>
          <w:rFonts w:ascii="Arial" w:hAnsi="Arial" w:cs="Arial"/>
          <w:szCs w:val="20"/>
        </w:rPr>
        <w:t>Measure JKF</w:t>
      </w:r>
      <w:r w:rsidRPr="00D65230">
        <w:rPr>
          <w:rFonts w:ascii="Arial" w:hAnsi="Arial" w:cs="Arial"/>
          <w:szCs w:val="20"/>
        </w:rPr>
        <w:t xml:space="preserve"> implementation period was relatively small. Since </w:t>
      </w:r>
      <w:proofErr w:type="gramStart"/>
      <w:r w:rsidRPr="00D65230">
        <w:rPr>
          <w:rFonts w:ascii="Arial" w:hAnsi="Arial" w:cs="Arial"/>
          <w:szCs w:val="20"/>
        </w:rPr>
        <w:t>2010</w:t>
      </w:r>
      <w:proofErr w:type="gramEnd"/>
      <w:r w:rsidRPr="00D65230">
        <w:rPr>
          <w:rFonts w:ascii="Arial" w:hAnsi="Arial" w:cs="Arial"/>
          <w:szCs w:val="20"/>
        </w:rPr>
        <w:t xml:space="preserve"> commercial banks participated in apartments </w:t>
      </w:r>
      <w:r w:rsidR="00C11C20" w:rsidRPr="00D65230">
        <w:rPr>
          <w:rFonts w:ascii="Arial" w:hAnsi="Arial" w:cs="Arial"/>
          <w:szCs w:val="20"/>
        </w:rPr>
        <w:t>renovation</w:t>
      </w:r>
      <w:r w:rsidRPr="00D65230">
        <w:rPr>
          <w:rFonts w:ascii="Arial" w:hAnsi="Arial" w:cs="Arial"/>
          <w:szCs w:val="20"/>
        </w:rPr>
        <w:t xml:space="preserve"> through </w:t>
      </w:r>
      <w:r w:rsidR="00396A60" w:rsidRPr="00D65230">
        <w:rPr>
          <w:rFonts w:ascii="Arial" w:hAnsi="Arial" w:cs="Arial"/>
          <w:szCs w:val="20"/>
        </w:rPr>
        <w:t xml:space="preserve">the </w:t>
      </w:r>
      <w:r w:rsidR="000D06ED" w:rsidRPr="00D65230">
        <w:rPr>
          <w:rFonts w:ascii="Arial" w:hAnsi="Arial" w:cs="Arial"/>
          <w:szCs w:val="20"/>
        </w:rPr>
        <w:t>Measure JKF</w:t>
      </w:r>
      <w:r w:rsidRPr="00D65230">
        <w:rPr>
          <w:rFonts w:ascii="Arial" w:hAnsi="Arial" w:cs="Arial"/>
          <w:szCs w:val="20"/>
        </w:rPr>
        <w:t xml:space="preserve"> and contributed about 30% of all JKF funding. The remaining part was implemented by public funds </w:t>
      </w:r>
      <w:r w:rsidR="00903366" w:rsidRPr="00D65230">
        <w:rPr>
          <w:rFonts w:ascii="Arial" w:hAnsi="Arial" w:cs="Arial"/>
          <w:szCs w:val="20"/>
        </w:rPr>
        <w:t>–</w:t>
      </w:r>
      <w:r w:rsidRPr="00D65230">
        <w:rPr>
          <w:rFonts w:ascii="Arial" w:hAnsi="Arial" w:cs="Arial"/>
          <w:szCs w:val="20"/>
        </w:rPr>
        <w:t xml:space="preserve"> </w:t>
      </w:r>
      <w:r w:rsidR="00903366" w:rsidRPr="00D65230">
        <w:rPr>
          <w:rFonts w:ascii="Arial" w:hAnsi="Arial" w:cs="Arial"/>
          <w:szCs w:val="20"/>
        </w:rPr>
        <w:t xml:space="preserve">the </w:t>
      </w:r>
      <w:r w:rsidRPr="00D65230">
        <w:rPr>
          <w:rFonts w:ascii="Arial" w:hAnsi="Arial" w:cs="Arial"/>
          <w:szCs w:val="20"/>
        </w:rPr>
        <w:t xml:space="preserve">EU structural funds, </w:t>
      </w:r>
      <w:r w:rsidR="00903366" w:rsidRPr="00D65230">
        <w:rPr>
          <w:rFonts w:ascii="Arial" w:hAnsi="Arial" w:cs="Arial"/>
          <w:szCs w:val="20"/>
        </w:rPr>
        <w:t xml:space="preserve">the </w:t>
      </w:r>
      <w:r w:rsidRPr="00D65230">
        <w:rPr>
          <w:rFonts w:ascii="Arial" w:hAnsi="Arial" w:cs="Arial"/>
          <w:szCs w:val="20"/>
        </w:rPr>
        <w:t>State budget or by SB funds. Energy-saving services (ESCO)</w:t>
      </w:r>
      <w:r w:rsidR="00613042" w:rsidRPr="00D65230">
        <w:rPr>
          <w:rFonts w:ascii="Arial" w:hAnsi="Arial" w:cs="Arial"/>
          <w:szCs w:val="20"/>
        </w:rPr>
        <w:t xml:space="preserve"> model</w:t>
      </w:r>
      <w:r w:rsidRPr="00D65230">
        <w:rPr>
          <w:rFonts w:ascii="Arial" w:hAnsi="Arial" w:cs="Arial"/>
          <w:szCs w:val="20"/>
        </w:rPr>
        <w:t>, which potentially may have allowed use of additional funds, w</w:t>
      </w:r>
      <w:r w:rsidR="00613042" w:rsidRPr="00D65230">
        <w:rPr>
          <w:rFonts w:ascii="Arial" w:hAnsi="Arial" w:cs="Arial"/>
          <w:szCs w:val="20"/>
        </w:rPr>
        <w:t>as not used</w:t>
      </w:r>
      <w:r w:rsidR="00672B48" w:rsidRPr="00D65230">
        <w:rPr>
          <w:rFonts w:ascii="Arial" w:hAnsi="Arial" w:cs="Arial"/>
          <w:szCs w:val="20"/>
        </w:rPr>
        <w:t>.</w:t>
      </w:r>
    </w:p>
    <w:p w:rsidR="004A2D94" w:rsidRPr="00D65230" w:rsidRDefault="007D2F4B" w:rsidP="004A2D94">
      <w:pPr>
        <w:pStyle w:val="Heading4"/>
      </w:pPr>
      <w:r w:rsidRPr="00D65230">
        <w:rPr>
          <w:i w:val="0"/>
          <w:color w:val="00338D"/>
        </w:rPr>
        <w:t xml:space="preserve">Results of </w:t>
      </w:r>
      <w:r w:rsidR="00396A60" w:rsidRPr="00D65230">
        <w:rPr>
          <w:i w:val="0"/>
          <w:color w:val="00338D"/>
        </w:rPr>
        <w:t xml:space="preserve">the </w:t>
      </w:r>
      <w:r w:rsidR="000D06ED" w:rsidRPr="00D65230">
        <w:rPr>
          <w:i w:val="0"/>
          <w:color w:val="00338D"/>
        </w:rPr>
        <w:t>Measure DNA</w:t>
      </w:r>
      <w:r w:rsidRPr="00D65230">
        <w:rPr>
          <w:i w:val="0"/>
          <w:color w:val="00338D"/>
        </w:rPr>
        <w:t xml:space="preserve"> </w:t>
      </w:r>
      <w:r w:rsidR="006D12BF" w:rsidRPr="00D65230">
        <w:rPr>
          <w:i w:val="0"/>
          <w:color w:val="00338D"/>
        </w:rPr>
        <w:t>suitabili</w:t>
      </w:r>
      <w:r w:rsidRPr="00D65230">
        <w:rPr>
          <w:i w:val="0"/>
          <w:color w:val="00338D"/>
        </w:rPr>
        <w:t>ty and compatibility analysis</w:t>
      </w:r>
    </w:p>
    <w:p w:rsidR="00474ECF" w:rsidRPr="00D65230" w:rsidRDefault="007D2F4B" w:rsidP="00E95DD5">
      <w:pPr>
        <w:rPr>
          <w:rFonts w:ascii="Arial" w:hAnsi="Arial" w:cs="Arial"/>
        </w:rPr>
      </w:pPr>
      <w:r w:rsidRPr="00D65230">
        <w:rPr>
          <w:rFonts w:ascii="Arial" w:hAnsi="Arial" w:cs="Arial"/>
        </w:rPr>
        <w:t xml:space="preserve">The </w:t>
      </w:r>
      <w:r w:rsidR="000D06ED" w:rsidRPr="00D65230">
        <w:rPr>
          <w:rFonts w:ascii="Arial" w:hAnsi="Arial" w:cs="Arial"/>
        </w:rPr>
        <w:t>Measure DNA</w:t>
      </w:r>
      <w:r w:rsidRPr="00D65230">
        <w:rPr>
          <w:rFonts w:ascii="Arial" w:hAnsi="Arial" w:cs="Arial"/>
        </w:rPr>
        <w:t xml:space="preserve"> is being implemented on the basis of </w:t>
      </w:r>
      <w:r w:rsidR="000B73BE" w:rsidRPr="00D65230">
        <w:rPr>
          <w:rFonts w:ascii="Arial" w:hAnsi="Arial" w:cs="Arial"/>
        </w:rPr>
        <w:t xml:space="preserve">the </w:t>
      </w:r>
      <w:r w:rsidRPr="00D65230">
        <w:rPr>
          <w:rFonts w:ascii="Arial" w:hAnsi="Arial" w:cs="Arial"/>
        </w:rPr>
        <w:t xml:space="preserve">2014-2020 EU </w:t>
      </w:r>
      <w:r w:rsidR="000B73BE" w:rsidRPr="00D65230">
        <w:rPr>
          <w:rFonts w:ascii="Arial" w:hAnsi="Arial" w:cs="Arial"/>
        </w:rPr>
        <w:t>S</w:t>
      </w:r>
      <w:r w:rsidRPr="00D65230">
        <w:rPr>
          <w:rFonts w:ascii="Arial" w:hAnsi="Arial" w:cs="Arial"/>
        </w:rPr>
        <w:t xml:space="preserve">tructural </w:t>
      </w:r>
      <w:r w:rsidR="000B73BE" w:rsidRPr="00D65230">
        <w:rPr>
          <w:rFonts w:ascii="Arial" w:hAnsi="Arial" w:cs="Arial"/>
        </w:rPr>
        <w:t>I</w:t>
      </w:r>
      <w:r w:rsidRPr="00D65230">
        <w:rPr>
          <w:rFonts w:ascii="Arial" w:hAnsi="Arial" w:cs="Arial"/>
        </w:rPr>
        <w:t xml:space="preserve">nvestment </w:t>
      </w:r>
      <w:r w:rsidR="000B73BE" w:rsidRPr="00D65230">
        <w:rPr>
          <w:rFonts w:ascii="Arial" w:hAnsi="Arial" w:cs="Arial"/>
        </w:rPr>
        <w:t>F</w:t>
      </w:r>
      <w:r w:rsidRPr="00D65230">
        <w:rPr>
          <w:rFonts w:ascii="Arial" w:hAnsi="Arial" w:cs="Arial"/>
        </w:rPr>
        <w:t xml:space="preserve">und </w:t>
      </w:r>
      <w:r w:rsidR="000B73BE" w:rsidRPr="00D65230">
        <w:rPr>
          <w:rFonts w:ascii="Arial" w:hAnsi="Arial" w:cs="Arial"/>
        </w:rPr>
        <w:t>A</w:t>
      </w:r>
      <w:r w:rsidRPr="00D65230">
        <w:rPr>
          <w:rFonts w:ascii="Arial" w:hAnsi="Arial" w:cs="Arial"/>
        </w:rPr>
        <w:t xml:space="preserve">ction </w:t>
      </w:r>
      <w:r w:rsidR="000B73BE" w:rsidRPr="00D65230">
        <w:rPr>
          <w:rFonts w:ascii="Arial" w:hAnsi="Arial" w:cs="Arial"/>
        </w:rPr>
        <w:t xml:space="preserve">Programme </w:t>
      </w:r>
      <w:r w:rsidR="00D807A1" w:rsidRPr="00D65230">
        <w:rPr>
          <w:rFonts w:ascii="Arial" w:hAnsi="Arial" w:cs="Arial"/>
        </w:rPr>
        <w:t>P</w:t>
      </w:r>
      <w:r w:rsidRPr="00D65230">
        <w:rPr>
          <w:rFonts w:ascii="Arial" w:hAnsi="Arial" w:cs="Arial"/>
        </w:rPr>
        <w:t xml:space="preserve">riority </w:t>
      </w:r>
      <w:r w:rsidR="00D807A1" w:rsidRPr="00D65230">
        <w:rPr>
          <w:rFonts w:ascii="Arial" w:hAnsi="Arial" w:cs="Arial"/>
        </w:rPr>
        <w:t xml:space="preserve">4 </w:t>
      </w:r>
      <w:r w:rsidRPr="00D65230">
        <w:rPr>
          <w:rFonts w:ascii="Arial" w:hAnsi="Arial" w:cs="Arial"/>
        </w:rPr>
        <w:t xml:space="preserve">“Energy efficiency and renewable energy generation and usage promotion” </w:t>
      </w:r>
      <w:r w:rsidR="00D807A1" w:rsidRPr="00D65230">
        <w:rPr>
          <w:rFonts w:ascii="Arial" w:hAnsi="Arial" w:cs="Arial"/>
        </w:rPr>
        <w:t>T</w:t>
      </w:r>
      <w:r w:rsidRPr="00D65230">
        <w:rPr>
          <w:rFonts w:ascii="Arial" w:hAnsi="Arial" w:cs="Arial"/>
        </w:rPr>
        <w:t xml:space="preserve">ask </w:t>
      </w:r>
      <w:r w:rsidR="00D807A1" w:rsidRPr="00D65230">
        <w:rPr>
          <w:rFonts w:ascii="Arial" w:hAnsi="Arial" w:cs="Arial"/>
        </w:rPr>
        <w:t xml:space="preserve">4.3.1 </w:t>
      </w:r>
      <w:r w:rsidRPr="00D65230">
        <w:rPr>
          <w:rFonts w:ascii="Arial" w:hAnsi="Arial" w:cs="Arial"/>
        </w:rPr>
        <w:t>“Reduce energy consumption at public infrastructure and multi-apartment housing”</w:t>
      </w:r>
      <w:r w:rsidR="00474ECF" w:rsidRPr="00D65230">
        <w:rPr>
          <w:rFonts w:ascii="Arial" w:hAnsi="Arial" w:cs="Arial"/>
        </w:rPr>
        <w:t xml:space="preserve">. </w:t>
      </w:r>
    </w:p>
    <w:p w:rsidR="00FF50D0" w:rsidRPr="00D65230" w:rsidRDefault="000B73BE" w:rsidP="00BE57AF">
      <w:pPr>
        <w:rPr>
          <w:rFonts w:ascii="Arial" w:hAnsi="Arial" w:cs="Arial"/>
        </w:rPr>
      </w:pPr>
      <w:r w:rsidRPr="00D65230">
        <w:rPr>
          <w:rFonts w:ascii="Arial" w:hAnsi="Arial" w:cs="Arial"/>
        </w:rPr>
        <w:t xml:space="preserve">The </w:t>
      </w:r>
      <w:r w:rsidR="007D2F4B" w:rsidRPr="00D65230">
        <w:rPr>
          <w:rFonts w:ascii="Arial" w:hAnsi="Arial" w:cs="Arial"/>
        </w:rPr>
        <w:t xml:space="preserve">DNMF, </w:t>
      </w:r>
      <w:r w:rsidRPr="00D65230">
        <w:rPr>
          <w:rFonts w:ascii="Arial" w:hAnsi="Arial" w:cs="Arial"/>
        </w:rPr>
        <w:t xml:space="preserve">the </w:t>
      </w:r>
      <w:r w:rsidR="007D2F4B" w:rsidRPr="00D65230">
        <w:rPr>
          <w:rFonts w:ascii="Arial" w:hAnsi="Arial" w:cs="Arial"/>
        </w:rPr>
        <w:t xml:space="preserve">J2FF and </w:t>
      </w:r>
      <w:r w:rsidRPr="00D65230">
        <w:rPr>
          <w:rFonts w:ascii="Arial" w:hAnsi="Arial" w:cs="Arial"/>
        </w:rPr>
        <w:t xml:space="preserve">the </w:t>
      </w:r>
      <w:r w:rsidR="007D2F4B" w:rsidRPr="00D65230">
        <w:rPr>
          <w:rFonts w:ascii="Arial" w:hAnsi="Arial" w:cs="Arial"/>
        </w:rPr>
        <w:t xml:space="preserve">RPF activities are financed by the funds designated to the </w:t>
      </w:r>
      <w:r w:rsidR="000D06ED" w:rsidRPr="00D65230">
        <w:rPr>
          <w:rFonts w:ascii="Arial" w:hAnsi="Arial" w:cs="Arial"/>
        </w:rPr>
        <w:t>Measure DNA</w:t>
      </w:r>
      <w:r w:rsidR="007D2F4B" w:rsidRPr="00D65230">
        <w:rPr>
          <w:rFonts w:ascii="Arial" w:hAnsi="Arial" w:cs="Arial"/>
        </w:rPr>
        <w:t xml:space="preserve">. </w:t>
      </w:r>
      <w:r w:rsidRPr="00D65230">
        <w:rPr>
          <w:rFonts w:ascii="Arial" w:hAnsi="Arial" w:cs="Arial"/>
        </w:rPr>
        <w:t xml:space="preserve">The </w:t>
      </w:r>
      <w:r w:rsidR="007D2F4B" w:rsidRPr="00D65230">
        <w:rPr>
          <w:rFonts w:ascii="Arial" w:hAnsi="Arial" w:cs="Arial"/>
        </w:rPr>
        <w:t xml:space="preserve">DNMF </w:t>
      </w:r>
      <w:r w:rsidRPr="00D65230">
        <w:rPr>
          <w:rFonts w:ascii="Arial" w:hAnsi="Arial" w:cs="Arial"/>
        </w:rPr>
        <w:t xml:space="preserve">fund </w:t>
      </w:r>
      <w:r w:rsidR="007D2F4B" w:rsidRPr="00D65230">
        <w:rPr>
          <w:rFonts w:ascii="Arial" w:hAnsi="Arial" w:cs="Arial"/>
        </w:rPr>
        <w:t xml:space="preserve">and </w:t>
      </w:r>
      <w:r w:rsidRPr="00D65230">
        <w:rPr>
          <w:rFonts w:ascii="Arial" w:hAnsi="Arial" w:cs="Arial"/>
        </w:rPr>
        <w:t xml:space="preserve">the </w:t>
      </w:r>
      <w:r w:rsidR="007D2F4B" w:rsidRPr="00D65230">
        <w:rPr>
          <w:rFonts w:ascii="Arial" w:hAnsi="Arial" w:cs="Arial"/>
        </w:rPr>
        <w:t>J2FF fund through financial intermediaries’ in the form of preferential loans are being provided to multi</w:t>
      </w:r>
      <w:r w:rsidR="007C6820" w:rsidRPr="00D65230">
        <w:rPr>
          <w:rFonts w:ascii="Arial" w:hAnsi="Arial" w:cs="Arial"/>
        </w:rPr>
        <w:t>-</w:t>
      </w:r>
      <w:r w:rsidR="007D2F4B" w:rsidRPr="00D65230">
        <w:rPr>
          <w:rFonts w:ascii="Arial" w:hAnsi="Arial" w:cs="Arial"/>
        </w:rPr>
        <w:t xml:space="preserve">apartment projects; meanwhile, it is expected that </w:t>
      </w:r>
      <w:r w:rsidR="00D11286" w:rsidRPr="00D65230">
        <w:rPr>
          <w:rFonts w:ascii="Arial" w:hAnsi="Arial" w:cs="Arial"/>
        </w:rPr>
        <w:t xml:space="preserve">the </w:t>
      </w:r>
      <w:r w:rsidR="007D2F4B" w:rsidRPr="00D65230">
        <w:rPr>
          <w:rFonts w:ascii="Arial" w:hAnsi="Arial" w:cs="Arial"/>
        </w:rPr>
        <w:t xml:space="preserve">RPF funds will be used to provide guarantees for the preferential loans. At the moment of evaluation, </w:t>
      </w:r>
      <w:r w:rsidR="00D11286" w:rsidRPr="00D65230">
        <w:rPr>
          <w:rFonts w:ascii="Arial" w:hAnsi="Arial" w:cs="Arial"/>
        </w:rPr>
        <w:t xml:space="preserve">the </w:t>
      </w:r>
      <w:r w:rsidR="007D2F4B" w:rsidRPr="00D65230">
        <w:rPr>
          <w:rFonts w:ascii="Arial" w:hAnsi="Arial" w:cs="Arial"/>
        </w:rPr>
        <w:t>RPF ha</w:t>
      </w:r>
      <w:r w:rsidR="00D11286" w:rsidRPr="00D65230">
        <w:rPr>
          <w:rFonts w:ascii="Arial" w:hAnsi="Arial" w:cs="Arial"/>
        </w:rPr>
        <w:t>s</w:t>
      </w:r>
      <w:r w:rsidR="007D2F4B" w:rsidRPr="00D65230">
        <w:rPr>
          <w:rFonts w:ascii="Arial" w:hAnsi="Arial" w:cs="Arial"/>
        </w:rPr>
        <w:t xml:space="preserve"> not yet started activity of providing guarantees</w:t>
      </w:r>
      <w:r w:rsidR="00BE57AF" w:rsidRPr="00D65230">
        <w:rPr>
          <w:rFonts w:ascii="Arial" w:hAnsi="Arial" w:cs="Arial"/>
        </w:rPr>
        <w:t>.</w:t>
      </w:r>
    </w:p>
    <w:p w:rsidR="00BE57AF" w:rsidRPr="00D65230" w:rsidRDefault="007D2F4B" w:rsidP="00BE57AF">
      <w:pPr>
        <w:rPr>
          <w:rFonts w:ascii="Arial" w:hAnsi="Arial" w:cs="Arial"/>
        </w:rPr>
      </w:pPr>
      <w:r w:rsidRPr="00D65230">
        <w:rPr>
          <w:rFonts w:ascii="Arial" w:hAnsi="Arial" w:cs="Arial"/>
        </w:rPr>
        <w:t xml:space="preserve">Accomplished suitability and compatibility evaluation of </w:t>
      </w:r>
      <w:r w:rsidR="00D11286" w:rsidRPr="00D65230">
        <w:rPr>
          <w:rFonts w:ascii="Arial" w:hAnsi="Arial" w:cs="Arial"/>
        </w:rPr>
        <w:t xml:space="preserve">the </w:t>
      </w:r>
      <w:r w:rsidR="000D06ED" w:rsidRPr="00D65230">
        <w:rPr>
          <w:rFonts w:ascii="Arial" w:hAnsi="Arial" w:cs="Arial"/>
        </w:rPr>
        <w:t>Measure DNA</w:t>
      </w:r>
      <w:r w:rsidRPr="00D65230">
        <w:rPr>
          <w:rFonts w:ascii="Arial" w:hAnsi="Arial" w:cs="Arial"/>
        </w:rPr>
        <w:t xml:space="preserve"> and state support given through its’ implementation period, revealed that</w:t>
      </w:r>
      <w:r w:rsidR="00BE57AF" w:rsidRPr="00D65230">
        <w:rPr>
          <w:rFonts w:ascii="Arial" w:hAnsi="Arial" w:cs="Arial"/>
        </w:rPr>
        <w:t>:</w:t>
      </w:r>
    </w:p>
    <w:p w:rsidR="00BE57AF" w:rsidRPr="00D65230" w:rsidRDefault="007D2F4B" w:rsidP="007D2F4B">
      <w:pPr>
        <w:pStyle w:val="Tablebulletsub"/>
        <w:ind w:left="317" w:hanging="283"/>
        <w:rPr>
          <w:rFonts w:ascii="Arial" w:hAnsi="Arial" w:cs="Arial"/>
          <w:szCs w:val="20"/>
        </w:rPr>
      </w:pPr>
      <w:r w:rsidRPr="00D65230">
        <w:rPr>
          <w:rFonts w:ascii="Arial" w:hAnsi="Arial" w:cs="Arial"/>
          <w:szCs w:val="20"/>
        </w:rPr>
        <w:t xml:space="preserve">The purposes of the </w:t>
      </w:r>
      <w:r w:rsidR="000D06ED" w:rsidRPr="00D65230">
        <w:rPr>
          <w:rFonts w:ascii="Arial" w:hAnsi="Arial" w:cs="Arial"/>
          <w:szCs w:val="20"/>
        </w:rPr>
        <w:t>Measure DNA</w:t>
      </w:r>
      <w:r w:rsidRPr="00D65230">
        <w:rPr>
          <w:rFonts w:ascii="Arial" w:hAnsi="Arial" w:cs="Arial"/>
          <w:szCs w:val="20"/>
        </w:rPr>
        <w:t>, challenges, measures and indicators were compatible with the general goals of renovation policy and were suitable to contribute to the implementation of the renovation policy</w:t>
      </w:r>
      <w:r w:rsidR="00BE57AF" w:rsidRPr="00D65230">
        <w:rPr>
          <w:rFonts w:ascii="Arial" w:hAnsi="Arial" w:cs="Arial"/>
          <w:szCs w:val="20"/>
        </w:rPr>
        <w:t>.</w:t>
      </w:r>
    </w:p>
    <w:p w:rsidR="006C583A" w:rsidRPr="00D65230" w:rsidRDefault="007D2F4B" w:rsidP="007D2F4B">
      <w:pPr>
        <w:pStyle w:val="Tablebulletsub"/>
        <w:ind w:left="317" w:hanging="283"/>
        <w:rPr>
          <w:rFonts w:ascii="Arial" w:hAnsi="Arial" w:cs="Arial"/>
          <w:szCs w:val="20"/>
        </w:rPr>
      </w:pPr>
      <w:r w:rsidRPr="00D65230">
        <w:rPr>
          <w:rFonts w:ascii="Arial" w:hAnsi="Arial" w:cs="Arial"/>
          <w:szCs w:val="20"/>
        </w:rPr>
        <w:t xml:space="preserve">Legal regulation on </w:t>
      </w:r>
      <w:r w:rsidR="00C11C20" w:rsidRPr="00D65230">
        <w:rPr>
          <w:rFonts w:ascii="Arial" w:hAnsi="Arial" w:cs="Arial"/>
          <w:szCs w:val="20"/>
        </w:rPr>
        <w:t>renovation</w:t>
      </w:r>
      <w:r w:rsidRPr="00D65230">
        <w:rPr>
          <w:rFonts w:ascii="Arial" w:hAnsi="Arial" w:cs="Arial"/>
          <w:szCs w:val="20"/>
        </w:rPr>
        <w:t xml:space="preserve"> of multi-apartment buildings is </w:t>
      </w:r>
      <w:r w:rsidR="006D12BF" w:rsidRPr="00D65230">
        <w:rPr>
          <w:rFonts w:ascii="Arial" w:hAnsi="Arial" w:cs="Arial"/>
          <w:szCs w:val="20"/>
        </w:rPr>
        <w:t>suitable</w:t>
      </w:r>
      <w:r w:rsidRPr="00D65230">
        <w:rPr>
          <w:rFonts w:ascii="Arial" w:hAnsi="Arial" w:cs="Arial"/>
          <w:szCs w:val="20"/>
        </w:rPr>
        <w:t xml:space="preserve">. In order </w:t>
      </w:r>
      <w:r w:rsidR="00613042" w:rsidRPr="00D65230">
        <w:rPr>
          <w:rFonts w:ascii="Arial" w:hAnsi="Arial" w:cs="Arial"/>
          <w:szCs w:val="20"/>
        </w:rPr>
        <w:t>for the</w:t>
      </w:r>
      <w:r w:rsidRPr="00D65230">
        <w:rPr>
          <w:rFonts w:ascii="Arial" w:hAnsi="Arial" w:cs="Arial"/>
          <w:szCs w:val="20"/>
        </w:rPr>
        <w:t xml:space="preserve"> legal regulation </w:t>
      </w:r>
      <w:r w:rsidR="00613042" w:rsidRPr="00D65230">
        <w:rPr>
          <w:rFonts w:ascii="Arial" w:hAnsi="Arial" w:cs="Arial"/>
          <w:szCs w:val="20"/>
        </w:rPr>
        <w:t xml:space="preserve">to </w:t>
      </w:r>
      <w:r w:rsidRPr="00D65230">
        <w:rPr>
          <w:rFonts w:ascii="Arial" w:hAnsi="Arial" w:cs="Arial"/>
          <w:szCs w:val="20"/>
        </w:rPr>
        <w:t>ensure interests of participants of multi</w:t>
      </w:r>
      <w:r w:rsidR="007C6820" w:rsidRPr="00D65230">
        <w:rPr>
          <w:rFonts w:ascii="Arial" w:hAnsi="Arial" w:cs="Arial"/>
          <w:szCs w:val="20"/>
        </w:rPr>
        <w:t>-</w:t>
      </w:r>
      <w:r w:rsidRPr="00D65230">
        <w:rPr>
          <w:rFonts w:ascii="Arial" w:hAnsi="Arial" w:cs="Arial"/>
          <w:szCs w:val="20"/>
        </w:rPr>
        <w:t>apartment build</w:t>
      </w:r>
      <w:r w:rsidR="00613042" w:rsidRPr="00D65230">
        <w:rPr>
          <w:rFonts w:ascii="Arial" w:hAnsi="Arial" w:cs="Arial"/>
          <w:szCs w:val="20"/>
        </w:rPr>
        <w:t>ings renovation process, it has</w:t>
      </w:r>
      <w:r w:rsidRPr="00D65230">
        <w:rPr>
          <w:rFonts w:ascii="Arial" w:hAnsi="Arial" w:cs="Arial"/>
          <w:szCs w:val="20"/>
        </w:rPr>
        <w:t xml:space="preserve"> to be based on the applicant equality, transparency of process and maximum energy savings at the lowest price point principles. In accordance with</w:t>
      </w:r>
      <w:r w:rsidR="00613042" w:rsidRPr="00D65230">
        <w:rPr>
          <w:rFonts w:ascii="Arial" w:hAnsi="Arial" w:cs="Arial"/>
          <w:szCs w:val="20"/>
        </w:rPr>
        <w:t xml:space="preserve"> these principles, </w:t>
      </w:r>
      <w:r w:rsidRPr="00D65230">
        <w:rPr>
          <w:rFonts w:ascii="Arial" w:hAnsi="Arial" w:cs="Arial"/>
          <w:szCs w:val="20"/>
        </w:rPr>
        <w:t>equal treatment for all initiators of multi</w:t>
      </w:r>
      <w:r w:rsidR="007C6820" w:rsidRPr="00D65230">
        <w:rPr>
          <w:rFonts w:ascii="Arial" w:hAnsi="Arial" w:cs="Arial"/>
          <w:szCs w:val="20"/>
        </w:rPr>
        <w:t>-</w:t>
      </w:r>
      <w:r w:rsidRPr="00D65230">
        <w:rPr>
          <w:rFonts w:ascii="Arial" w:hAnsi="Arial" w:cs="Arial"/>
          <w:szCs w:val="20"/>
        </w:rPr>
        <w:t>apartment buildings renovation projects</w:t>
      </w:r>
      <w:r w:rsidR="00613042" w:rsidRPr="00D65230">
        <w:rPr>
          <w:rFonts w:ascii="Arial" w:hAnsi="Arial" w:cs="Arial"/>
          <w:szCs w:val="20"/>
        </w:rPr>
        <w:t xml:space="preserve"> should be secured</w:t>
      </w:r>
      <w:proofErr w:type="gramStart"/>
      <w:r w:rsidR="00613042" w:rsidRPr="00D65230">
        <w:rPr>
          <w:rFonts w:ascii="Arial" w:hAnsi="Arial" w:cs="Arial"/>
          <w:szCs w:val="20"/>
        </w:rPr>
        <w:t>;.</w:t>
      </w:r>
      <w:proofErr w:type="gramEnd"/>
      <w:r w:rsidR="00613042" w:rsidRPr="00D65230">
        <w:rPr>
          <w:rFonts w:ascii="Arial" w:hAnsi="Arial" w:cs="Arial"/>
          <w:szCs w:val="20"/>
        </w:rPr>
        <w:t xml:space="preserve"> </w:t>
      </w:r>
      <w:proofErr w:type="gramStart"/>
      <w:r w:rsidR="00613042" w:rsidRPr="00D65230">
        <w:rPr>
          <w:rFonts w:ascii="Arial" w:hAnsi="Arial" w:cs="Arial"/>
          <w:szCs w:val="20"/>
        </w:rPr>
        <w:t>competition</w:t>
      </w:r>
      <w:proofErr w:type="gramEnd"/>
      <w:r w:rsidR="00613042" w:rsidRPr="00D65230">
        <w:rPr>
          <w:rFonts w:ascii="Arial" w:hAnsi="Arial" w:cs="Arial"/>
          <w:szCs w:val="20"/>
        </w:rPr>
        <w:t xml:space="preserve"> based P</w:t>
      </w:r>
      <w:r w:rsidRPr="00D65230">
        <w:rPr>
          <w:rFonts w:ascii="Arial" w:hAnsi="Arial" w:cs="Arial"/>
          <w:szCs w:val="20"/>
        </w:rPr>
        <w:t>rojects</w:t>
      </w:r>
      <w:r w:rsidR="00613042" w:rsidRPr="00D65230">
        <w:rPr>
          <w:rFonts w:ascii="Arial" w:hAnsi="Arial" w:cs="Arial"/>
          <w:szCs w:val="20"/>
        </w:rPr>
        <w:t>’</w:t>
      </w:r>
      <w:r w:rsidRPr="00D65230">
        <w:rPr>
          <w:rFonts w:ascii="Arial" w:hAnsi="Arial" w:cs="Arial"/>
          <w:szCs w:val="20"/>
        </w:rPr>
        <w:t xml:space="preserve"> selection, </w:t>
      </w:r>
      <w:r w:rsidR="00613042" w:rsidRPr="00D65230">
        <w:rPr>
          <w:rFonts w:ascii="Arial" w:hAnsi="Arial" w:cs="Arial"/>
          <w:szCs w:val="20"/>
        </w:rPr>
        <w:t>criteria should be applied considering that the</w:t>
      </w:r>
      <w:r w:rsidRPr="00D65230">
        <w:rPr>
          <w:rFonts w:ascii="Arial" w:hAnsi="Arial" w:cs="Arial"/>
          <w:szCs w:val="20"/>
        </w:rPr>
        <w:t xml:space="preserve"> priority is maximum energy savings at the lowest price point</w:t>
      </w:r>
      <w:r w:rsidR="006C583A" w:rsidRPr="00D65230">
        <w:rPr>
          <w:rFonts w:ascii="Arial" w:hAnsi="Arial" w:cs="Arial"/>
          <w:szCs w:val="20"/>
        </w:rPr>
        <w:t>.</w:t>
      </w:r>
    </w:p>
    <w:p w:rsidR="008941AA" w:rsidRPr="00D65230" w:rsidRDefault="007D2F4B" w:rsidP="007D2F4B">
      <w:pPr>
        <w:pStyle w:val="Tablebulletsub"/>
        <w:ind w:left="317" w:hanging="283"/>
        <w:rPr>
          <w:rFonts w:ascii="Arial" w:hAnsi="Arial" w:cs="Arial"/>
          <w:szCs w:val="20"/>
        </w:rPr>
      </w:pPr>
      <w:r w:rsidRPr="00D65230">
        <w:rPr>
          <w:rFonts w:ascii="Arial" w:hAnsi="Arial" w:cs="Arial"/>
          <w:szCs w:val="20"/>
        </w:rPr>
        <w:lastRenderedPageBreak/>
        <w:t xml:space="preserve">Public procurement is carried out on the basis of </w:t>
      </w:r>
      <w:r w:rsidR="00A11B1F" w:rsidRPr="00D65230">
        <w:rPr>
          <w:rFonts w:ascii="Arial" w:hAnsi="Arial" w:cs="Arial"/>
          <w:szCs w:val="20"/>
        </w:rPr>
        <w:t xml:space="preserve">the </w:t>
      </w:r>
      <w:r w:rsidRPr="00D65230">
        <w:rPr>
          <w:rFonts w:ascii="Arial" w:hAnsi="Arial" w:cs="Arial"/>
          <w:szCs w:val="20"/>
        </w:rPr>
        <w:t>lowest price principle. No requirements related to the post-renovation energy savings level, are set. This is why the quality of cheaply acquired construction works should be ensured by competent and independent party, who is performing technical supervision of project’s implementation. In addition, most of the procurements combine preparation of technical Project, contract work and a service of the preparation of the energy performance certificate. Such a situation could lead to a conflict of interests, because the same party is responsible fo</w:t>
      </w:r>
      <w:r w:rsidR="00613042" w:rsidRPr="00D65230">
        <w:rPr>
          <w:rFonts w:ascii="Arial" w:hAnsi="Arial" w:cs="Arial"/>
          <w:szCs w:val="20"/>
        </w:rPr>
        <w:t xml:space="preserve">r setting out the tasks, </w:t>
      </w:r>
      <w:r w:rsidRPr="00D65230">
        <w:rPr>
          <w:rFonts w:ascii="Arial" w:hAnsi="Arial" w:cs="Arial"/>
          <w:szCs w:val="20"/>
        </w:rPr>
        <w:t xml:space="preserve">implementation </w:t>
      </w:r>
      <w:r w:rsidR="00613042" w:rsidRPr="00D65230">
        <w:rPr>
          <w:rFonts w:ascii="Arial" w:hAnsi="Arial" w:cs="Arial"/>
          <w:szCs w:val="20"/>
        </w:rPr>
        <w:t xml:space="preserve">of such tasks </w:t>
      </w:r>
      <w:r w:rsidRPr="00D65230">
        <w:rPr>
          <w:rFonts w:ascii="Arial" w:hAnsi="Arial" w:cs="Arial"/>
          <w:szCs w:val="20"/>
        </w:rPr>
        <w:t xml:space="preserve">and measurement of </w:t>
      </w:r>
      <w:r w:rsidR="00613042" w:rsidRPr="00D65230">
        <w:rPr>
          <w:rFonts w:ascii="Arial" w:hAnsi="Arial" w:cs="Arial"/>
          <w:szCs w:val="20"/>
        </w:rPr>
        <w:t xml:space="preserve">the </w:t>
      </w:r>
      <w:r w:rsidRPr="00D65230">
        <w:rPr>
          <w:rFonts w:ascii="Arial" w:hAnsi="Arial" w:cs="Arial"/>
          <w:szCs w:val="20"/>
        </w:rPr>
        <w:t>results</w:t>
      </w:r>
      <w:r w:rsidR="008941AA" w:rsidRPr="00D65230">
        <w:rPr>
          <w:rFonts w:ascii="Arial" w:hAnsi="Arial" w:cs="Arial"/>
          <w:szCs w:val="20"/>
        </w:rPr>
        <w:t>.</w:t>
      </w:r>
    </w:p>
    <w:p w:rsidR="00C405F5" w:rsidRPr="00D65230" w:rsidRDefault="007D2F4B" w:rsidP="007D2F4B">
      <w:pPr>
        <w:pStyle w:val="Tablebulletsub"/>
        <w:ind w:left="317" w:hanging="283"/>
        <w:rPr>
          <w:rFonts w:ascii="Arial" w:hAnsi="Arial" w:cs="Arial"/>
          <w:szCs w:val="20"/>
        </w:rPr>
      </w:pPr>
      <w:r w:rsidRPr="00D65230">
        <w:rPr>
          <w:rFonts w:ascii="Arial" w:hAnsi="Arial" w:cs="Arial"/>
          <w:szCs w:val="20"/>
        </w:rPr>
        <w:t>Apartment energy consumption is the main criterion by which the multi</w:t>
      </w:r>
      <w:r w:rsidR="007C6820" w:rsidRPr="00D65230">
        <w:rPr>
          <w:rFonts w:ascii="Arial" w:hAnsi="Arial" w:cs="Arial"/>
          <w:szCs w:val="20"/>
        </w:rPr>
        <w:t>-</w:t>
      </w:r>
      <w:r w:rsidRPr="00D65230">
        <w:rPr>
          <w:rFonts w:ascii="Arial" w:hAnsi="Arial" w:cs="Arial"/>
          <w:szCs w:val="20"/>
        </w:rPr>
        <w:t>apartment renewal list is formed. The lists of renewable municipal buildings include the most energy consuming buildings, and these lists vary because of home residents’ opposition to the building renovation. The selection secured that inefficient buildings are renovated</w:t>
      </w:r>
      <w:r w:rsidR="00C405F5" w:rsidRPr="00D65230">
        <w:rPr>
          <w:rFonts w:ascii="Arial" w:hAnsi="Arial" w:cs="Arial"/>
          <w:szCs w:val="20"/>
        </w:rPr>
        <w:t>.</w:t>
      </w:r>
    </w:p>
    <w:p w:rsidR="00BE57AF" w:rsidRPr="00D65230" w:rsidRDefault="007D2F4B" w:rsidP="007D2F4B">
      <w:pPr>
        <w:pStyle w:val="Tablebulletsub"/>
        <w:ind w:left="317" w:hanging="283"/>
        <w:rPr>
          <w:rFonts w:ascii="Arial" w:hAnsi="Arial" w:cs="Arial"/>
          <w:szCs w:val="20"/>
        </w:rPr>
      </w:pPr>
      <w:r w:rsidRPr="00D65230">
        <w:rPr>
          <w:rFonts w:ascii="Arial" w:hAnsi="Arial" w:cs="Arial"/>
          <w:szCs w:val="20"/>
        </w:rPr>
        <w:t xml:space="preserve">Like in implementation of </w:t>
      </w:r>
      <w:r w:rsidR="00396A60" w:rsidRPr="00D65230">
        <w:rPr>
          <w:rFonts w:ascii="Arial" w:hAnsi="Arial" w:cs="Arial"/>
          <w:szCs w:val="20"/>
        </w:rPr>
        <w:t xml:space="preserve">the </w:t>
      </w:r>
      <w:r w:rsidR="000D06ED" w:rsidRPr="00D65230">
        <w:rPr>
          <w:rFonts w:ascii="Arial" w:hAnsi="Arial" w:cs="Arial"/>
          <w:szCs w:val="20"/>
        </w:rPr>
        <w:t>Measure JKF</w:t>
      </w:r>
      <w:r w:rsidRPr="00D65230">
        <w:rPr>
          <w:rFonts w:ascii="Arial" w:hAnsi="Arial" w:cs="Arial"/>
          <w:szCs w:val="20"/>
        </w:rPr>
        <w:t xml:space="preserve">, none of multi-apartment buildings renovation funding sources can individually serve all of the interested stakeholders needs, i.e. each individual funding source has some drawbacks. For this reason, when financing the multi-apartment building </w:t>
      </w:r>
      <w:r w:rsidR="00C11C20" w:rsidRPr="00D65230">
        <w:rPr>
          <w:rFonts w:ascii="Arial" w:hAnsi="Arial" w:cs="Arial"/>
          <w:szCs w:val="20"/>
        </w:rPr>
        <w:t>renovation</w:t>
      </w:r>
      <w:r w:rsidRPr="00D65230">
        <w:rPr>
          <w:rFonts w:ascii="Arial" w:hAnsi="Arial" w:cs="Arial"/>
          <w:szCs w:val="20"/>
        </w:rPr>
        <w:t xml:space="preserve"> it is necessary to combine different sources of funding, including state financial instruments (non-repayable support, preferential loans) with existing funding sources in the market. The analysis of </w:t>
      </w:r>
      <w:r w:rsidR="006D12BF" w:rsidRPr="00D65230">
        <w:rPr>
          <w:rFonts w:ascii="Arial" w:hAnsi="Arial" w:cs="Arial"/>
          <w:szCs w:val="20"/>
        </w:rPr>
        <w:t>suitability</w:t>
      </w:r>
      <w:r w:rsidRPr="00D65230">
        <w:rPr>
          <w:rFonts w:ascii="Arial" w:hAnsi="Arial" w:cs="Arial"/>
          <w:szCs w:val="20"/>
        </w:rPr>
        <w:t xml:space="preserve"> and compatibility of funding sources of </w:t>
      </w:r>
      <w:r w:rsidR="00C11C20" w:rsidRPr="00D65230">
        <w:rPr>
          <w:rFonts w:ascii="Arial" w:hAnsi="Arial" w:cs="Arial"/>
          <w:szCs w:val="20"/>
        </w:rPr>
        <w:t>renovation</w:t>
      </w:r>
      <w:r w:rsidRPr="00D65230">
        <w:rPr>
          <w:rFonts w:ascii="Arial" w:hAnsi="Arial" w:cs="Arial"/>
          <w:szCs w:val="20"/>
        </w:rPr>
        <w:t xml:space="preserve"> revealed, that combining funding from different sources fixes drawbacks of other financing sources, and different funding sources properly complement each other</w:t>
      </w:r>
      <w:r w:rsidR="00BE57AF" w:rsidRPr="00D65230">
        <w:rPr>
          <w:rFonts w:ascii="Arial" w:hAnsi="Arial" w:cs="Arial"/>
          <w:szCs w:val="20"/>
        </w:rPr>
        <w:t>.</w:t>
      </w:r>
    </w:p>
    <w:p w:rsidR="00BE57AF" w:rsidRPr="00D65230" w:rsidRDefault="007D2F4B" w:rsidP="007D2F4B">
      <w:pPr>
        <w:pStyle w:val="Tablebulletsub"/>
        <w:ind w:left="317" w:hanging="283"/>
        <w:rPr>
          <w:rFonts w:ascii="Arial" w:hAnsi="Arial" w:cs="Arial"/>
          <w:szCs w:val="20"/>
        </w:rPr>
      </w:pPr>
      <w:r w:rsidRPr="00D65230">
        <w:rPr>
          <w:rFonts w:ascii="Arial" w:hAnsi="Arial" w:cs="Arial"/>
          <w:szCs w:val="20"/>
        </w:rPr>
        <w:t xml:space="preserve">It should be noted that as well as during the implementation of the </w:t>
      </w:r>
      <w:r w:rsidR="000D06ED" w:rsidRPr="00D65230">
        <w:rPr>
          <w:rFonts w:ascii="Arial" w:hAnsi="Arial" w:cs="Arial"/>
          <w:szCs w:val="20"/>
        </w:rPr>
        <w:t>Measure JKF</w:t>
      </w:r>
      <w:r w:rsidRPr="00D65230">
        <w:rPr>
          <w:rFonts w:ascii="Arial" w:hAnsi="Arial" w:cs="Arial"/>
          <w:szCs w:val="20"/>
        </w:rPr>
        <w:t xml:space="preserve"> that multi</w:t>
      </w:r>
      <w:r w:rsidR="007C6820" w:rsidRPr="00D65230">
        <w:rPr>
          <w:rFonts w:ascii="Arial" w:hAnsi="Arial" w:cs="Arial"/>
          <w:szCs w:val="20"/>
        </w:rPr>
        <w:t>-</w:t>
      </w:r>
      <w:r w:rsidRPr="00D65230">
        <w:rPr>
          <w:rFonts w:ascii="Arial" w:hAnsi="Arial" w:cs="Arial"/>
          <w:szCs w:val="20"/>
        </w:rPr>
        <w:t xml:space="preserve">apartment buildings </w:t>
      </w:r>
      <w:r w:rsidR="00C11C20" w:rsidRPr="00D65230">
        <w:rPr>
          <w:rFonts w:ascii="Arial" w:hAnsi="Arial" w:cs="Arial"/>
          <w:szCs w:val="20"/>
        </w:rPr>
        <w:t>renovation</w:t>
      </w:r>
      <w:r w:rsidRPr="00D65230">
        <w:rPr>
          <w:rFonts w:ascii="Arial" w:hAnsi="Arial" w:cs="Arial"/>
          <w:szCs w:val="20"/>
        </w:rPr>
        <w:t xml:space="preserve"> process does not apply </w:t>
      </w:r>
      <w:r w:rsidR="007C6820" w:rsidRPr="00D65230">
        <w:rPr>
          <w:rFonts w:ascii="Arial" w:hAnsi="Arial" w:cs="Arial"/>
          <w:szCs w:val="20"/>
        </w:rPr>
        <w:t xml:space="preserve">the </w:t>
      </w:r>
      <w:r w:rsidRPr="00D65230">
        <w:rPr>
          <w:rFonts w:ascii="Arial" w:hAnsi="Arial" w:cs="Arial"/>
          <w:szCs w:val="20"/>
        </w:rPr>
        <w:t>ESCO model, energy efficiency obligation scheme funds, what possibly could allow attracting additional project funding</w:t>
      </w:r>
      <w:r w:rsidR="00BE57AF" w:rsidRPr="00D65230">
        <w:rPr>
          <w:rFonts w:ascii="Arial" w:hAnsi="Arial" w:cs="Arial"/>
          <w:szCs w:val="20"/>
        </w:rPr>
        <w:t>.</w:t>
      </w:r>
    </w:p>
    <w:p w:rsidR="008941AA" w:rsidRPr="00D65230" w:rsidRDefault="007D2F4B" w:rsidP="007D2F4B">
      <w:pPr>
        <w:pStyle w:val="Tablebulletsub"/>
        <w:ind w:left="317" w:hanging="283"/>
        <w:rPr>
          <w:rFonts w:ascii="Arial" w:hAnsi="Arial" w:cs="Arial"/>
          <w:szCs w:val="20"/>
        </w:rPr>
      </w:pPr>
      <w:r w:rsidRPr="00D65230">
        <w:rPr>
          <w:rFonts w:ascii="Arial" w:hAnsi="Arial" w:cs="Arial"/>
          <w:szCs w:val="20"/>
        </w:rPr>
        <w:t>The analysis of three EU member states (Poland, Hung</w:t>
      </w:r>
      <w:r w:rsidR="003F78EA" w:rsidRPr="00D65230">
        <w:rPr>
          <w:rFonts w:ascii="Arial" w:hAnsi="Arial" w:cs="Arial"/>
          <w:szCs w:val="20"/>
        </w:rPr>
        <w:t>a</w:t>
      </w:r>
      <w:r w:rsidRPr="00D65230">
        <w:rPr>
          <w:rFonts w:ascii="Arial" w:hAnsi="Arial" w:cs="Arial"/>
          <w:szCs w:val="20"/>
        </w:rPr>
        <w:t xml:space="preserve">ry, Germany) with regard </w:t>
      </w:r>
      <w:r w:rsidR="00D11286" w:rsidRPr="00D65230">
        <w:rPr>
          <w:rFonts w:ascii="Arial" w:hAnsi="Arial" w:cs="Arial"/>
          <w:szCs w:val="20"/>
        </w:rPr>
        <w:t xml:space="preserve">to </w:t>
      </w:r>
      <w:r w:rsidRPr="00D65230">
        <w:rPr>
          <w:rFonts w:ascii="Arial" w:hAnsi="Arial" w:cs="Arial"/>
          <w:szCs w:val="20"/>
        </w:rPr>
        <w:t>the</w:t>
      </w:r>
      <w:r w:rsidR="00E44411" w:rsidRPr="00D65230">
        <w:rPr>
          <w:rFonts w:ascii="Arial" w:hAnsi="Arial" w:cs="Arial"/>
          <w:szCs w:val="20"/>
        </w:rPr>
        <w:t xml:space="preserve"> </w:t>
      </w:r>
      <w:r w:rsidRPr="00D65230">
        <w:rPr>
          <w:rFonts w:ascii="Arial" w:hAnsi="Arial" w:cs="Arial"/>
          <w:szCs w:val="20"/>
        </w:rPr>
        <w:t xml:space="preserve">funding of multi-apartment building </w:t>
      </w:r>
      <w:r w:rsidR="00C11C20" w:rsidRPr="00D65230">
        <w:rPr>
          <w:rFonts w:ascii="Arial" w:hAnsi="Arial" w:cs="Arial"/>
          <w:szCs w:val="20"/>
        </w:rPr>
        <w:t>renovation</w:t>
      </w:r>
      <w:r w:rsidRPr="00D65230">
        <w:rPr>
          <w:rFonts w:ascii="Arial" w:hAnsi="Arial" w:cs="Arial"/>
          <w:szCs w:val="20"/>
        </w:rPr>
        <w:t xml:space="preserve"> revealed factors that had a significant impact on the success (failure) of </w:t>
      </w:r>
      <w:r w:rsidR="00D11286" w:rsidRPr="00D65230">
        <w:rPr>
          <w:rFonts w:ascii="Arial" w:hAnsi="Arial" w:cs="Arial"/>
          <w:szCs w:val="20"/>
        </w:rPr>
        <w:t xml:space="preserve">the </w:t>
      </w:r>
      <w:r w:rsidR="00C11C20" w:rsidRPr="00D65230">
        <w:rPr>
          <w:rFonts w:ascii="Arial" w:hAnsi="Arial" w:cs="Arial"/>
          <w:szCs w:val="20"/>
        </w:rPr>
        <w:t>renovation</w:t>
      </w:r>
      <w:r w:rsidRPr="00D65230">
        <w:rPr>
          <w:rFonts w:ascii="Arial" w:hAnsi="Arial" w:cs="Arial"/>
          <w:szCs w:val="20"/>
        </w:rPr>
        <w:t xml:space="preserve"> program</w:t>
      </w:r>
      <w:r w:rsidR="00D11286" w:rsidRPr="00D65230">
        <w:rPr>
          <w:rFonts w:ascii="Arial" w:hAnsi="Arial" w:cs="Arial"/>
          <w:szCs w:val="20"/>
        </w:rPr>
        <w:t>mes</w:t>
      </w:r>
      <w:r w:rsidRPr="00D65230">
        <w:rPr>
          <w:rFonts w:ascii="Arial" w:hAnsi="Arial" w:cs="Arial"/>
          <w:szCs w:val="20"/>
        </w:rPr>
        <w:t xml:space="preserve"> in these countries</w:t>
      </w:r>
      <w:r w:rsidR="008941AA" w:rsidRPr="00D65230">
        <w:rPr>
          <w:rFonts w:ascii="Arial" w:hAnsi="Arial" w:cs="Arial"/>
          <w:szCs w:val="20"/>
        </w:rPr>
        <w:t>:</w:t>
      </w:r>
    </w:p>
    <w:p w:rsidR="008941AA" w:rsidRPr="00D65230" w:rsidRDefault="00D11286" w:rsidP="00051410">
      <w:pPr>
        <w:pStyle w:val="Tablebulletsub"/>
        <w:numPr>
          <w:ilvl w:val="1"/>
          <w:numId w:val="5"/>
        </w:numPr>
        <w:ind w:left="709" w:hanging="283"/>
        <w:rPr>
          <w:rFonts w:ascii="Arial" w:hAnsi="Arial" w:cs="Arial"/>
          <w:szCs w:val="20"/>
        </w:rPr>
      </w:pPr>
      <w:r w:rsidRPr="00D65230">
        <w:rPr>
          <w:rFonts w:ascii="Arial" w:hAnsi="Arial" w:cs="Arial"/>
          <w:szCs w:val="20"/>
        </w:rPr>
        <w:t xml:space="preserve">In order </w:t>
      </w:r>
      <w:r w:rsidR="007D2F4B" w:rsidRPr="00D65230">
        <w:rPr>
          <w:rFonts w:ascii="Arial" w:hAnsi="Arial" w:cs="Arial"/>
          <w:szCs w:val="20"/>
        </w:rPr>
        <w:t>for the multi</w:t>
      </w:r>
      <w:r w:rsidRPr="00D65230">
        <w:rPr>
          <w:rFonts w:ascii="Arial" w:hAnsi="Arial" w:cs="Arial"/>
          <w:szCs w:val="20"/>
        </w:rPr>
        <w:t>-</w:t>
      </w:r>
      <w:r w:rsidR="007D2F4B" w:rsidRPr="00D65230">
        <w:rPr>
          <w:rFonts w:ascii="Arial" w:hAnsi="Arial" w:cs="Arial"/>
          <w:szCs w:val="20"/>
        </w:rPr>
        <w:t xml:space="preserve">apartment </w:t>
      </w:r>
      <w:r w:rsidR="00C11C20" w:rsidRPr="00D65230">
        <w:rPr>
          <w:rFonts w:ascii="Arial" w:hAnsi="Arial" w:cs="Arial"/>
          <w:szCs w:val="20"/>
        </w:rPr>
        <w:t>renovation</w:t>
      </w:r>
      <w:r w:rsidR="007D2F4B" w:rsidRPr="00D65230">
        <w:rPr>
          <w:rFonts w:ascii="Arial" w:hAnsi="Arial" w:cs="Arial"/>
          <w:szCs w:val="20"/>
        </w:rPr>
        <w:t xml:space="preserve"> program</w:t>
      </w:r>
      <w:r w:rsidRPr="00D65230">
        <w:rPr>
          <w:rFonts w:ascii="Arial" w:hAnsi="Arial" w:cs="Arial"/>
          <w:szCs w:val="20"/>
        </w:rPr>
        <w:t>me to be successful</w:t>
      </w:r>
      <w:r w:rsidR="007D2F4B" w:rsidRPr="00D65230">
        <w:rPr>
          <w:rFonts w:ascii="Arial" w:hAnsi="Arial" w:cs="Arial"/>
          <w:szCs w:val="20"/>
        </w:rPr>
        <w:t xml:space="preserve">, it is necessary to ensure sufficient communication and provision of consultations to the parties </w:t>
      </w:r>
      <w:r w:rsidRPr="00D65230">
        <w:rPr>
          <w:rFonts w:ascii="Arial" w:hAnsi="Arial" w:cs="Arial"/>
          <w:szCs w:val="20"/>
        </w:rPr>
        <w:t xml:space="preserve">involved </w:t>
      </w:r>
      <w:r w:rsidR="007D2F4B" w:rsidRPr="00D65230">
        <w:rPr>
          <w:rFonts w:ascii="Arial" w:hAnsi="Arial" w:cs="Arial"/>
          <w:szCs w:val="20"/>
        </w:rPr>
        <w:t>in the process</w:t>
      </w:r>
      <w:r w:rsidR="008941AA" w:rsidRPr="00D65230">
        <w:rPr>
          <w:rFonts w:ascii="Arial" w:hAnsi="Arial" w:cs="Arial"/>
          <w:szCs w:val="20"/>
        </w:rPr>
        <w:t>;</w:t>
      </w:r>
    </w:p>
    <w:p w:rsidR="008941AA" w:rsidRPr="00D65230" w:rsidRDefault="00D11286" w:rsidP="00051410">
      <w:pPr>
        <w:pStyle w:val="Tablebulletsub"/>
        <w:numPr>
          <w:ilvl w:val="1"/>
          <w:numId w:val="5"/>
        </w:numPr>
        <w:ind w:left="709" w:hanging="283"/>
        <w:rPr>
          <w:rFonts w:ascii="Arial" w:hAnsi="Arial" w:cs="Arial"/>
          <w:szCs w:val="20"/>
        </w:rPr>
      </w:pPr>
      <w:r w:rsidRPr="00D65230">
        <w:rPr>
          <w:rFonts w:ascii="Arial" w:hAnsi="Arial" w:cs="Arial"/>
          <w:szCs w:val="20"/>
        </w:rPr>
        <w:t xml:space="preserve">The </w:t>
      </w:r>
      <w:r w:rsidR="007D2F4B" w:rsidRPr="00D65230">
        <w:rPr>
          <w:rFonts w:ascii="Arial" w:hAnsi="Arial" w:cs="Arial"/>
          <w:szCs w:val="20"/>
        </w:rPr>
        <w:t>funding scheme must be clear, transparent and understandable (</w:t>
      </w:r>
      <w:r w:rsidRPr="00D65230">
        <w:rPr>
          <w:rFonts w:ascii="Arial" w:hAnsi="Arial" w:cs="Arial"/>
          <w:szCs w:val="20"/>
        </w:rPr>
        <w:t>t</w:t>
      </w:r>
      <w:r w:rsidR="007D2F4B" w:rsidRPr="00D65230">
        <w:rPr>
          <w:rFonts w:ascii="Arial" w:hAnsi="Arial" w:cs="Arial"/>
          <w:szCs w:val="20"/>
        </w:rPr>
        <w:t>his is particularly important in view of the final beneficiaries’ segment specifics). Frequent change</w:t>
      </w:r>
      <w:r w:rsidRPr="00D65230">
        <w:rPr>
          <w:rFonts w:ascii="Arial" w:hAnsi="Arial" w:cs="Arial"/>
          <w:szCs w:val="20"/>
        </w:rPr>
        <w:t>s in</w:t>
      </w:r>
      <w:r w:rsidR="007D2F4B" w:rsidRPr="00D65230">
        <w:rPr>
          <w:rFonts w:ascii="Arial" w:hAnsi="Arial" w:cs="Arial"/>
          <w:szCs w:val="20"/>
        </w:rPr>
        <w:t xml:space="preserve"> funding schemes, administrative requirements and procedures ha</w:t>
      </w:r>
      <w:r w:rsidRPr="00D65230">
        <w:rPr>
          <w:rFonts w:ascii="Arial" w:hAnsi="Arial" w:cs="Arial"/>
          <w:szCs w:val="20"/>
        </w:rPr>
        <w:t>ve</w:t>
      </w:r>
      <w:r w:rsidR="007D2F4B" w:rsidRPr="00D65230">
        <w:rPr>
          <w:rFonts w:ascii="Arial" w:hAnsi="Arial" w:cs="Arial"/>
          <w:szCs w:val="20"/>
        </w:rPr>
        <w:t xml:space="preserve"> a negative impact on the demand for </w:t>
      </w:r>
      <w:r w:rsidR="00C11C20" w:rsidRPr="00D65230">
        <w:rPr>
          <w:rFonts w:ascii="Arial" w:hAnsi="Arial" w:cs="Arial"/>
          <w:szCs w:val="20"/>
        </w:rPr>
        <w:t>renovation</w:t>
      </w:r>
      <w:r w:rsidR="007D2F4B" w:rsidRPr="00D65230">
        <w:rPr>
          <w:rFonts w:ascii="Arial" w:hAnsi="Arial" w:cs="Arial"/>
          <w:szCs w:val="20"/>
        </w:rPr>
        <w:t>, th</w:t>
      </w:r>
      <w:r w:rsidRPr="00D65230">
        <w:rPr>
          <w:rFonts w:ascii="Arial" w:hAnsi="Arial" w:cs="Arial"/>
          <w:szCs w:val="20"/>
        </w:rPr>
        <w:t xml:space="preserve">erefore, </w:t>
      </w:r>
      <w:r w:rsidR="007D2F4B" w:rsidRPr="00D65230">
        <w:rPr>
          <w:rFonts w:ascii="Arial" w:hAnsi="Arial" w:cs="Arial"/>
          <w:szCs w:val="20"/>
        </w:rPr>
        <w:t xml:space="preserve">long-term and sustainable support and implementation strategy at </w:t>
      </w:r>
      <w:r w:rsidRPr="00D65230">
        <w:rPr>
          <w:rFonts w:ascii="Arial" w:hAnsi="Arial" w:cs="Arial"/>
          <w:szCs w:val="20"/>
        </w:rPr>
        <w:t xml:space="preserve">the </w:t>
      </w:r>
      <w:r w:rsidR="007D2F4B" w:rsidRPr="00D65230">
        <w:rPr>
          <w:rFonts w:ascii="Arial" w:hAnsi="Arial" w:cs="Arial"/>
          <w:szCs w:val="20"/>
        </w:rPr>
        <w:t xml:space="preserve">national level </w:t>
      </w:r>
      <w:r w:rsidRPr="00D65230">
        <w:rPr>
          <w:rFonts w:ascii="Arial" w:hAnsi="Arial" w:cs="Arial"/>
          <w:szCs w:val="20"/>
        </w:rPr>
        <w:t>are</w:t>
      </w:r>
      <w:r w:rsidR="007D2F4B" w:rsidRPr="00D65230">
        <w:rPr>
          <w:rFonts w:ascii="Arial" w:hAnsi="Arial" w:cs="Arial"/>
          <w:szCs w:val="20"/>
        </w:rPr>
        <w:t xml:space="preserve"> needed</w:t>
      </w:r>
      <w:r w:rsidR="008941AA" w:rsidRPr="00D65230">
        <w:rPr>
          <w:rFonts w:ascii="Arial" w:hAnsi="Arial" w:cs="Arial"/>
          <w:szCs w:val="20"/>
        </w:rPr>
        <w:t>;</w:t>
      </w:r>
    </w:p>
    <w:p w:rsidR="008941AA" w:rsidRPr="00D65230" w:rsidRDefault="007D2F4B" w:rsidP="00051410">
      <w:pPr>
        <w:pStyle w:val="Tablebulletsub"/>
        <w:numPr>
          <w:ilvl w:val="1"/>
          <w:numId w:val="5"/>
        </w:numPr>
        <w:ind w:left="709" w:hanging="283"/>
        <w:rPr>
          <w:rFonts w:ascii="Arial" w:hAnsi="Arial" w:cs="Arial"/>
          <w:szCs w:val="20"/>
        </w:rPr>
      </w:pPr>
      <w:r w:rsidRPr="00D65230">
        <w:rPr>
          <w:rFonts w:ascii="Arial" w:hAnsi="Arial" w:cs="Arial"/>
          <w:szCs w:val="20"/>
        </w:rPr>
        <w:t xml:space="preserve">It is useful for the effective implementation of </w:t>
      </w:r>
      <w:r w:rsidR="00D11286" w:rsidRPr="00D65230">
        <w:rPr>
          <w:rFonts w:ascii="Arial" w:hAnsi="Arial" w:cs="Arial"/>
          <w:szCs w:val="20"/>
        </w:rPr>
        <w:t xml:space="preserve">the </w:t>
      </w:r>
      <w:r w:rsidR="00903366" w:rsidRPr="00D65230">
        <w:rPr>
          <w:rFonts w:ascii="Arial" w:hAnsi="Arial" w:cs="Arial"/>
          <w:szCs w:val="20"/>
        </w:rPr>
        <w:t>p</w:t>
      </w:r>
      <w:r w:rsidRPr="00D65230">
        <w:rPr>
          <w:rFonts w:ascii="Arial" w:hAnsi="Arial" w:cs="Arial"/>
          <w:szCs w:val="20"/>
        </w:rPr>
        <w:t>rogram</w:t>
      </w:r>
      <w:r w:rsidR="00D11286" w:rsidRPr="00D65230">
        <w:rPr>
          <w:rFonts w:ascii="Arial" w:hAnsi="Arial" w:cs="Arial"/>
          <w:szCs w:val="20"/>
        </w:rPr>
        <w:t>me</w:t>
      </w:r>
      <w:r w:rsidRPr="00D65230">
        <w:rPr>
          <w:rFonts w:ascii="Arial" w:hAnsi="Arial" w:cs="Arial"/>
          <w:szCs w:val="20"/>
        </w:rPr>
        <w:t xml:space="preserve"> and </w:t>
      </w:r>
      <w:r w:rsidR="00903366" w:rsidRPr="00D65230">
        <w:rPr>
          <w:rFonts w:ascii="Arial" w:hAnsi="Arial" w:cs="Arial"/>
          <w:szCs w:val="20"/>
        </w:rPr>
        <w:t xml:space="preserve">for the distribution of </w:t>
      </w:r>
      <w:r w:rsidRPr="00D65230">
        <w:rPr>
          <w:rFonts w:ascii="Arial" w:hAnsi="Arial" w:cs="Arial"/>
          <w:szCs w:val="20"/>
        </w:rPr>
        <w:t>support funds to designate a single authority</w:t>
      </w:r>
      <w:r w:rsidR="00D11286" w:rsidRPr="00D65230">
        <w:rPr>
          <w:rFonts w:ascii="Arial" w:hAnsi="Arial" w:cs="Arial"/>
          <w:szCs w:val="20"/>
        </w:rPr>
        <w:t xml:space="preserve"> to be </w:t>
      </w:r>
      <w:r w:rsidRPr="00D65230">
        <w:rPr>
          <w:rFonts w:ascii="Arial" w:hAnsi="Arial" w:cs="Arial"/>
          <w:szCs w:val="20"/>
        </w:rPr>
        <w:t xml:space="preserve">responsible not only for the implementation of </w:t>
      </w:r>
      <w:r w:rsidR="00D11286" w:rsidRPr="00D65230">
        <w:rPr>
          <w:rFonts w:ascii="Arial" w:hAnsi="Arial" w:cs="Arial"/>
          <w:szCs w:val="20"/>
        </w:rPr>
        <w:t xml:space="preserve">the </w:t>
      </w:r>
      <w:r w:rsidR="00903366" w:rsidRPr="00D65230">
        <w:rPr>
          <w:rFonts w:ascii="Arial" w:hAnsi="Arial" w:cs="Arial"/>
          <w:szCs w:val="20"/>
        </w:rPr>
        <w:t>p</w:t>
      </w:r>
      <w:r w:rsidRPr="00D65230">
        <w:rPr>
          <w:rFonts w:ascii="Arial" w:hAnsi="Arial" w:cs="Arial"/>
          <w:szCs w:val="20"/>
        </w:rPr>
        <w:t>rogram</w:t>
      </w:r>
      <w:r w:rsidR="00D11286" w:rsidRPr="00D65230">
        <w:rPr>
          <w:rFonts w:ascii="Arial" w:hAnsi="Arial" w:cs="Arial"/>
          <w:szCs w:val="20"/>
        </w:rPr>
        <w:t xml:space="preserve">me </w:t>
      </w:r>
      <w:r w:rsidRPr="00D65230">
        <w:rPr>
          <w:rFonts w:ascii="Arial" w:hAnsi="Arial" w:cs="Arial"/>
          <w:szCs w:val="20"/>
        </w:rPr>
        <w:t xml:space="preserve">tasks but </w:t>
      </w:r>
      <w:r w:rsidR="00D11286" w:rsidRPr="00D65230">
        <w:rPr>
          <w:rFonts w:ascii="Arial" w:hAnsi="Arial" w:cs="Arial"/>
          <w:szCs w:val="20"/>
        </w:rPr>
        <w:t xml:space="preserve">also </w:t>
      </w:r>
      <w:r w:rsidRPr="00D65230">
        <w:rPr>
          <w:rFonts w:ascii="Arial" w:hAnsi="Arial" w:cs="Arial"/>
          <w:szCs w:val="20"/>
        </w:rPr>
        <w:t xml:space="preserve">for </w:t>
      </w:r>
      <w:r w:rsidR="00903366" w:rsidRPr="00D65230">
        <w:rPr>
          <w:rFonts w:ascii="Arial" w:hAnsi="Arial" w:cs="Arial"/>
          <w:szCs w:val="20"/>
        </w:rPr>
        <w:t xml:space="preserve">the distribution of the </w:t>
      </w:r>
      <w:r w:rsidRPr="00D65230">
        <w:rPr>
          <w:rFonts w:ascii="Arial" w:hAnsi="Arial" w:cs="Arial"/>
          <w:szCs w:val="20"/>
        </w:rPr>
        <w:t xml:space="preserve">EU funds and national funds, </w:t>
      </w:r>
      <w:r w:rsidR="00903366" w:rsidRPr="00D65230">
        <w:rPr>
          <w:rFonts w:ascii="Arial" w:hAnsi="Arial" w:cs="Arial"/>
          <w:szCs w:val="20"/>
        </w:rPr>
        <w:t xml:space="preserve">including such issues as the </w:t>
      </w:r>
      <w:r w:rsidR="00D11286" w:rsidRPr="00D65230">
        <w:rPr>
          <w:rFonts w:ascii="Arial" w:hAnsi="Arial" w:cs="Arial"/>
          <w:szCs w:val="20"/>
        </w:rPr>
        <w:t xml:space="preserve">programme </w:t>
      </w:r>
      <w:r w:rsidRPr="00D65230">
        <w:rPr>
          <w:rFonts w:ascii="Arial" w:hAnsi="Arial" w:cs="Arial"/>
          <w:szCs w:val="20"/>
        </w:rPr>
        <w:t xml:space="preserve">coordination </w:t>
      </w:r>
      <w:r w:rsidR="00903366" w:rsidRPr="00D65230">
        <w:rPr>
          <w:rFonts w:ascii="Arial" w:hAnsi="Arial" w:cs="Arial"/>
          <w:szCs w:val="20"/>
        </w:rPr>
        <w:t>and its efficiency e</w:t>
      </w:r>
      <w:r w:rsidRPr="00D65230">
        <w:rPr>
          <w:rFonts w:ascii="Arial" w:hAnsi="Arial" w:cs="Arial"/>
          <w:szCs w:val="20"/>
        </w:rPr>
        <w:t>valuation</w:t>
      </w:r>
      <w:r w:rsidR="008941AA" w:rsidRPr="00D65230">
        <w:rPr>
          <w:rFonts w:ascii="Arial" w:hAnsi="Arial" w:cs="Arial"/>
          <w:szCs w:val="20"/>
        </w:rPr>
        <w:t>;</w:t>
      </w:r>
    </w:p>
    <w:p w:rsidR="008941AA" w:rsidRPr="00D65230" w:rsidRDefault="007D2F4B" w:rsidP="008A1D95">
      <w:pPr>
        <w:pStyle w:val="Tablebulletsub"/>
        <w:keepNext/>
        <w:keepLines/>
        <w:numPr>
          <w:ilvl w:val="1"/>
          <w:numId w:val="5"/>
        </w:numPr>
        <w:spacing w:before="120"/>
        <w:ind w:left="709" w:hanging="283"/>
        <w:outlineLvl w:val="3"/>
        <w:rPr>
          <w:rFonts w:ascii="Arial" w:hAnsi="Arial" w:cs="Arial"/>
          <w:szCs w:val="20"/>
        </w:rPr>
      </w:pPr>
      <w:r w:rsidRPr="00D65230">
        <w:rPr>
          <w:rFonts w:ascii="Arial" w:hAnsi="Arial" w:cs="Arial"/>
          <w:szCs w:val="20"/>
        </w:rPr>
        <w:lastRenderedPageBreak/>
        <w:t xml:space="preserve">It is recommended to have </w:t>
      </w:r>
      <w:r w:rsidR="00903366" w:rsidRPr="00D65230">
        <w:rPr>
          <w:rFonts w:ascii="Arial" w:hAnsi="Arial" w:cs="Arial"/>
          <w:szCs w:val="20"/>
        </w:rPr>
        <w:t xml:space="preserve">a </w:t>
      </w:r>
      <w:r w:rsidRPr="00D65230">
        <w:rPr>
          <w:rFonts w:ascii="Arial" w:hAnsi="Arial" w:cs="Arial"/>
          <w:szCs w:val="20"/>
        </w:rPr>
        <w:t>centralized database on completed (and implemented)</w:t>
      </w:r>
      <w:r w:rsidR="00086206" w:rsidRPr="00D65230">
        <w:rPr>
          <w:rFonts w:ascii="Arial" w:hAnsi="Arial" w:cs="Arial"/>
          <w:szCs w:val="20"/>
        </w:rPr>
        <w:t xml:space="preserve"> </w:t>
      </w:r>
      <w:r w:rsidR="00903366" w:rsidRPr="00D65230">
        <w:rPr>
          <w:rFonts w:ascii="Arial" w:hAnsi="Arial" w:cs="Arial"/>
          <w:szCs w:val="20"/>
        </w:rPr>
        <w:t xml:space="preserve">housing </w:t>
      </w:r>
      <w:r w:rsidR="00C11C20" w:rsidRPr="00D65230">
        <w:rPr>
          <w:rFonts w:ascii="Arial" w:hAnsi="Arial" w:cs="Arial"/>
          <w:szCs w:val="20"/>
        </w:rPr>
        <w:t>renovation</w:t>
      </w:r>
      <w:r w:rsidRPr="00D65230">
        <w:rPr>
          <w:rFonts w:ascii="Arial" w:hAnsi="Arial" w:cs="Arial"/>
          <w:szCs w:val="20"/>
        </w:rPr>
        <w:t xml:space="preserve"> projects. </w:t>
      </w:r>
      <w:r w:rsidR="00903366" w:rsidRPr="00D65230">
        <w:rPr>
          <w:rFonts w:ascii="Arial" w:hAnsi="Arial" w:cs="Arial"/>
          <w:szCs w:val="20"/>
        </w:rPr>
        <w:t xml:space="preserve">Such </w:t>
      </w:r>
      <w:r w:rsidRPr="00D65230">
        <w:rPr>
          <w:rFonts w:ascii="Arial" w:hAnsi="Arial" w:cs="Arial"/>
          <w:szCs w:val="20"/>
        </w:rPr>
        <w:t>database should provide data on the status of projects, building</w:t>
      </w:r>
      <w:r w:rsidR="00903366" w:rsidRPr="00D65230">
        <w:rPr>
          <w:rFonts w:ascii="Arial" w:hAnsi="Arial" w:cs="Arial"/>
          <w:szCs w:val="20"/>
        </w:rPr>
        <w:t>s</w:t>
      </w:r>
      <w:r w:rsidRPr="00D65230">
        <w:rPr>
          <w:rFonts w:ascii="Arial" w:hAnsi="Arial" w:cs="Arial"/>
          <w:szCs w:val="20"/>
        </w:rPr>
        <w:t xml:space="preserve">, implemented works, </w:t>
      </w:r>
      <w:r w:rsidR="00903366" w:rsidRPr="00D65230">
        <w:rPr>
          <w:rFonts w:ascii="Arial" w:hAnsi="Arial" w:cs="Arial"/>
          <w:szCs w:val="20"/>
        </w:rPr>
        <w:t>p</w:t>
      </w:r>
      <w:r w:rsidRPr="00D65230">
        <w:rPr>
          <w:rFonts w:ascii="Arial" w:hAnsi="Arial" w:cs="Arial"/>
          <w:szCs w:val="20"/>
        </w:rPr>
        <w:t xml:space="preserve">roject funding </w:t>
      </w:r>
      <w:r w:rsidR="00903366" w:rsidRPr="00D65230">
        <w:rPr>
          <w:rFonts w:ascii="Arial" w:hAnsi="Arial" w:cs="Arial"/>
          <w:szCs w:val="20"/>
        </w:rPr>
        <w:t xml:space="preserve">mechanisms used, etc. </w:t>
      </w:r>
    </w:p>
    <w:p w:rsidR="007C6820" w:rsidRPr="00D65230" w:rsidRDefault="007C6820" w:rsidP="007C6820">
      <w:pPr>
        <w:pStyle w:val="Heading4"/>
        <w:rPr>
          <w:i w:val="0"/>
          <w:color w:val="00338D"/>
        </w:rPr>
      </w:pPr>
      <w:r w:rsidRPr="00D65230">
        <w:rPr>
          <w:i w:val="0"/>
          <w:color w:val="00338D"/>
        </w:rPr>
        <w:t>Results of the State Support Efficiency and Impact Assessment</w:t>
      </w:r>
    </w:p>
    <w:p w:rsidR="007C6820" w:rsidRPr="00D65230" w:rsidRDefault="007C6820" w:rsidP="007C6820">
      <w:pPr>
        <w:pStyle w:val="Heading4"/>
      </w:pPr>
      <w:r w:rsidRPr="00D65230">
        <w:t xml:space="preserve">Efficiency, effectiveness and impact of the </w:t>
      </w:r>
      <w:r w:rsidR="000D06ED" w:rsidRPr="00D65230">
        <w:t>Measure JKF</w:t>
      </w:r>
      <w:r w:rsidRPr="00D65230">
        <w:t xml:space="preserve"> </w:t>
      </w:r>
    </w:p>
    <w:p w:rsidR="007C6820" w:rsidRPr="00D65230" w:rsidRDefault="007C6820" w:rsidP="007C6820">
      <w:pPr>
        <w:pStyle w:val="Tablebulletsub"/>
        <w:numPr>
          <w:ilvl w:val="0"/>
          <w:numId w:val="0"/>
        </w:numPr>
        <w:rPr>
          <w:rFonts w:ascii="Arial" w:hAnsi="Arial" w:cs="Arial"/>
          <w:szCs w:val="20"/>
        </w:rPr>
      </w:pPr>
      <w:r w:rsidRPr="00D65230">
        <w:rPr>
          <w:rFonts w:ascii="Arial" w:hAnsi="Arial" w:cs="Arial"/>
          <w:szCs w:val="20"/>
        </w:rPr>
        <w:t xml:space="preserve">The evaluation of efficiency, effectiveness and impact assessment of the </w:t>
      </w:r>
      <w:r w:rsidR="000D06ED" w:rsidRPr="00D65230">
        <w:rPr>
          <w:rFonts w:ascii="Arial" w:hAnsi="Arial" w:cs="Arial"/>
          <w:szCs w:val="20"/>
        </w:rPr>
        <w:t>Measure JKF</w:t>
      </w:r>
      <w:r w:rsidRPr="00D65230">
        <w:rPr>
          <w:rFonts w:ascii="Arial" w:hAnsi="Arial" w:cs="Arial"/>
          <w:szCs w:val="20"/>
        </w:rPr>
        <w:t xml:space="preserve"> revealed these key insights:</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Planned funding for the Measure was an adequate instrument to achieve its objectives. On the other hand, goals raised for the Measure were 6 times below the objectives set out in the Program for Multi-Apartment Buildings Modernization, though it was planned that the Measure will be one of the main program implementation and funding tools. This indicates ineffective planning of </w:t>
      </w:r>
      <w:r w:rsidR="00C11C20" w:rsidRPr="00D65230">
        <w:rPr>
          <w:rFonts w:ascii="Arial" w:hAnsi="Arial" w:cs="Arial"/>
          <w:szCs w:val="20"/>
        </w:rPr>
        <w:t>renovation</w:t>
      </w:r>
      <w:r w:rsidRPr="00D65230">
        <w:rPr>
          <w:rFonts w:ascii="Arial" w:hAnsi="Arial" w:cs="Arial"/>
          <w:szCs w:val="20"/>
        </w:rPr>
        <w:t xml:space="preserve"> policy and </w:t>
      </w:r>
      <w:r w:rsidR="00C11C20" w:rsidRPr="00D65230">
        <w:rPr>
          <w:rFonts w:ascii="Arial" w:hAnsi="Arial" w:cs="Arial"/>
          <w:szCs w:val="20"/>
        </w:rPr>
        <w:t>renovation</w:t>
      </w:r>
      <w:r w:rsidRPr="00D65230">
        <w:rPr>
          <w:rFonts w:ascii="Arial" w:hAnsi="Arial" w:cs="Arial"/>
          <w:szCs w:val="20"/>
        </w:rPr>
        <w:t xml:space="preserve"> of objectives interconnecting drawbacks; </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Implementation of the measures financing plan from the State budget allocated EUR 62.4M (63.3%) less funds than the measures envisaged in the financing plan, i.e. it was allocated EUR 35.7M instead of EUR 98.2M. According to the representatives of the EIB, a lower than expected contribution from the State budget had a negative impact on the volume of the projects implemented. In 2014-2015 because of funding shortage there were no opportunities to satisfy the accumulated demand of multi-apartment buildings </w:t>
      </w:r>
      <w:r w:rsidR="00C11C20" w:rsidRPr="00D65230">
        <w:rPr>
          <w:rFonts w:ascii="Arial" w:hAnsi="Arial" w:cs="Arial"/>
          <w:szCs w:val="20"/>
        </w:rPr>
        <w:t>renovation</w:t>
      </w:r>
      <w:r w:rsidRPr="00D65230">
        <w:rPr>
          <w:rFonts w:ascii="Arial" w:hAnsi="Arial" w:cs="Arial"/>
          <w:szCs w:val="20"/>
        </w:rPr>
        <w:t xml:space="preserve"> projects. This was the reason why the implementation of projects had to be stopped. On the other hand, according to the representatives of the Ministry of Finance of the Republic of Lithuania, part of the funds for implementation was not allocated because of the construction sector capacity limit. In 2014-2015 construction companies could not implement additional projects qualitatively, because of the decision not to allocate the rest of the State budget funds. Actually, unrehearsed funding for measures of implementation exceeded the means of financing </w:t>
      </w:r>
      <w:r w:rsidRPr="00F705E3">
        <w:rPr>
          <w:rFonts w:ascii="Arial" w:hAnsi="Arial" w:cs="Arial"/>
          <w:szCs w:val="20"/>
        </w:rPr>
        <w:t xml:space="preserve">plan by </w:t>
      </w:r>
      <w:r w:rsidR="004E79ED" w:rsidRPr="00F705E3">
        <w:rPr>
          <w:rFonts w:ascii="Arial" w:hAnsi="Arial" w:cs="Arial"/>
          <w:szCs w:val="20"/>
        </w:rPr>
        <w:t xml:space="preserve">ca </w:t>
      </w:r>
      <w:r w:rsidRPr="00F705E3">
        <w:rPr>
          <w:rFonts w:ascii="Arial" w:hAnsi="Arial" w:cs="Arial"/>
          <w:szCs w:val="20"/>
        </w:rPr>
        <w:t>12% (EUR 26M).</w:t>
      </w:r>
      <w:r w:rsidR="00086206" w:rsidRPr="00D65230">
        <w:rPr>
          <w:rFonts w:ascii="Arial" w:hAnsi="Arial" w:cs="Arial"/>
          <w:szCs w:val="20"/>
        </w:rPr>
        <w:t xml:space="preserve"> </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Total JKF funds paid EUR 167M to financial intermediaries and EUR 259M to final beneficiaries. This amount represents 150% of the JKF appointed funds (EUR 173M EU and the State budget funds) and indicates 1.5 times reaching leverage effect of use of public funds. This result was achieved by reuse of return funds and commercial bank funds that were additionally attracted. </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Objectives, tasks and indicators of the </w:t>
      </w:r>
      <w:r w:rsidR="000D06ED" w:rsidRPr="00D65230">
        <w:rPr>
          <w:rFonts w:ascii="Arial" w:hAnsi="Arial" w:cs="Arial"/>
          <w:szCs w:val="20"/>
        </w:rPr>
        <w:t>Measure JKF</w:t>
      </w:r>
      <w:r w:rsidRPr="00D65230">
        <w:rPr>
          <w:rFonts w:ascii="Arial" w:hAnsi="Arial" w:cs="Arial"/>
          <w:szCs w:val="20"/>
        </w:rPr>
        <w:t xml:space="preserve"> were achieved and exceeded. </w:t>
      </w:r>
    </w:p>
    <w:p w:rsidR="007C6820" w:rsidRPr="00D65230" w:rsidRDefault="006D12BF" w:rsidP="007C6820">
      <w:pPr>
        <w:pStyle w:val="Tablebulletsub"/>
        <w:ind w:left="317" w:hanging="283"/>
        <w:rPr>
          <w:rFonts w:ascii="Arial" w:hAnsi="Arial" w:cs="Arial"/>
          <w:szCs w:val="20"/>
        </w:rPr>
      </w:pPr>
      <w:r w:rsidRPr="00D65230">
        <w:rPr>
          <w:rFonts w:ascii="Arial" w:hAnsi="Arial" w:cs="Arial"/>
          <w:szCs w:val="20"/>
        </w:rPr>
        <w:t>The socio-economic impact of the implementation of the Measure JKF includes</w:t>
      </w:r>
      <w:r w:rsidR="007C6820" w:rsidRPr="00D65230">
        <w:rPr>
          <w:rFonts w:ascii="Arial" w:hAnsi="Arial" w:cs="Arial"/>
          <w:szCs w:val="20"/>
        </w:rPr>
        <w:t>:</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t>Impact on actual savings of heat energy during the preferential loans repayment period reaches 3 TWh or EUR 220M</w:t>
      </w:r>
      <w:r w:rsidRPr="00F705E3">
        <w:rPr>
          <w:rFonts w:ascii="Arial" w:hAnsi="Arial" w:cs="Arial"/>
          <w:szCs w:val="20"/>
        </w:rPr>
        <w:t>. Ca 9% of the</w:t>
      </w:r>
      <w:r w:rsidRPr="00D65230">
        <w:rPr>
          <w:rFonts w:ascii="Arial" w:hAnsi="Arial" w:cs="Arial"/>
          <w:szCs w:val="20"/>
        </w:rPr>
        <w:t xml:space="preserve"> projected energy savings was achieved by the end of 2016. EUR 1 invested leads to 17.2 kWh or EUR 1.3 savings on heating energy during the loan repayment period. </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t>Impact on reduced environmental pollution reaches 695 thousand tonnes (EUR 27M) of CO2 and 1.7 thousand tonnes (EUR 8.8M) of NOX, SO2 and KD10 emissions reduction. The total benefit of environmental contamination represents EUR 36M.</w:t>
      </w:r>
      <w:r w:rsidR="00086206" w:rsidRPr="00D65230">
        <w:rPr>
          <w:rFonts w:ascii="Arial" w:hAnsi="Arial" w:cs="Arial"/>
          <w:szCs w:val="20"/>
        </w:rPr>
        <w:t xml:space="preserve"> </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t xml:space="preserve">By implementing multi-apartment buildings </w:t>
      </w:r>
      <w:r w:rsidR="00C11C20" w:rsidRPr="00D65230">
        <w:rPr>
          <w:rFonts w:ascii="Arial" w:hAnsi="Arial" w:cs="Arial"/>
          <w:szCs w:val="20"/>
        </w:rPr>
        <w:t>renovation</w:t>
      </w:r>
      <w:r w:rsidRPr="00D65230">
        <w:rPr>
          <w:rFonts w:ascii="Arial" w:hAnsi="Arial" w:cs="Arial"/>
          <w:szCs w:val="20"/>
        </w:rPr>
        <w:t xml:space="preserve"> projects (in the period of 2010-2016), which were funded by the </w:t>
      </w:r>
      <w:r w:rsidR="000D06ED" w:rsidRPr="00D65230">
        <w:rPr>
          <w:rFonts w:ascii="Arial" w:hAnsi="Arial" w:cs="Arial"/>
          <w:szCs w:val="20"/>
        </w:rPr>
        <w:t>Measure JKF</w:t>
      </w:r>
      <w:r w:rsidRPr="00D65230">
        <w:rPr>
          <w:rFonts w:ascii="Arial" w:hAnsi="Arial" w:cs="Arial"/>
          <w:szCs w:val="20"/>
        </w:rPr>
        <w:t xml:space="preserve">, more than 10000 “one-year” job places were created, which represents more than 2% of all job places in the construction sector. </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lastRenderedPageBreak/>
        <w:t>The impact on the State budget during the abovementioned assessment on five evaluated components is negative and reaches (minus) EUR 116M, and nominal state funds return (undiscounted) throughout the preferential loan repayment period reaches (minus) 65%, i.e. 1 EUR invested in the implementation of the Measure during the loan repayment period “returns” as EUR 0.35.</w:t>
      </w:r>
      <w:r w:rsidR="00086206" w:rsidRPr="00D65230">
        <w:rPr>
          <w:rFonts w:ascii="Arial" w:hAnsi="Arial" w:cs="Arial"/>
          <w:szCs w:val="20"/>
        </w:rPr>
        <w:t xml:space="preserve"> </w:t>
      </w:r>
    </w:p>
    <w:p w:rsidR="007C6820" w:rsidRPr="00D65230" w:rsidRDefault="007C6820" w:rsidP="007C6820">
      <w:pPr>
        <w:pStyle w:val="Heading4"/>
      </w:pPr>
      <w:r w:rsidRPr="00D65230">
        <w:t>Eff</w:t>
      </w:r>
      <w:r w:rsidR="006D12BF" w:rsidRPr="00D65230">
        <w:t>iciency</w:t>
      </w:r>
      <w:r w:rsidRPr="00D65230">
        <w:t xml:space="preserve"> of the </w:t>
      </w:r>
      <w:r w:rsidR="000D06ED" w:rsidRPr="00D65230">
        <w:t>Measure DNA</w:t>
      </w:r>
    </w:p>
    <w:p w:rsidR="007C6820" w:rsidRPr="00D65230" w:rsidRDefault="007C6820" w:rsidP="007C6820">
      <w:pPr>
        <w:pStyle w:val="Tablebulletsub"/>
        <w:numPr>
          <w:ilvl w:val="0"/>
          <w:numId w:val="0"/>
        </w:numPr>
        <w:rPr>
          <w:rFonts w:ascii="Arial" w:hAnsi="Arial" w:cs="Arial"/>
          <w:szCs w:val="20"/>
        </w:rPr>
      </w:pPr>
      <w:r w:rsidRPr="00D65230">
        <w:rPr>
          <w:rFonts w:ascii="Arial" w:hAnsi="Arial" w:cs="Arial"/>
          <w:szCs w:val="20"/>
        </w:rPr>
        <w:t xml:space="preserve">The evaluation of the </w:t>
      </w:r>
      <w:r w:rsidR="006D12BF" w:rsidRPr="00D65230">
        <w:rPr>
          <w:rFonts w:ascii="Arial" w:hAnsi="Arial" w:cs="Arial"/>
          <w:szCs w:val="20"/>
        </w:rPr>
        <w:t>efficiency</w:t>
      </w:r>
      <w:r w:rsidRPr="00D65230">
        <w:rPr>
          <w:rFonts w:ascii="Arial" w:hAnsi="Arial" w:cs="Arial"/>
          <w:szCs w:val="20"/>
        </w:rPr>
        <w:t xml:space="preserve"> of the </w:t>
      </w:r>
      <w:r w:rsidR="000D06ED" w:rsidRPr="00D65230">
        <w:rPr>
          <w:rFonts w:ascii="Arial" w:hAnsi="Arial" w:cs="Arial"/>
          <w:szCs w:val="20"/>
        </w:rPr>
        <w:t>Measure DNA</w:t>
      </w:r>
      <w:r w:rsidRPr="00D65230">
        <w:rPr>
          <w:rFonts w:ascii="Arial" w:hAnsi="Arial" w:cs="Arial"/>
          <w:szCs w:val="20"/>
        </w:rPr>
        <w:t xml:space="preserve"> revealed these main insights:</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The financing planned for the Measure is adequate to meet the objectives set for the </w:t>
      </w:r>
      <w:r w:rsidR="000D06ED" w:rsidRPr="00D65230">
        <w:rPr>
          <w:rFonts w:ascii="Arial" w:hAnsi="Arial" w:cs="Arial"/>
          <w:szCs w:val="20"/>
        </w:rPr>
        <w:t>Measure DNA</w:t>
      </w:r>
      <w:r w:rsidRPr="00D65230">
        <w:rPr>
          <w:rFonts w:ascii="Arial" w:hAnsi="Arial" w:cs="Arial"/>
          <w:szCs w:val="20"/>
        </w:rPr>
        <w:t>.</w:t>
      </w:r>
      <w:r w:rsidR="00086206" w:rsidRPr="00D65230">
        <w:rPr>
          <w:rFonts w:ascii="Arial" w:hAnsi="Arial" w:cs="Arial"/>
          <w:szCs w:val="20"/>
        </w:rPr>
        <w:t xml:space="preserve"> </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The </w:t>
      </w:r>
      <w:r w:rsidR="000D06ED" w:rsidRPr="00D65230">
        <w:rPr>
          <w:rFonts w:ascii="Arial" w:hAnsi="Arial" w:cs="Arial"/>
          <w:szCs w:val="20"/>
        </w:rPr>
        <w:t>Measure DNA</w:t>
      </w:r>
      <w:r w:rsidRPr="00D65230">
        <w:rPr>
          <w:rFonts w:ascii="Arial" w:hAnsi="Arial" w:cs="Arial"/>
          <w:szCs w:val="20"/>
        </w:rPr>
        <w:t xml:space="preserve"> financing plan DNMF and J2FF were implemented in </w:t>
      </w:r>
      <w:r w:rsidR="004E79ED" w:rsidRPr="00D65230">
        <w:rPr>
          <w:rFonts w:ascii="Arial" w:hAnsi="Arial" w:cs="Arial"/>
          <w:szCs w:val="20"/>
        </w:rPr>
        <w:t xml:space="preserve">year </w:t>
      </w:r>
      <w:r w:rsidRPr="00D65230">
        <w:rPr>
          <w:rFonts w:ascii="Arial" w:hAnsi="Arial" w:cs="Arial"/>
          <w:szCs w:val="20"/>
        </w:rPr>
        <w:t>2016</w:t>
      </w:r>
      <w:r w:rsidR="004E79ED" w:rsidRPr="00D65230">
        <w:rPr>
          <w:rFonts w:ascii="Arial" w:hAnsi="Arial" w:cs="Arial"/>
          <w:szCs w:val="20"/>
        </w:rPr>
        <w:t xml:space="preserve">. </w:t>
      </w:r>
      <w:r w:rsidRPr="00D65230">
        <w:rPr>
          <w:rFonts w:ascii="Arial" w:hAnsi="Arial" w:cs="Arial"/>
          <w:szCs w:val="20"/>
        </w:rPr>
        <w:t xml:space="preserve">These funds both received EUR 224M of EU funds or 100% of planned funds. Also, J2FF attracted EUR 130M of private (commercial banks) funds – exceeding by more than double the expected minimum private input, set in the financing plan. Provision of guarantees from RPF funds has not started </w:t>
      </w:r>
      <w:proofErr w:type="gramStart"/>
      <w:r w:rsidRPr="00D65230">
        <w:rPr>
          <w:rFonts w:ascii="Arial" w:hAnsi="Arial" w:cs="Arial"/>
          <w:szCs w:val="20"/>
        </w:rPr>
        <w:t>yet,</w:t>
      </w:r>
      <w:proofErr w:type="gramEnd"/>
      <w:r w:rsidRPr="00D65230">
        <w:rPr>
          <w:rFonts w:ascii="Arial" w:hAnsi="Arial" w:cs="Arial"/>
          <w:szCs w:val="20"/>
        </w:rPr>
        <w:t xml:space="preserve"> therefore the planned RPF part of financing has not been disbursed. The overall implementation of the </w:t>
      </w:r>
      <w:r w:rsidR="000D06ED" w:rsidRPr="00D65230">
        <w:rPr>
          <w:rFonts w:ascii="Arial" w:hAnsi="Arial" w:cs="Arial"/>
          <w:szCs w:val="20"/>
        </w:rPr>
        <w:t>Measure DNA</w:t>
      </w:r>
      <w:r w:rsidRPr="00D65230">
        <w:rPr>
          <w:rFonts w:ascii="Arial" w:hAnsi="Arial" w:cs="Arial"/>
          <w:szCs w:val="20"/>
        </w:rPr>
        <w:t xml:space="preserve"> financing plan (including the J2F, DNMF and RPF planned funds), after less than half of 2014-2020 period, is at 95%.</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All the financing, provided by the </w:t>
      </w:r>
      <w:r w:rsidR="000D06ED" w:rsidRPr="00D65230">
        <w:rPr>
          <w:rFonts w:ascii="Arial" w:hAnsi="Arial" w:cs="Arial"/>
          <w:szCs w:val="20"/>
        </w:rPr>
        <w:t>Measure DNA</w:t>
      </w:r>
      <w:r w:rsidRPr="00D65230">
        <w:rPr>
          <w:rFonts w:ascii="Arial" w:hAnsi="Arial" w:cs="Arial"/>
          <w:szCs w:val="20"/>
        </w:rPr>
        <w:t xml:space="preserve">, was distributed to final recipients during the first 12 months of activity in form of preferential loans. Altogether, until the end of 2016, the final recipients received EUR 80M of preferential loans from DNMF – 108% of the </w:t>
      </w:r>
      <w:r w:rsidR="000D06ED" w:rsidRPr="00D65230">
        <w:rPr>
          <w:rFonts w:ascii="Arial" w:hAnsi="Arial" w:cs="Arial"/>
          <w:szCs w:val="20"/>
        </w:rPr>
        <w:t>Measure DNA</w:t>
      </w:r>
      <w:r w:rsidRPr="00D65230">
        <w:rPr>
          <w:rFonts w:ascii="Arial" w:hAnsi="Arial" w:cs="Arial"/>
          <w:szCs w:val="20"/>
        </w:rPr>
        <w:t xml:space="preserve"> planned financing. It should be noted that in order to fulfil the market demand for the financing of </w:t>
      </w:r>
      <w:r w:rsidR="00C11C20" w:rsidRPr="00D65230">
        <w:rPr>
          <w:rFonts w:ascii="Arial" w:hAnsi="Arial" w:cs="Arial"/>
          <w:szCs w:val="20"/>
        </w:rPr>
        <w:t>renovation</w:t>
      </w:r>
      <w:r w:rsidRPr="00D65230">
        <w:rPr>
          <w:rFonts w:ascii="Arial" w:hAnsi="Arial" w:cs="Arial"/>
          <w:szCs w:val="20"/>
        </w:rPr>
        <w:t xml:space="preserve"> projects, DNMF activity has not attracted private funds (for instance, funds from commercial banks). This inaction is negatively affecting the goal of achieving the leverage effect. </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At the end of 2016, all primary J2FF financing granted under the </w:t>
      </w:r>
      <w:r w:rsidR="000D06ED" w:rsidRPr="00D65230">
        <w:rPr>
          <w:rFonts w:ascii="Arial" w:hAnsi="Arial" w:cs="Arial"/>
          <w:szCs w:val="20"/>
        </w:rPr>
        <w:t>Measure DNA</w:t>
      </w:r>
      <w:r w:rsidRPr="00D65230">
        <w:rPr>
          <w:rFonts w:ascii="Arial" w:hAnsi="Arial" w:cs="Arial"/>
          <w:szCs w:val="20"/>
        </w:rPr>
        <w:t xml:space="preserve"> was distributed to final recipients in form of preferential loans. In total, until the end of 2016, J2FF granted EUR 160M of preferential loans to final recipients – 108% of the planned financing under the </w:t>
      </w:r>
      <w:r w:rsidR="000D06ED" w:rsidRPr="00D65230">
        <w:rPr>
          <w:rFonts w:ascii="Arial" w:hAnsi="Arial" w:cs="Arial"/>
          <w:szCs w:val="20"/>
        </w:rPr>
        <w:t>Measure DNA</w:t>
      </w:r>
      <w:r w:rsidRPr="00D65230">
        <w:rPr>
          <w:rFonts w:ascii="Arial" w:hAnsi="Arial" w:cs="Arial"/>
          <w:szCs w:val="20"/>
        </w:rPr>
        <w:t xml:space="preserve">. </w:t>
      </w:r>
    </w:p>
    <w:p w:rsidR="007C6820" w:rsidRPr="00D65230" w:rsidRDefault="007C6820" w:rsidP="007C6820">
      <w:pPr>
        <w:pStyle w:val="Heading4"/>
      </w:pPr>
      <w:r w:rsidRPr="00D65230">
        <w:t>The impact of State support on State finances</w:t>
      </w:r>
    </w:p>
    <w:p w:rsidR="007C6820" w:rsidRPr="00D65230" w:rsidRDefault="007C6820" w:rsidP="007C6820">
      <w:pPr>
        <w:pStyle w:val="Tablebulletsub"/>
        <w:numPr>
          <w:ilvl w:val="0"/>
          <w:numId w:val="0"/>
        </w:numPr>
        <w:rPr>
          <w:rFonts w:ascii="Arial" w:hAnsi="Arial" w:cs="Arial"/>
          <w:szCs w:val="20"/>
        </w:rPr>
      </w:pPr>
      <w:r w:rsidRPr="00D65230">
        <w:rPr>
          <w:rFonts w:ascii="Arial" w:hAnsi="Arial" w:cs="Arial"/>
          <w:szCs w:val="20"/>
        </w:rPr>
        <w:t>The evaluation of state support impact on state finances revealed these main insights:</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In the period of 2005-2016 multi-apartment </w:t>
      </w:r>
      <w:r w:rsidR="00C11C20" w:rsidRPr="00D65230">
        <w:rPr>
          <w:rFonts w:ascii="Arial" w:hAnsi="Arial" w:cs="Arial"/>
          <w:szCs w:val="20"/>
        </w:rPr>
        <w:t>renovation</w:t>
      </w:r>
      <w:r w:rsidRPr="00D65230">
        <w:rPr>
          <w:rFonts w:ascii="Arial" w:hAnsi="Arial" w:cs="Arial"/>
          <w:szCs w:val="20"/>
        </w:rPr>
        <w:t xml:space="preserve"> projects received more than EUR 185M of non-repayable State support: EUR 149M of direct grants from the State budget and EUR 36M in partial write-offs of preferential credits, compensating investments to the energy efficiency increasing measures. In this period 1,984 multi-apartment </w:t>
      </w:r>
      <w:r w:rsidR="00C11C20" w:rsidRPr="00D65230">
        <w:rPr>
          <w:rFonts w:ascii="Arial" w:hAnsi="Arial" w:cs="Arial"/>
          <w:szCs w:val="20"/>
        </w:rPr>
        <w:t>renovation</w:t>
      </w:r>
      <w:r w:rsidRPr="00D65230">
        <w:rPr>
          <w:rFonts w:ascii="Arial" w:hAnsi="Arial" w:cs="Arial"/>
          <w:szCs w:val="20"/>
        </w:rPr>
        <w:t xml:space="preserve"> projects were implemented which value reaches EUR 514M. Therefore, the State non-repayable support, granted for the projects until 2016, reaches 36% out of the total completed projects value.</w:t>
      </w:r>
    </w:p>
    <w:p w:rsidR="007C6820" w:rsidRPr="00D65230" w:rsidRDefault="007C6820" w:rsidP="00587626">
      <w:pPr>
        <w:pStyle w:val="Tablebulletsub"/>
        <w:tabs>
          <w:tab w:val="left" w:pos="2977"/>
        </w:tabs>
        <w:ind w:left="317" w:hanging="283"/>
        <w:rPr>
          <w:rFonts w:ascii="Arial" w:hAnsi="Arial" w:cs="Arial"/>
          <w:szCs w:val="20"/>
        </w:rPr>
      </w:pPr>
      <w:r w:rsidRPr="00D65230">
        <w:rPr>
          <w:rFonts w:ascii="Arial" w:hAnsi="Arial" w:cs="Arial"/>
          <w:szCs w:val="20"/>
        </w:rPr>
        <w:t xml:space="preserve">The impact assessment of multi-apartment housing </w:t>
      </w:r>
      <w:r w:rsidR="00C11C20" w:rsidRPr="00D65230">
        <w:rPr>
          <w:rFonts w:ascii="Arial" w:hAnsi="Arial" w:cs="Arial"/>
          <w:szCs w:val="20"/>
        </w:rPr>
        <w:t>renovation</w:t>
      </w:r>
      <w:r w:rsidRPr="00D65230">
        <w:rPr>
          <w:rFonts w:ascii="Arial" w:hAnsi="Arial" w:cs="Arial"/>
          <w:szCs w:val="20"/>
        </w:rPr>
        <w:t xml:space="preserve"> projects</w:t>
      </w:r>
      <w:r w:rsidR="00E67AF3" w:rsidRPr="00D65230">
        <w:rPr>
          <w:rFonts w:ascii="Arial" w:hAnsi="Arial" w:cs="Arial"/>
          <w:szCs w:val="20"/>
        </w:rPr>
        <w:t xml:space="preserve"> implemented</w:t>
      </w:r>
      <w:r w:rsidRPr="00D65230">
        <w:rPr>
          <w:rFonts w:ascii="Arial" w:hAnsi="Arial" w:cs="Arial"/>
          <w:szCs w:val="20"/>
        </w:rPr>
        <w:t xml:space="preserve"> until 2017, revealed that:</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t>including the support, which the State will grant for the already implemented projects in the future (e.g. reimbursement of preferential loan payments for the disadvantaged residents), the non-repayable support during all credit repayment period will comprise more than half (~53%) of total projects</w:t>
      </w:r>
      <w:r w:rsidR="00587626" w:rsidRPr="00D65230">
        <w:rPr>
          <w:rFonts w:ascii="Arial" w:hAnsi="Arial" w:cs="Arial"/>
          <w:szCs w:val="20"/>
        </w:rPr>
        <w:t>’</w:t>
      </w:r>
      <w:r w:rsidRPr="00D65230">
        <w:rPr>
          <w:rFonts w:ascii="Arial" w:hAnsi="Arial" w:cs="Arial"/>
          <w:szCs w:val="20"/>
        </w:rPr>
        <w:t xml:space="preserve"> value, which were implemented until 2017;</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lastRenderedPageBreak/>
        <w:t>the impact on actual heat energy savings during the repayment of preferential loans period reaches 5.4 TWh, or almost EUR 400M; 13% of the latter estimated energy savings were</w:t>
      </w:r>
      <w:r w:rsidR="00E67AF3" w:rsidRPr="00D65230">
        <w:rPr>
          <w:rFonts w:ascii="Arial" w:hAnsi="Arial" w:cs="Arial"/>
          <w:szCs w:val="20"/>
        </w:rPr>
        <w:t xml:space="preserve"> achieved until the end of 2016;</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t>the impact on the environmental pollution reduction reaches 1.3M t (EUR 47.6 M) CO2 and 3.1 thousand tonnes (EUR 15.7M) NO</w:t>
      </w:r>
      <w:r w:rsidRPr="00D65230">
        <w:rPr>
          <w:rFonts w:ascii="Arial" w:hAnsi="Arial" w:cs="Arial"/>
          <w:szCs w:val="20"/>
          <w:vertAlign w:val="subscript"/>
        </w:rPr>
        <w:t>X</w:t>
      </w:r>
      <w:r w:rsidRPr="00D65230">
        <w:rPr>
          <w:rFonts w:ascii="Arial" w:hAnsi="Arial" w:cs="Arial"/>
          <w:szCs w:val="20"/>
        </w:rPr>
        <w:t>, SO</w:t>
      </w:r>
      <w:r w:rsidRPr="00D65230">
        <w:rPr>
          <w:rFonts w:ascii="Arial" w:hAnsi="Arial" w:cs="Arial"/>
          <w:szCs w:val="20"/>
          <w:vertAlign w:val="subscript"/>
        </w:rPr>
        <w:t>2</w:t>
      </w:r>
      <w:r w:rsidRPr="00D65230">
        <w:rPr>
          <w:rFonts w:ascii="Arial" w:hAnsi="Arial" w:cs="Arial"/>
          <w:szCs w:val="20"/>
        </w:rPr>
        <w:t xml:space="preserve"> and KD</w:t>
      </w:r>
      <w:r w:rsidRPr="00D65230">
        <w:rPr>
          <w:rFonts w:ascii="Arial" w:hAnsi="Arial" w:cs="Arial"/>
          <w:szCs w:val="20"/>
          <w:vertAlign w:val="subscript"/>
        </w:rPr>
        <w:t>10</w:t>
      </w:r>
      <w:r w:rsidRPr="00D65230">
        <w:rPr>
          <w:rFonts w:ascii="Arial" w:hAnsi="Arial" w:cs="Arial"/>
          <w:szCs w:val="20"/>
        </w:rPr>
        <w:t xml:space="preserve"> emissions reduction; total benefits of environmental</w:t>
      </w:r>
      <w:r w:rsidR="00E67AF3" w:rsidRPr="00D65230">
        <w:rPr>
          <w:rFonts w:ascii="Arial" w:hAnsi="Arial" w:cs="Arial"/>
          <w:szCs w:val="20"/>
        </w:rPr>
        <w:t xml:space="preserve"> contamination reaches EUR 63M;</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t xml:space="preserve">during the implementing of multi-apartments </w:t>
      </w:r>
      <w:r w:rsidR="00C11C20" w:rsidRPr="00D65230">
        <w:rPr>
          <w:rFonts w:ascii="Arial" w:hAnsi="Arial" w:cs="Arial"/>
          <w:szCs w:val="20"/>
        </w:rPr>
        <w:t>renovation</w:t>
      </w:r>
      <w:r w:rsidRPr="00D65230">
        <w:rPr>
          <w:rFonts w:ascii="Arial" w:hAnsi="Arial" w:cs="Arial"/>
          <w:szCs w:val="20"/>
        </w:rPr>
        <w:t xml:space="preserve"> projects (in the period of 2005-2006), more than 19,000 additional “single-year” job places were created, which is equal to about 2 % of all job pl</w:t>
      </w:r>
      <w:r w:rsidR="00E67AF3" w:rsidRPr="00D65230">
        <w:rPr>
          <w:rFonts w:ascii="Arial" w:hAnsi="Arial" w:cs="Arial"/>
          <w:szCs w:val="20"/>
        </w:rPr>
        <w:t>aces in the Construction sector;</w:t>
      </w:r>
    </w:p>
    <w:p w:rsidR="007C6820" w:rsidRPr="00D65230" w:rsidRDefault="007C6820" w:rsidP="007C6820">
      <w:pPr>
        <w:pStyle w:val="Tablebulletsub"/>
        <w:numPr>
          <w:ilvl w:val="1"/>
          <w:numId w:val="5"/>
        </w:numPr>
        <w:ind w:left="709" w:hanging="283"/>
        <w:rPr>
          <w:rFonts w:ascii="Arial" w:hAnsi="Arial" w:cs="Arial"/>
          <w:szCs w:val="20"/>
        </w:rPr>
      </w:pPr>
      <w:r w:rsidRPr="00D65230">
        <w:rPr>
          <w:rFonts w:ascii="Arial" w:hAnsi="Arial" w:cs="Arial"/>
          <w:szCs w:val="20"/>
        </w:rPr>
        <w:t xml:space="preserve">the net demand of the multi-apartment </w:t>
      </w:r>
      <w:r w:rsidR="00C11C20" w:rsidRPr="00D65230">
        <w:rPr>
          <w:rFonts w:ascii="Arial" w:hAnsi="Arial" w:cs="Arial"/>
          <w:szCs w:val="20"/>
        </w:rPr>
        <w:t>renovation</w:t>
      </w:r>
      <w:r w:rsidRPr="00D65230">
        <w:rPr>
          <w:rFonts w:ascii="Arial" w:hAnsi="Arial" w:cs="Arial"/>
          <w:szCs w:val="20"/>
        </w:rPr>
        <w:t xml:space="preserve"> for the State budget over all five evaluated direct (e.g. “initial value chain”) impact components is negative and reaches minus EUR 192M, while the nominal (non-discounted) State support funds “return” for the State budget (during the repayment of preferential loans period) reaches (minus) 63%; in other words, 1 EUR for the multi-apartment </w:t>
      </w:r>
      <w:r w:rsidR="00C11C20" w:rsidRPr="00D65230">
        <w:rPr>
          <w:rFonts w:ascii="Arial" w:hAnsi="Arial" w:cs="Arial"/>
          <w:szCs w:val="20"/>
        </w:rPr>
        <w:t>renovation</w:t>
      </w:r>
      <w:r w:rsidRPr="00D65230">
        <w:rPr>
          <w:rFonts w:ascii="Arial" w:hAnsi="Arial" w:cs="Arial"/>
          <w:szCs w:val="20"/>
        </w:rPr>
        <w:t xml:space="preserve"> during the repayment of loans period “returns” to the State budget as 0.37 EUR.</w:t>
      </w:r>
    </w:p>
    <w:p w:rsidR="007C6820" w:rsidRPr="00D65230" w:rsidRDefault="007C6820" w:rsidP="007C6820">
      <w:pPr>
        <w:pStyle w:val="Tablebulletsub"/>
        <w:ind w:left="317" w:hanging="283"/>
        <w:rPr>
          <w:rFonts w:ascii="Arial" w:hAnsi="Arial" w:cs="Arial"/>
          <w:szCs w:val="20"/>
        </w:rPr>
      </w:pPr>
      <w:r w:rsidRPr="00D65230">
        <w:rPr>
          <w:rFonts w:ascii="Arial" w:hAnsi="Arial" w:cs="Arial"/>
          <w:szCs w:val="20"/>
        </w:rPr>
        <w:t xml:space="preserve">The non-repayable state support for the typical multi-apartment housing project reaches about EUR 160K. After the implementation of the </w:t>
      </w:r>
      <w:r w:rsidR="00C11C20" w:rsidRPr="00D65230">
        <w:rPr>
          <w:rFonts w:ascii="Arial" w:hAnsi="Arial" w:cs="Arial"/>
          <w:szCs w:val="20"/>
        </w:rPr>
        <w:t>renovation</w:t>
      </w:r>
      <w:r w:rsidRPr="00D65230">
        <w:rPr>
          <w:rFonts w:ascii="Arial" w:hAnsi="Arial" w:cs="Arial"/>
          <w:szCs w:val="20"/>
        </w:rPr>
        <w:t xml:space="preserve"> project the State budget receives approx. EUR 71K through the four, evaluated components of the direct (e.g. “initial value chain”) impact. The net impact of the typical project reaches about (minus) EUR 89K or (minus) 56 euro cents for each non-refundable state support granted EUR 1. Overall, total impact of the typical </w:t>
      </w:r>
      <w:r w:rsidR="00C11C20" w:rsidRPr="00D65230">
        <w:rPr>
          <w:rFonts w:ascii="Arial" w:hAnsi="Arial" w:cs="Arial"/>
          <w:szCs w:val="20"/>
        </w:rPr>
        <w:t>renovation</w:t>
      </w:r>
      <w:r w:rsidRPr="00D65230">
        <w:rPr>
          <w:rFonts w:ascii="Arial" w:hAnsi="Arial" w:cs="Arial"/>
          <w:szCs w:val="20"/>
        </w:rPr>
        <w:t xml:space="preserve"> project to the State budget in case of implementation of RPF– reaches (minus) EUR 150K, or – (minus) 68 euro cents for each state granted EUR 1. The essential difference of the RPF implementation impact on the State budget from the present preferential loans model under J2FF and DNMF manifests because of interest rate charged by commercial banks and preferential loans interest rate compensation from the State budget.</w:t>
      </w:r>
    </w:p>
    <w:p w:rsidR="007C6820" w:rsidRPr="00D65230" w:rsidRDefault="007C6820" w:rsidP="007C6820">
      <w:pPr>
        <w:pStyle w:val="Heading4"/>
        <w:rPr>
          <w:i w:val="0"/>
          <w:color w:val="00338D"/>
        </w:rPr>
      </w:pPr>
      <w:r w:rsidRPr="00D65230">
        <w:rPr>
          <w:i w:val="0"/>
          <w:color w:val="00338D"/>
        </w:rPr>
        <w:t xml:space="preserve">Results of the Optimal State Support Model Analysis </w:t>
      </w:r>
    </w:p>
    <w:p w:rsidR="007C6820" w:rsidRPr="00D65230" w:rsidRDefault="007C6820" w:rsidP="007C6820">
      <w:pPr>
        <w:pStyle w:val="Heading4"/>
      </w:pPr>
      <w:r w:rsidRPr="00D65230">
        <w:t xml:space="preserve">Financial attractiveness of </w:t>
      </w:r>
      <w:r w:rsidR="00C11C20" w:rsidRPr="00D65230">
        <w:t>renovation</w:t>
      </w:r>
      <w:r w:rsidRPr="00D65230">
        <w:t xml:space="preserve"> for multi-apartment owners</w:t>
      </w:r>
    </w:p>
    <w:p w:rsidR="007C6820" w:rsidRPr="00D65230" w:rsidRDefault="007C6820" w:rsidP="007C6820">
      <w:pPr>
        <w:rPr>
          <w:rFonts w:ascii="Arial" w:hAnsi="Arial" w:cs="Arial"/>
        </w:rPr>
      </w:pPr>
      <w:r w:rsidRPr="00D65230">
        <w:rPr>
          <w:rFonts w:ascii="Arial" w:hAnsi="Arial" w:cs="Arial"/>
        </w:rPr>
        <w:t xml:space="preserve">The analysis of the typical multi-apartment renovation project revealed that total actual savings of heat energy during all loan repayment period are lower by quarter than the total costs of </w:t>
      </w:r>
      <w:r w:rsidR="00C11C20" w:rsidRPr="00D65230">
        <w:rPr>
          <w:rFonts w:ascii="Arial" w:hAnsi="Arial" w:cs="Arial"/>
        </w:rPr>
        <w:t>renovation</w:t>
      </w:r>
      <w:r w:rsidRPr="00D65230">
        <w:rPr>
          <w:rFonts w:ascii="Arial" w:hAnsi="Arial" w:cs="Arial"/>
        </w:rPr>
        <w:t xml:space="preserve"> for owners, i.e. the projects “do not pay off” over the repayment of loans period.</w:t>
      </w:r>
    </w:p>
    <w:p w:rsidR="007C6820" w:rsidRPr="00D65230" w:rsidRDefault="007C6820" w:rsidP="007C6820">
      <w:pPr>
        <w:rPr>
          <w:rFonts w:ascii="Arial" w:hAnsi="Arial" w:cs="Arial"/>
        </w:rPr>
      </w:pPr>
      <w:r w:rsidRPr="00D65230">
        <w:rPr>
          <w:rFonts w:ascii="Arial" w:hAnsi="Arial" w:cs="Arial"/>
        </w:rPr>
        <w:t xml:space="preserve">The analysis of financial attractiveness of the </w:t>
      </w:r>
      <w:r w:rsidR="00C11C20" w:rsidRPr="00D65230">
        <w:rPr>
          <w:rFonts w:ascii="Arial" w:hAnsi="Arial" w:cs="Arial"/>
        </w:rPr>
        <w:t>renovation</w:t>
      </w:r>
      <w:r w:rsidRPr="00D65230">
        <w:rPr>
          <w:rFonts w:ascii="Arial" w:hAnsi="Arial" w:cs="Arial"/>
        </w:rPr>
        <w:t xml:space="preserve"> to the apartment owners and its dynamical analysis revealed an illogical economic connection between the financial attractiveness to apartment owners and the annual amount of the implemented projects in 2006-2016. The number of implemented </w:t>
      </w:r>
      <w:r w:rsidR="00C11C20" w:rsidRPr="00D65230">
        <w:rPr>
          <w:rFonts w:ascii="Arial" w:hAnsi="Arial" w:cs="Arial"/>
        </w:rPr>
        <w:t>renovation</w:t>
      </w:r>
      <w:r w:rsidRPr="00D65230">
        <w:rPr>
          <w:rFonts w:ascii="Arial" w:hAnsi="Arial" w:cs="Arial"/>
        </w:rPr>
        <w:t xml:space="preserve"> projects in 2009-2013 was reducing, although the financial attractiveness of projects increased; vice versa in the period of 2014-2016 – the number of implemented </w:t>
      </w:r>
      <w:r w:rsidR="00C11C20" w:rsidRPr="00D65230">
        <w:rPr>
          <w:rFonts w:ascii="Arial" w:hAnsi="Arial" w:cs="Arial"/>
        </w:rPr>
        <w:t>renovation</w:t>
      </w:r>
      <w:r w:rsidRPr="00D65230">
        <w:rPr>
          <w:rFonts w:ascii="Arial" w:hAnsi="Arial" w:cs="Arial"/>
        </w:rPr>
        <w:t xml:space="preserve"> projects increased despite significantly worsening indicators of financial attractiveness. These trends reveal that the importance of other (non-financial) factors to the demand of </w:t>
      </w:r>
      <w:r w:rsidR="00C11C20" w:rsidRPr="00D65230">
        <w:rPr>
          <w:rFonts w:ascii="Arial" w:hAnsi="Arial" w:cs="Arial"/>
        </w:rPr>
        <w:t>renovation</w:t>
      </w:r>
      <w:r w:rsidRPr="00D65230">
        <w:rPr>
          <w:rFonts w:ascii="Arial" w:hAnsi="Arial" w:cs="Arial"/>
        </w:rPr>
        <w:t xml:space="preserve"> is notably significant and in the period under analysis outweighed the effect of financial attractiveness. </w:t>
      </w:r>
    </w:p>
    <w:p w:rsidR="007C6820" w:rsidRPr="00D65230" w:rsidRDefault="007C6820" w:rsidP="007C6820">
      <w:pPr>
        <w:rPr>
          <w:rFonts w:ascii="Arial" w:hAnsi="Arial" w:cs="Arial"/>
        </w:rPr>
      </w:pPr>
      <w:r w:rsidRPr="00D65230">
        <w:rPr>
          <w:rFonts w:ascii="Arial" w:hAnsi="Arial" w:cs="Arial"/>
        </w:rPr>
        <w:t xml:space="preserve">On the basis of the quantitative public opinion survey results (ordered by BETA), the non-financial factors affecting self-determination of apartment owners regarding the decision to </w:t>
      </w:r>
      <w:r w:rsidRPr="00D65230">
        <w:rPr>
          <w:rFonts w:ascii="Arial" w:hAnsi="Arial" w:cs="Arial"/>
        </w:rPr>
        <w:lastRenderedPageBreak/>
        <w:t xml:space="preserve">implement the </w:t>
      </w:r>
      <w:r w:rsidR="00C11C20" w:rsidRPr="00D65230">
        <w:rPr>
          <w:rFonts w:ascii="Arial" w:hAnsi="Arial" w:cs="Arial"/>
        </w:rPr>
        <w:t>renovation</w:t>
      </w:r>
      <w:r w:rsidRPr="00D65230">
        <w:rPr>
          <w:rFonts w:ascii="Arial" w:hAnsi="Arial" w:cs="Arial"/>
        </w:rPr>
        <w:t xml:space="preserve"> may include an increase in visual attractiveness of multi-apartment and immediate surroundings; an improvement in quality of life (for instance, sound insulation, maintained temperature) and comfort; an increase of property value; a possibility for individual heat energy accounting; a reduction of accident rate, a reduction of maintenance costs; and other factors. </w:t>
      </w:r>
    </w:p>
    <w:p w:rsidR="007C6820" w:rsidRPr="00D65230" w:rsidRDefault="007C6820" w:rsidP="007C6820">
      <w:pPr>
        <w:rPr>
          <w:rFonts w:ascii="Arial" w:hAnsi="Arial" w:cs="Arial"/>
        </w:rPr>
      </w:pPr>
      <w:r w:rsidRPr="00D65230">
        <w:rPr>
          <w:rFonts w:ascii="Arial" w:hAnsi="Arial" w:cs="Arial"/>
        </w:rPr>
        <w:t xml:space="preserve">The analysis of financial attractiveness of the </w:t>
      </w:r>
      <w:r w:rsidR="00C11C20" w:rsidRPr="00D65230">
        <w:rPr>
          <w:rFonts w:ascii="Arial" w:hAnsi="Arial" w:cs="Arial"/>
        </w:rPr>
        <w:t>renovation</w:t>
      </w:r>
      <w:r w:rsidRPr="00D65230">
        <w:rPr>
          <w:rFonts w:ascii="Arial" w:hAnsi="Arial" w:cs="Arial"/>
        </w:rPr>
        <w:t xml:space="preserve"> also revealed significant dispersion of financial attractiveness – owners of particular multi-apartments express their consent to implement the </w:t>
      </w:r>
      <w:r w:rsidR="00C11C20" w:rsidRPr="00D65230">
        <w:rPr>
          <w:rFonts w:ascii="Arial" w:hAnsi="Arial" w:cs="Arial"/>
        </w:rPr>
        <w:t>renovation</w:t>
      </w:r>
      <w:r w:rsidRPr="00D65230">
        <w:rPr>
          <w:rFonts w:ascii="Arial" w:hAnsi="Arial" w:cs="Arial"/>
        </w:rPr>
        <w:t xml:space="preserve"> projects despite varied financial attractiveness. On the basis of the abovementioned insights, such differences may be caused by the non-financial factors – for instance, more attractive immediate surroundings, an improvement in quality of life and comfort may have different value to individual owners of apartments. Respectively, the economic factors (an increase of property value or a reduction of accident rate and a reduction of maintenance cost) may represent various value to the apartment owners too. </w:t>
      </w:r>
    </w:p>
    <w:p w:rsidR="007C6820" w:rsidRPr="00D65230" w:rsidRDefault="007C6820" w:rsidP="007C6820">
      <w:pPr>
        <w:rPr>
          <w:rFonts w:ascii="Arial" w:hAnsi="Arial" w:cs="Arial"/>
        </w:rPr>
      </w:pPr>
      <w:r w:rsidRPr="00D65230">
        <w:rPr>
          <w:rFonts w:ascii="Arial" w:hAnsi="Arial" w:cs="Arial"/>
        </w:rPr>
        <w:t xml:space="preserve">The results of the analysis lead to the following conclusions, which are important to determine the optimal non-repayable support for </w:t>
      </w:r>
      <w:r w:rsidR="00C11C20" w:rsidRPr="00D65230">
        <w:rPr>
          <w:rFonts w:ascii="Arial" w:hAnsi="Arial" w:cs="Arial"/>
        </w:rPr>
        <w:t>renovation</w:t>
      </w:r>
      <w:r w:rsidR="00291767" w:rsidRPr="00D65230">
        <w:rPr>
          <w:rFonts w:ascii="Arial" w:hAnsi="Arial" w:cs="Arial"/>
        </w:rPr>
        <w:t xml:space="preserve"> of multi-apartment buildings</w:t>
      </w:r>
      <w:r w:rsidRPr="00D65230">
        <w:rPr>
          <w:rFonts w:ascii="Arial" w:hAnsi="Arial" w:cs="Arial"/>
        </w:rPr>
        <w:t>:</w:t>
      </w:r>
    </w:p>
    <w:p w:rsidR="007C6820" w:rsidRPr="00D65230" w:rsidRDefault="007C6820" w:rsidP="007C6820">
      <w:pPr>
        <w:pStyle w:val="ListParagraph"/>
        <w:numPr>
          <w:ilvl w:val="0"/>
          <w:numId w:val="4"/>
        </w:numPr>
        <w:rPr>
          <w:rFonts w:ascii="Arial" w:hAnsi="Arial" w:cs="Arial"/>
        </w:rPr>
      </w:pPr>
      <w:r w:rsidRPr="00D65230">
        <w:rPr>
          <w:rFonts w:ascii="Arial" w:hAnsi="Arial" w:cs="Arial"/>
        </w:rPr>
        <w:t xml:space="preserve">There are multiple internal and external factors which affect the process of </w:t>
      </w:r>
      <w:r w:rsidR="00C11C20" w:rsidRPr="00D65230">
        <w:rPr>
          <w:rFonts w:ascii="Arial" w:hAnsi="Arial" w:cs="Arial"/>
        </w:rPr>
        <w:t>renovation</w:t>
      </w:r>
      <w:r w:rsidRPr="00D65230">
        <w:rPr>
          <w:rFonts w:ascii="Arial" w:hAnsi="Arial" w:cs="Arial"/>
        </w:rPr>
        <w:t xml:space="preserve"> and which must be taken into account when considering the optimal level of support (intensity) for the </w:t>
      </w:r>
      <w:r w:rsidR="00C11C20" w:rsidRPr="00D65230">
        <w:rPr>
          <w:rFonts w:ascii="Arial" w:hAnsi="Arial" w:cs="Arial"/>
        </w:rPr>
        <w:t>renovation</w:t>
      </w:r>
      <w:r w:rsidRPr="00D65230">
        <w:rPr>
          <w:rFonts w:ascii="Arial" w:hAnsi="Arial" w:cs="Arial"/>
        </w:rPr>
        <w:t xml:space="preserve"> of apartments, such as: the price of heating and </w:t>
      </w:r>
      <w:r w:rsidR="00C11C20" w:rsidRPr="00D65230">
        <w:rPr>
          <w:rFonts w:ascii="Arial" w:hAnsi="Arial" w:cs="Arial"/>
        </w:rPr>
        <w:t>renovation</w:t>
      </w:r>
      <w:r w:rsidRPr="00D65230">
        <w:rPr>
          <w:rFonts w:ascii="Arial" w:hAnsi="Arial" w:cs="Arial"/>
        </w:rPr>
        <w:t xml:space="preserve"> works, the disposable income of residents and other financial or non-financial factors. All of these factors alter in time (e.g. in recent years there is a noticeable trend of heat cost reduction) and among different projects (e.g. the disposable income of residents is higher in more populous cities than in rural urban areas). Respectively, the optimal support level (intensity) varies and is equally dynamic both in time and in specific moment when evaluating different projects. For this reason, in order to achieve effective use of the State budget, allocated for the financial support of the </w:t>
      </w:r>
      <w:r w:rsidR="00C11C20" w:rsidRPr="00D65230">
        <w:rPr>
          <w:rFonts w:ascii="Arial" w:hAnsi="Arial" w:cs="Arial"/>
        </w:rPr>
        <w:t>renovation</w:t>
      </w:r>
      <w:r w:rsidRPr="00D65230">
        <w:rPr>
          <w:rFonts w:ascii="Arial" w:hAnsi="Arial" w:cs="Arial"/>
        </w:rPr>
        <w:t xml:space="preserve"> projects, it is not expedient to apply equal support intensity to all projects.</w:t>
      </w:r>
    </w:p>
    <w:p w:rsidR="007C6820" w:rsidRPr="00D65230" w:rsidRDefault="007C6820" w:rsidP="007C6820">
      <w:pPr>
        <w:pStyle w:val="ListParagraph"/>
        <w:numPr>
          <w:ilvl w:val="0"/>
          <w:numId w:val="4"/>
        </w:numPr>
        <w:rPr>
          <w:rFonts w:ascii="Arial" w:hAnsi="Arial" w:cs="Arial"/>
        </w:rPr>
      </w:pPr>
      <w:r w:rsidRPr="00D65230">
        <w:rPr>
          <w:rFonts w:ascii="Arial" w:hAnsi="Arial" w:cs="Arial"/>
        </w:rPr>
        <w:t xml:space="preserve">Due to high significance of the non-financial factors, it is impossible to reliably and validly determine the “demand feature” on the basis of the economic evaluation method. For instance, it is impossible to validly and reliably assess how many </w:t>
      </w:r>
      <w:r w:rsidR="00C11C20" w:rsidRPr="00D65230">
        <w:rPr>
          <w:rFonts w:ascii="Arial" w:hAnsi="Arial" w:cs="Arial"/>
        </w:rPr>
        <w:t>renovation</w:t>
      </w:r>
      <w:r w:rsidRPr="00D65230">
        <w:rPr>
          <w:rFonts w:ascii="Arial" w:hAnsi="Arial" w:cs="Arial"/>
        </w:rPr>
        <w:t xml:space="preserve"> projects would be implemented at the different levels (intensity) of non-repayable support.</w:t>
      </w:r>
    </w:p>
    <w:p w:rsidR="007C6820" w:rsidRPr="00D65230" w:rsidRDefault="007C6820" w:rsidP="007C6820">
      <w:pPr>
        <w:pStyle w:val="ListParagraph"/>
        <w:numPr>
          <w:ilvl w:val="0"/>
          <w:numId w:val="4"/>
        </w:numPr>
        <w:rPr>
          <w:rFonts w:ascii="Arial" w:hAnsi="Arial" w:cs="Arial"/>
        </w:rPr>
      </w:pPr>
      <w:r w:rsidRPr="00D65230">
        <w:rPr>
          <w:rFonts w:ascii="Arial" w:hAnsi="Arial" w:cs="Arial"/>
        </w:rPr>
        <w:t>The soundness of the assessments that analyse the optimal level (intensity) of state support based on the “project pay-off in 20 year preferential loan period” clause is questionable. When the support is based under this clause, the non-financial and external factors affecting the project attractiveness are not evaluated appropriately, as there are no possibilit</w:t>
      </w:r>
      <w:r w:rsidR="00291767" w:rsidRPr="00D65230">
        <w:rPr>
          <w:rFonts w:ascii="Arial" w:hAnsi="Arial" w:cs="Arial"/>
        </w:rPr>
        <w:t>ies to reliably evaluate their e</w:t>
      </w:r>
      <w:r w:rsidRPr="00D65230">
        <w:rPr>
          <w:rFonts w:ascii="Arial" w:hAnsi="Arial" w:cs="Arial"/>
        </w:rPr>
        <w:t xml:space="preserve">ffect. While the clause that the computational project “pay-off period” is equal or lower than 20 years does not guarantee that apartments’ owners will give their consent to implement the </w:t>
      </w:r>
      <w:r w:rsidR="00C11C20" w:rsidRPr="00D65230">
        <w:rPr>
          <w:rFonts w:ascii="Arial" w:hAnsi="Arial" w:cs="Arial"/>
        </w:rPr>
        <w:t>renovation</w:t>
      </w:r>
      <w:r w:rsidRPr="00D65230">
        <w:rPr>
          <w:rFonts w:ascii="Arial" w:hAnsi="Arial" w:cs="Arial"/>
        </w:rPr>
        <w:t xml:space="preserve"> project.</w:t>
      </w:r>
    </w:p>
    <w:p w:rsidR="007C6820" w:rsidRPr="00D65230" w:rsidRDefault="007C6820" w:rsidP="007C6820">
      <w:pPr>
        <w:pStyle w:val="ListParagraph"/>
        <w:numPr>
          <w:ilvl w:val="0"/>
          <w:numId w:val="4"/>
        </w:numPr>
        <w:rPr>
          <w:rFonts w:ascii="Arial" w:hAnsi="Arial" w:cs="Arial"/>
        </w:rPr>
      </w:pPr>
      <w:r w:rsidRPr="00D65230">
        <w:rPr>
          <w:rFonts w:ascii="Arial" w:hAnsi="Arial" w:cs="Arial"/>
        </w:rPr>
        <w:t xml:space="preserve">The most effective method to determine the level (intensity) of state support would be set under market conditions, i.e. after the implementation of the projects’ competition principle and allowing the determination of the support level (intensity) to the “market”. Thus, the final beneficiaries (apartment owners) themselves would choose the level of support, while considering all actual factors (including the non-financial factors) that may be actual for themselves. The implementation of this principle is especially relevant in </w:t>
      </w:r>
      <w:r w:rsidRPr="00D65230">
        <w:rPr>
          <w:rFonts w:ascii="Arial" w:hAnsi="Arial" w:cs="Arial"/>
        </w:rPr>
        <w:lastRenderedPageBreak/>
        <w:t>the present case, when there is no possibility to evaluate the demand function qualitatively and reasonably.</w:t>
      </w:r>
    </w:p>
    <w:p w:rsidR="007C6820" w:rsidRPr="00D65230" w:rsidRDefault="007C6820" w:rsidP="007C6820">
      <w:pPr>
        <w:pStyle w:val="Heading4"/>
      </w:pPr>
      <w:r w:rsidRPr="00D65230">
        <w:t>The principles for improving the State support</w:t>
      </w:r>
      <w:r w:rsidR="00C11C20" w:rsidRPr="00D65230">
        <w:t xml:space="preserve"> model</w:t>
      </w:r>
      <w:r w:rsidRPr="00D65230">
        <w:t xml:space="preserve"> </w:t>
      </w:r>
    </w:p>
    <w:p w:rsidR="007C6820" w:rsidRPr="00D65230" w:rsidRDefault="007C6820" w:rsidP="007C6820">
      <w:pPr>
        <w:rPr>
          <w:rFonts w:ascii="Arial" w:hAnsi="Arial" w:cs="Arial"/>
        </w:rPr>
      </w:pPr>
      <w:r w:rsidRPr="00D65230">
        <w:rPr>
          <w:rFonts w:ascii="Arial" w:hAnsi="Arial" w:cs="Arial"/>
        </w:rPr>
        <w:t xml:space="preserve">Assessing the acquired experience, market conditions, volumes of the </w:t>
      </w:r>
      <w:r w:rsidR="00C11C20" w:rsidRPr="00D65230">
        <w:rPr>
          <w:rFonts w:ascii="Arial" w:hAnsi="Arial" w:cs="Arial"/>
        </w:rPr>
        <w:t>renovation</w:t>
      </w:r>
      <w:r w:rsidRPr="00D65230">
        <w:rPr>
          <w:rFonts w:ascii="Arial" w:hAnsi="Arial" w:cs="Arial"/>
        </w:rPr>
        <w:t xml:space="preserve"> projects and the effect to the State finances, including conclusions of the abovementioned analysis, the following principles of effective State support </w:t>
      </w:r>
      <w:r w:rsidR="00C11C20" w:rsidRPr="00D65230">
        <w:rPr>
          <w:rFonts w:ascii="Arial" w:hAnsi="Arial" w:cs="Arial"/>
        </w:rPr>
        <w:t xml:space="preserve">provided </w:t>
      </w:r>
      <w:r w:rsidRPr="00D65230">
        <w:rPr>
          <w:rFonts w:ascii="Arial" w:hAnsi="Arial" w:cs="Arial"/>
        </w:rPr>
        <w:t xml:space="preserve">to the multi-apartment </w:t>
      </w:r>
      <w:r w:rsidR="00C11C20" w:rsidRPr="00D65230">
        <w:rPr>
          <w:rFonts w:ascii="Arial" w:hAnsi="Arial" w:cs="Arial"/>
        </w:rPr>
        <w:t>renovation</w:t>
      </w:r>
      <w:r w:rsidRPr="00D65230">
        <w:rPr>
          <w:rFonts w:ascii="Arial" w:hAnsi="Arial" w:cs="Arial"/>
        </w:rPr>
        <w:t xml:space="preserve"> </w:t>
      </w:r>
      <w:r w:rsidR="00C11C20" w:rsidRPr="00D65230">
        <w:rPr>
          <w:rFonts w:ascii="Arial" w:hAnsi="Arial" w:cs="Arial"/>
        </w:rPr>
        <w:t>model can</w:t>
      </w:r>
      <w:r w:rsidRPr="00D65230">
        <w:rPr>
          <w:rFonts w:ascii="Arial" w:hAnsi="Arial" w:cs="Arial"/>
        </w:rPr>
        <w:t xml:space="preserve"> be distinguished:</w:t>
      </w:r>
    </w:p>
    <w:p w:rsidR="007C6820" w:rsidRPr="00D65230" w:rsidRDefault="007C6820" w:rsidP="007C6820">
      <w:pPr>
        <w:pStyle w:val="Tablebulletsub"/>
        <w:numPr>
          <w:ilvl w:val="0"/>
          <w:numId w:val="1"/>
        </w:numPr>
        <w:ind w:left="313" w:hanging="284"/>
        <w:rPr>
          <w:rFonts w:ascii="Arial" w:hAnsi="Arial" w:cs="Arial"/>
          <w:b/>
        </w:rPr>
      </w:pPr>
      <w:r w:rsidRPr="00D65230">
        <w:rPr>
          <w:rFonts w:ascii="Arial" w:hAnsi="Arial" w:cs="Arial"/>
          <w:b/>
        </w:rPr>
        <w:t>“Value for money”</w:t>
      </w:r>
      <w:r w:rsidRPr="00D65230">
        <w:rPr>
          <w:rFonts w:ascii="Arial" w:hAnsi="Arial" w:cs="Arial"/>
        </w:rPr>
        <w:t xml:space="preserve"> – the support is focused at the increase of energy efficiency and is based on the value for money principle, i.e. aiming at the highest potential energy saving for each EUR 1 of the granted support.</w:t>
      </w:r>
    </w:p>
    <w:p w:rsidR="007C6820" w:rsidRPr="00D65230" w:rsidRDefault="007C6820" w:rsidP="007C6820">
      <w:pPr>
        <w:pStyle w:val="Tablebulletsub"/>
        <w:numPr>
          <w:ilvl w:val="0"/>
          <w:numId w:val="1"/>
        </w:numPr>
        <w:ind w:left="313" w:hanging="284"/>
        <w:rPr>
          <w:rFonts w:ascii="Arial" w:hAnsi="Arial" w:cs="Arial"/>
          <w:b/>
        </w:rPr>
      </w:pPr>
      <w:r w:rsidRPr="00D65230">
        <w:rPr>
          <w:rFonts w:ascii="Arial" w:hAnsi="Arial" w:cs="Arial"/>
          <w:b/>
        </w:rPr>
        <w:t xml:space="preserve">Differentiated intensity </w:t>
      </w:r>
      <w:r w:rsidRPr="00D65230">
        <w:rPr>
          <w:rFonts w:ascii="Arial" w:hAnsi="Arial" w:cs="Arial"/>
        </w:rPr>
        <w:t>– the support is differentiated, i.e. there is no need to apply the same intensity of support to all projects.</w:t>
      </w:r>
    </w:p>
    <w:p w:rsidR="007C6820" w:rsidRPr="00D65230" w:rsidRDefault="007C6820" w:rsidP="007C6820">
      <w:pPr>
        <w:pStyle w:val="Tablebulletsub"/>
        <w:numPr>
          <w:ilvl w:val="0"/>
          <w:numId w:val="1"/>
        </w:numPr>
        <w:ind w:left="313" w:hanging="284"/>
        <w:rPr>
          <w:rFonts w:ascii="Arial" w:hAnsi="Arial" w:cs="Arial"/>
          <w:b/>
        </w:rPr>
      </w:pPr>
      <w:r w:rsidRPr="00D65230">
        <w:rPr>
          <w:rFonts w:ascii="Arial" w:hAnsi="Arial" w:cs="Arial"/>
          <w:b/>
        </w:rPr>
        <w:t xml:space="preserve">Equality, non-discrimination and transparency </w:t>
      </w:r>
      <w:r w:rsidRPr="00D65230">
        <w:rPr>
          <w:rFonts w:ascii="Arial" w:hAnsi="Arial" w:cs="Arial"/>
        </w:rPr>
        <w:t>– the model of support is based on the principles of equality, non-discrimination and transparency.</w:t>
      </w:r>
    </w:p>
    <w:p w:rsidR="007C6820" w:rsidRPr="00D65230" w:rsidRDefault="007C6820" w:rsidP="007C6820">
      <w:pPr>
        <w:pStyle w:val="Tablebulletsub"/>
        <w:numPr>
          <w:ilvl w:val="0"/>
          <w:numId w:val="1"/>
        </w:numPr>
        <w:ind w:left="313" w:hanging="284"/>
        <w:rPr>
          <w:rFonts w:ascii="Arial" w:hAnsi="Arial" w:cs="Arial"/>
          <w:b/>
        </w:rPr>
      </w:pPr>
      <w:r w:rsidRPr="00D65230">
        <w:rPr>
          <w:rFonts w:ascii="Arial" w:hAnsi="Arial" w:cs="Arial"/>
          <w:b/>
        </w:rPr>
        <w:t xml:space="preserve">Coordination of </w:t>
      </w:r>
      <w:r w:rsidR="000700E6" w:rsidRPr="00D65230">
        <w:rPr>
          <w:rFonts w:ascii="Arial" w:hAnsi="Arial" w:cs="Arial"/>
          <w:b/>
        </w:rPr>
        <w:t>calls for project applications with available financing</w:t>
      </w:r>
      <w:r w:rsidRPr="00D65230">
        <w:rPr>
          <w:rFonts w:ascii="Arial" w:hAnsi="Arial" w:cs="Arial"/>
          <w:b/>
        </w:rPr>
        <w:t xml:space="preserve"> </w:t>
      </w:r>
      <w:r w:rsidRPr="00D65230">
        <w:rPr>
          <w:rFonts w:ascii="Arial" w:hAnsi="Arial" w:cs="Arial"/>
        </w:rPr>
        <w:t>– the implementation of support is being harmonized between financing (funds allocated for non-repayable support and preferential loans), planning and implementation.</w:t>
      </w:r>
    </w:p>
    <w:p w:rsidR="007C6820" w:rsidRPr="00D65230" w:rsidRDefault="007C6820" w:rsidP="007C6820">
      <w:pPr>
        <w:pStyle w:val="Tablebulletsub"/>
        <w:numPr>
          <w:ilvl w:val="0"/>
          <w:numId w:val="1"/>
        </w:numPr>
        <w:ind w:left="313" w:hanging="284"/>
        <w:rPr>
          <w:rFonts w:ascii="Arial" w:hAnsi="Arial" w:cs="Arial"/>
          <w:b/>
        </w:rPr>
      </w:pPr>
      <w:r w:rsidRPr="00D65230">
        <w:rPr>
          <w:rFonts w:ascii="Arial" w:hAnsi="Arial" w:cs="Arial"/>
          <w:b/>
        </w:rPr>
        <w:t xml:space="preserve">Adequate attention to </w:t>
      </w:r>
      <w:r w:rsidR="000700E6" w:rsidRPr="00D65230">
        <w:rPr>
          <w:rFonts w:ascii="Arial" w:hAnsi="Arial" w:cs="Arial"/>
          <w:b/>
        </w:rPr>
        <w:t>PR</w:t>
      </w:r>
      <w:r w:rsidRPr="00D65230">
        <w:rPr>
          <w:rFonts w:ascii="Arial" w:hAnsi="Arial" w:cs="Arial"/>
          <w:b/>
        </w:rPr>
        <w:t xml:space="preserve"> and consulting </w:t>
      </w:r>
      <w:r w:rsidRPr="00D65230">
        <w:rPr>
          <w:rFonts w:ascii="Arial" w:hAnsi="Arial" w:cs="Arial"/>
        </w:rPr>
        <w:t xml:space="preserve">– sufficient attention is dedicated to publicity of the model, owners of multi-apartments, foremen of communities, administrators and other interested parties. </w:t>
      </w:r>
    </w:p>
    <w:p w:rsidR="007C6820" w:rsidRPr="00D65230" w:rsidRDefault="007C6820" w:rsidP="007C6820">
      <w:pPr>
        <w:rPr>
          <w:rFonts w:ascii="Arial" w:hAnsi="Arial" w:cs="Arial"/>
        </w:rPr>
      </w:pPr>
      <w:r w:rsidRPr="00D65230">
        <w:rPr>
          <w:rFonts w:ascii="Arial" w:hAnsi="Arial" w:cs="Arial"/>
        </w:rPr>
        <w:t xml:space="preserve">The implementation of those principles in the long term would allow for a most effective utilization of public funds in achieving the targeted goals of </w:t>
      </w:r>
      <w:r w:rsidR="00C11C20" w:rsidRPr="00D65230">
        <w:rPr>
          <w:rFonts w:ascii="Arial" w:hAnsi="Arial" w:cs="Arial"/>
        </w:rPr>
        <w:t>renovation</w:t>
      </w:r>
      <w:r w:rsidRPr="00D65230">
        <w:rPr>
          <w:rFonts w:ascii="Arial" w:hAnsi="Arial" w:cs="Arial"/>
        </w:rPr>
        <w:t xml:space="preserve"> of multi-apartment buildings. A possible scenario for the implementation of the above principles is described in Section 6.3.2 of the Report.</w:t>
      </w:r>
      <w:r w:rsidR="00086206" w:rsidRPr="00D65230">
        <w:rPr>
          <w:rFonts w:ascii="Arial" w:hAnsi="Arial" w:cs="Arial"/>
        </w:rPr>
        <w:t xml:space="preserve"> </w:t>
      </w:r>
    </w:p>
    <w:p w:rsidR="00F705E3" w:rsidRDefault="007C6820" w:rsidP="007C6820">
      <w:pPr>
        <w:rPr>
          <w:rFonts w:ascii="Arial" w:hAnsi="Arial" w:cs="Arial"/>
        </w:rPr>
      </w:pPr>
      <w:r w:rsidRPr="00D65230">
        <w:rPr>
          <w:rFonts w:ascii="Arial" w:hAnsi="Arial" w:cs="Arial"/>
        </w:rPr>
        <w:t xml:space="preserve">The evaluation examined the four additional alternatives for the state support model. During such evaluation the representatives of FM, AM, VIPA and EIB looked at the attractiveness of the alternatives to the owners of apartments, the state and to other participants of </w:t>
      </w:r>
      <w:r w:rsidR="00C11C20" w:rsidRPr="00D65230">
        <w:rPr>
          <w:rFonts w:ascii="Arial" w:hAnsi="Arial" w:cs="Arial"/>
        </w:rPr>
        <w:t>renovation</w:t>
      </w:r>
      <w:r w:rsidRPr="00D65230">
        <w:rPr>
          <w:rFonts w:ascii="Arial" w:hAnsi="Arial" w:cs="Arial"/>
        </w:rPr>
        <w:t xml:space="preserve"> </w:t>
      </w:r>
      <w:r w:rsidR="009E58A9" w:rsidRPr="00D65230">
        <w:rPr>
          <w:rFonts w:ascii="Arial" w:hAnsi="Arial" w:cs="Arial"/>
        </w:rPr>
        <w:t xml:space="preserve">process </w:t>
      </w:r>
      <w:r w:rsidRPr="00D65230">
        <w:rPr>
          <w:rFonts w:ascii="Arial" w:hAnsi="Arial" w:cs="Arial"/>
        </w:rPr>
        <w:t xml:space="preserve">by applying a multi-criteria decision analysis. The multi-criteria decision method and the economic analysis have determined the most attractive alternative to the participants of </w:t>
      </w:r>
      <w:r w:rsidR="00C11C20" w:rsidRPr="00D65230">
        <w:rPr>
          <w:rFonts w:ascii="Arial" w:hAnsi="Arial" w:cs="Arial"/>
        </w:rPr>
        <w:t>renovation</w:t>
      </w:r>
      <w:r w:rsidRPr="00D65230">
        <w:rPr>
          <w:rFonts w:ascii="Arial" w:hAnsi="Arial" w:cs="Arial"/>
        </w:rPr>
        <w:t xml:space="preserve">. For the additional evaluation description, please see section 6.4 of the Report. </w:t>
      </w:r>
    </w:p>
    <w:p w:rsidR="00F705E3" w:rsidRDefault="00F705E3">
      <w:pPr>
        <w:spacing w:before="0" w:after="160" w:line="259" w:lineRule="auto"/>
        <w:jc w:val="left"/>
        <w:rPr>
          <w:rFonts w:ascii="Arial" w:hAnsi="Arial" w:cs="Arial"/>
        </w:rPr>
      </w:pPr>
      <w:r>
        <w:rPr>
          <w:rFonts w:ascii="Arial" w:hAnsi="Arial" w:cs="Arial"/>
        </w:rPr>
        <w:br w:type="page"/>
      </w:r>
    </w:p>
    <w:p w:rsidR="007C6820" w:rsidRPr="00D65230" w:rsidRDefault="007C6820" w:rsidP="007C6820">
      <w:pPr>
        <w:pStyle w:val="Heading4"/>
      </w:pPr>
      <w:r w:rsidRPr="00D65230">
        <w:lastRenderedPageBreak/>
        <w:t>Recommendations</w:t>
      </w:r>
    </w:p>
    <w:p w:rsidR="007C6820" w:rsidRPr="00D65230" w:rsidRDefault="007C6820" w:rsidP="007C6820">
      <w:pPr>
        <w:rPr>
          <w:rFonts w:ascii="Arial" w:hAnsi="Arial" w:cs="Arial"/>
        </w:rPr>
      </w:pPr>
      <w:r w:rsidRPr="00D65230">
        <w:rPr>
          <w:rFonts w:ascii="Arial" w:hAnsi="Arial" w:cs="Arial"/>
        </w:rPr>
        <w:t>The table below provides strategic suggestions and recommendations.</w:t>
      </w:r>
      <w:r w:rsidR="00086206" w:rsidRPr="00D65230">
        <w:rPr>
          <w:rFonts w:ascii="Arial" w:hAnsi="Arial" w:cs="Arial"/>
        </w:rPr>
        <w:t xml:space="preserve"> </w:t>
      </w:r>
    </w:p>
    <w:tbl>
      <w:tblPr>
        <w:tblStyle w:val="TableGrid"/>
        <w:tblW w:w="5000" w:type="pct"/>
        <w:tblBorders>
          <w:top w:val="single" w:sz="4" w:space="0" w:color="00338D"/>
          <w:left w:val="single" w:sz="4" w:space="0" w:color="00338D"/>
          <w:bottom w:val="single" w:sz="4" w:space="0" w:color="00338D"/>
          <w:right w:val="single" w:sz="4" w:space="0" w:color="00338D"/>
          <w:insideH w:val="single" w:sz="4" w:space="0" w:color="00338D"/>
          <w:insideV w:val="single" w:sz="4" w:space="0" w:color="00338D"/>
        </w:tblBorders>
        <w:tblLayout w:type="fixed"/>
        <w:tblLook w:val="04A0" w:firstRow="1" w:lastRow="0" w:firstColumn="1" w:lastColumn="0" w:noHBand="0" w:noVBand="1"/>
      </w:tblPr>
      <w:tblGrid>
        <w:gridCol w:w="562"/>
        <w:gridCol w:w="3686"/>
        <w:gridCol w:w="3969"/>
        <w:gridCol w:w="1411"/>
      </w:tblGrid>
      <w:tr w:rsidR="007C6820" w:rsidRPr="00D65230" w:rsidTr="00E67AF3">
        <w:trPr>
          <w:trHeight w:val="170"/>
        </w:trPr>
        <w:tc>
          <w:tcPr>
            <w:tcW w:w="562" w:type="dxa"/>
            <w:tcBorders>
              <w:right w:val="single" w:sz="4" w:space="0" w:color="D9D9D9" w:themeColor="background1" w:themeShade="D9"/>
            </w:tcBorders>
            <w:shd w:val="clear" w:color="auto" w:fill="00338D"/>
            <w:vAlign w:val="center"/>
          </w:tcPr>
          <w:p w:rsidR="007C6820" w:rsidRPr="00D65230" w:rsidRDefault="007C6820" w:rsidP="00744760">
            <w:pPr>
              <w:spacing w:before="0" w:after="0"/>
              <w:jc w:val="center"/>
              <w:rPr>
                <w:rFonts w:ascii="Arial" w:hAnsi="Arial" w:cs="Arial"/>
                <w:b/>
                <w:color w:val="FFFFFF" w:themeColor="background1"/>
                <w:sz w:val="18"/>
              </w:rPr>
            </w:pPr>
            <w:r w:rsidRPr="00D65230">
              <w:rPr>
                <w:rFonts w:ascii="Arial" w:hAnsi="Arial" w:cs="Arial"/>
                <w:b/>
                <w:color w:val="FFFFFF" w:themeColor="background1"/>
                <w:sz w:val="18"/>
              </w:rPr>
              <w:t>No.</w:t>
            </w:r>
          </w:p>
        </w:tc>
        <w:tc>
          <w:tcPr>
            <w:tcW w:w="3686" w:type="dxa"/>
            <w:tcBorders>
              <w:right w:val="single" w:sz="4" w:space="0" w:color="D9D9D9" w:themeColor="background1" w:themeShade="D9"/>
            </w:tcBorders>
            <w:shd w:val="clear" w:color="auto" w:fill="00338D"/>
            <w:vAlign w:val="center"/>
          </w:tcPr>
          <w:p w:rsidR="007C6820" w:rsidRPr="00D65230" w:rsidRDefault="007C6820" w:rsidP="00744760">
            <w:pPr>
              <w:spacing w:before="0" w:after="0"/>
              <w:jc w:val="center"/>
              <w:rPr>
                <w:rFonts w:ascii="Arial" w:hAnsi="Arial" w:cs="Arial"/>
                <w:b/>
                <w:color w:val="FFFFFF" w:themeColor="background1"/>
                <w:sz w:val="18"/>
              </w:rPr>
            </w:pPr>
            <w:r w:rsidRPr="00D65230">
              <w:rPr>
                <w:rFonts w:ascii="Arial" w:hAnsi="Arial" w:cs="Arial"/>
                <w:b/>
                <w:color w:val="FFFFFF" w:themeColor="background1"/>
                <w:sz w:val="18"/>
              </w:rPr>
              <w:t>Problem or risk</w:t>
            </w:r>
          </w:p>
        </w:tc>
        <w:tc>
          <w:tcPr>
            <w:tcW w:w="3969" w:type="dxa"/>
            <w:tcBorders>
              <w:right w:val="single" w:sz="4" w:space="0" w:color="D9D9D9" w:themeColor="background1" w:themeShade="D9"/>
            </w:tcBorders>
            <w:shd w:val="clear" w:color="auto" w:fill="00338D"/>
            <w:vAlign w:val="center"/>
          </w:tcPr>
          <w:p w:rsidR="007C6820" w:rsidRPr="00D65230" w:rsidRDefault="007C6820" w:rsidP="00744760">
            <w:pPr>
              <w:spacing w:before="0" w:after="0"/>
              <w:jc w:val="center"/>
              <w:rPr>
                <w:rFonts w:ascii="Arial" w:hAnsi="Arial" w:cs="Arial"/>
                <w:b/>
                <w:color w:val="FFFFFF" w:themeColor="background1"/>
                <w:sz w:val="18"/>
              </w:rPr>
            </w:pPr>
            <w:r w:rsidRPr="00D65230">
              <w:rPr>
                <w:rFonts w:ascii="Arial" w:hAnsi="Arial" w:cs="Arial"/>
                <w:b/>
                <w:color w:val="FFFFFF" w:themeColor="background1"/>
                <w:sz w:val="18"/>
              </w:rPr>
              <w:t>Recommendation</w:t>
            </w:r>
          </w:p>
        </w:tc>
        <w:tc>
          <w:tcPr>
            <w:tcW w:w="1411" w:type="dxa"/>
            <w:tcBorders>
              <w:right w:val="single" w:sz="4" w:space="0" w:color="00338D"/>
            </w:tcBorders>
            <w:shd w:val="clear" w:color="auto" w:fill="00338D"/>
            <w:vAlign w:val="center"/>
          </w:tcPr>
          <w:p w:rsidR="007C6820" w:rsidRPr="00D65230" w:rsidRDefault="007C6820" w:rsidP="00744760">
            <w:pPr>
              <w:spacing w:before="0" w:after="0"/>
              <w:jc w:val="center"/>
              <w:rPr>
                <w:rFonts w:ascii="Arial" w:hAnsi="Arial" w:cs="Arial"/>
                <w:b/>
                <w:color w:val="FFFFFF" w:themeColor="background1"/>
                <w:sz w:val="18"/>
              </w:rPr>
            </w:pPr>
            <w:r w:rsidRPr="00D65230">
              <w:rPr>
                <w:rFonts w:ascii="Arial" w:hAnsi="Arial" w:cs="Arial"/>
                <w:b/>
                <w:color w:val="FFFFFF" w:themeColor="background1"/>
                <w:sz w:val="18"/>
              </w:rPr>
              <w:t>Responsible authority</w:t>
            </w:r>
          </w:p>
        </w:tc>
      </w:tr>
      <w:tr w:rsidR="007C6820" w:rsidRPr="00D65230" w:rsidTr="006D12BF">
        <w:tc>
          <w:tcPr>
            <w:tcW w:w="9628" w:type="dxa"/>
            <w:gridSpan w:val="4"/>
            <w:tcBorders>
              <w:right w:val="single" w:sz="4" w:space="0" w:color="00338D"/>
            </w:tcBorders>
            <w:shd w:val="clear" w:color="auto" w:fill="808080" w:themeFill="background1" w:themeFillShade="80"/>
            <w:vAlign w:val="center"/>
          </w:tcPr>
          <w:p w:rsidR="007C6820" w:rsidRPr="00D65230" w:rsidRDefault="007C6820" w:rsidP="00744760">
            <w:pPr>
              <w:spacing w:before="0" w:after="0"/>
              <w:jc w:val="center"/>
              <w:rPr>
                <w:rFonts w:ascii="Arial" w:hAnsi="Arial" w:cs="Arial"/>
                <w:b/>
                <w:color w:val="FFFFFF" w:themeColor="background1"/>
                <w:sz w:val="18"/>
                <w:szCs w:val="18"/>
              </w:rPr>
            </w:pPr>
            <w:r w:rsidRPr="00D65230">
              <w:rPr>
                <w:rFonts w:ascii="Arial" w:hAnsi="Arial" w:cs="Arial"/>
                <w:b/>
                <w:color w:val="FFFFFF" w:themeColor="background1"/>
                <w:sz w:val="20"/>
                <w:szCs w:val="18"/>
              </w:rPr>
              <w:t>Strategic suggestions („know this“)</w:t>
            </w: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1.</w:t>
            </w:r>
          </w:p>
        </w:tc>
        <w:tc>
          <w:tcPr>
            <w:tcW w:w="3686" w:type="dxa"/>
          </w:tcPr>
          <w:p w:rsidR="007C6820" w:rsidRPr="00D65230" w:rsidRDefault="007C6820" w:rsidP="00744760">
            <w:pPr>
              <w:rPr>
                <w:rFonts w:ascii="Arial" w:hAnsi="Arial" w:cs="Arial"/>
                <w:sz w:val="19"/>
                <w:szCs w:val="19"/>
                <w:highlight w:val="darkMagenta"/>
              </w:rPr>
            </w:pPr>
            <w:r w:rsidRPr="00D65230">
              <w:rPr>
                <w:rFonts w:ascii="Arial" w:hAnsi="Arial" w:cs="Arial"/>
                <w:sz w:val="19"/>
                <w:szCs w:val="19"/>
              </w:rPr>
              <w:t>The actual energy savings are usually lower than computational; the competition is based only on the principle of the lowest price may not secure work quality.</w:t>
            </w:r>
          </w:p>
        </w:tc>
        <w:tc>
          <w:tcPr>
            <w:tcW w:w="3969" w:type="dxa"/>
          </w:tcPr>
          <w:p w:rsidR="007C6820" w:rsidRPr="00D65230" w:rsidRDefault="007C6820" w:rsidP="00744760">
            <w:pPr>
              <w:rPr>
                <w:rFonts w:ascii="Arial" w:hAnsi="Arial" w:cs="Arial"/>
                <w:sz w:val="19"/>
                <w:szCs w:val="19"/>
                <w:highlight w:val="darkMagenta"/>
              </w:rPr>
            </w:pPr>
            <w:r w:rsidRPr="00D65230">
              <w:rPr>
                <w:rFonts w:ascii="Arial" w:hAnsi="Arial" w:cs="Arial"/>
                <w:sz w:val="19"/>
                <w:szCs w:val="19"/>
              </w:rPr>
              <w:t>It should be considered, or further guidelines adopted, addressing the need to purchase the renovation works under the criterion of the most economically expedient tender proposal, while referring to the proposed energy saving objective as one of the comprising element of said principle (i.e. the criterion of the most economically expedient tender proposal).</w:t>
            </w:r>
          </w:p>
        </w:tc>
        <w:tc>
          <w:tcPr>
            <w:tcW w:w="1411" w:type="dxa"/>
            <w:shd w:val="clear" w:color="auto" w:fill="D9D9D9" w:themeFill="background1" w:themeFillShade="D9"/>
            <w:vAlign w:val="center"/>
          </w:tcPr>
          <w:p w:rsidR="007C6820" w:rsidRPr="00D65230" w:rsidRDefault="007C6820" w:rsidP="00744760">
            <w:pPr>
              <w:jc w:val="center"/>
              <w:rPr>
                <w:rFonts w:ascii="Arial" w:hAnsi="Arial" w:cs="Arial"/>
                <w:sz w:val="19"/>
                <w:szCs w:val="19"/>
                <w:highlight w:val="darkMagenta"/>
              </w:rPr>
            </w:pP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2.</w:t>
            </w:r>
          </w:p>
        </w:tc>
        <w:tc>
          <w:tcPr>
            <w:tcW w:w="3686" w:type="dxa"/>
          </w:tcPr>
          <w:p w:rsidR="007C6820" w:rsidRPr="00D65230" w:rsidRDefault="007C6820" w:rsidP="00744760">
            <w:pPr>
              <w:rPr>
                <w:rFonts w:ascii="Arial" w:hAnsi="Arial" w:cs="Arial"/>
                <w:sz w:val="19"/>
                <w:szCs w:val="19"/>
              </w:rPr>
            </w:pPr>
            <w:r w:rsidRPr="00D65230">
              <w:rPr>
                <w:rFonts w:ascii="Arial" w:hAnsi="Arial" w:cs="Arial"/>
                <w:color w:val="000000" w:themeColor="text1"/>
                <w:sz w:val="19"/>
                <w:szCs w:val="19"/>
              </w:rPr>
              <w:t>In the event of the bankruptcy of the administrator, it is not ensured that the funds collected from the final recipients (which are held in separated administrator’s account) will not be claimed by the administrator’s creditors.</w:t>
            </w:r>
          </w:p>
        </w:tc>
        <w:tc>
          <w:tcPr>
            <w:tcW w:w="3969" w:type="dxa"/>
          </w:tcPr>
          <w:p w:rsidR="007C6820" w:rsidRPr="00D65230" w:rsidRDefault="007C6820" w:rsidP="00744760">
            <w:pPr>
              <w:rPr>
                <w:rFonts w:ascii="Arial" w:hAnsi="Arial" w:cs="Arial"/>
                <w:sz w:val="19"/>
                <w:szCs w:val="19"/>
              </w:rPr>
            </w:pPr>
            <w:r w:rsidRPr="00D65230">
              <w:rPr>
                <w:rFonts w:ascii="Arial" w:hAnsi="Arial" w:cs="Arial"/>
                <w:color w:val="000000" w:themeColor="text1"/>
                <w:sz w:val="19"/>
                <w:szCs w:val="19"/>
              </w:rPr>
              <w:t>A possibility to reconcile the specific provisions in the legislation of the bankruptcy procedures should be considered, indicating that the funds, collected from the final recipients and held in separated account, are prohibited to be claimed by the administrator’s creditors.</w:t>
            </w:r>
          </w:p>
        </w:tc>
        <w:tc>
          <w:tcPr>
            <w:tcW w:w="1411" w:type="dxa"/>
            <w:shd w:val="clear" w:color="auto" w:fill="D9D9D9" w:themeFill="background1" w:themeFillShade="D9"/>
            <w:vAlign w:val="center"/>
          </w:tcPr>
          <w:p w:rsidR="007C6820" w:rsidRPr="00D65230" w:rsidRDefault="007C6820" w:rsidP="00744760">
            <w:pPr>
              <w:jc w:val="center"/>
              <w:rPr>
                <w:rFonts w:ascii="Arial" w:hAnsi="Arial" w:cs="Arial"/>
                <w:sz w:val="19"/>
                <w:szCs w:val="19"/>
                <w:highlight w:val="darkMagenta"/>
              </w:rPr>
            </w:pP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3.</w:t>
            </w:r>
          </w:p>
        </w:tc>
        <w:tc>
          <w:tcPr>
            <w:tcW w:w="3686" w:type="dxa"/>
          </w:tcPr>
          <w:p w:rsidR="007C6820" w:rsidRPr="00D65230" w:rsidRDefault="007C6820" w:rsidP="00744760">
            <w:pPr>
              <w:rPr>
                <w:rFonts w:ascii="Arial" w:hAnsi="Arial" w:cs="Arial"/>
                <w:color w:val="000000" w:themeColor="text1"/>
                <w:sz w:val="19"/>
                <w:szCs w:val="19"/>
              </w:rPr>
            </w:pPr>
            <w:r w:rsidRPr="00D65230">
              <w:rPr>
                <w:rFonts w:ascii="Arial" w:hAnsi="Arial" w:cs="Arial"/>
                <w:color w:val="000000" w:themeColor="text1"/>
                <w:sz w:val="19"/>
                <w:szCs w:val="19"/>
              </w:rPr>
              <w:t>Call for applications are not reconciled with the available funding for the financing. For this reason, in recent years several instances occurred when confirmed projects were stopped due to lack of funding. In such instances the projects were being stopped even when construction works had already been purchased by the final recipients.</w:t>
            </w:r>
          </w:p>
        </w:tc>
        <w:tc>
          <w:tcPr>
            <w:tcW w:w="3969" w:type="dxa"/>
          </w:tcPr>
          <w:p w:rsidR="007C6820" w:rsidRPr="00D65230" w:rsidRDefault="007C6820" w:rsidP="00744760">
            <w:pPr>
              <w:rPr>
                <w:rFonts w:ascii="Arial" w:hAnsi="Arial" w:cs="Arial"/>
                <w:color w:val="000000" w:themeColor="text1"/>
                <w:sz w:val="19"/>
                <w:szCs w:val="19"/>
              </w:rPr>
            </w:pPr>
            <w:r w:rsidRPr="00D65230">
              <w:rPr>
                <w:rFonts w:ascii="Arial" w:hAnsi="Arial" w:cs="Arial"/>
                <w:color w:val="000000" w:themeColor="text1"/>
                <w:sz w:val="19"/>
                <w:szCs w:val="19"/>
              </w:rPr>
              <w:t>Calls for applications should be reconciled with the available funding; calls for applications should be announced only when the State budget funds are available both for granting of the non-repayable support as well as preferential loans granted via financial intermediaries.</w:t>
            </w:r>
          </w:p>
        </w:tc>
        <w:tc>
          <w:tcPr>
            <w:tcW w:w="1411" w:type="dxa"/>
            <w:shd w:val="clear" w:color="auto" w:fill="D9D9D9" w:themeFill="background1" w:themeFillShade="D9"/>
            <w:vAlign w:val="center"/>
          </w:tcPr>
          <w:p w:rsidR="007C6820" w:rsidRPr="00D65230" w:rsidRDefault="007C6820" w:rsidP="00744760">
            <w:pPr>
              <w:jc w:val="center"/>
              <w:rPr>
                <w:rFonts w:ascii="Arial" w:hAnsi="Arial" w:cs="Arial"/>
                <w:color w:val="000000" w:themeColor="text1"/>
                <w:sz w:val="19"/>
                <w:szCs w:val="19"/>
                <w:highlight w:val="darkBlue"/>
              </w:rPr>
            </w:pP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4.</w:t>
            </w:r>
          </w:p>
        </w:tc>
        <w:tc>
          <w:tcPr>
            <w:tcW w:w="3686" w:type="dxa"/>
          </w:tcPr>
          <w:p w:rsidR="007C6820" w:rsidRPr="00D65230" w:rsidRDefault="007C6820" w:rsidP="00744760">
            <w:pPr>
              <w:rPr>
                <w:rFonts w:ascii="Arial" w:hAnsi="Arial" w:cs="Arial"/>
                <w:sz w:val="19"/>
                <w:szCs w:val="19"/>
              </w:rPr>
            </w:pPr>
            <w:r w:rsidRPr="00D65230">
              <w:rPr>
                <w:rFonts w:ascii="Arial" w:hAnsi="Arial" w:cs="Arial"/>
                <w:sz w:val="19"/>
                <w:szCs w:val="19"/>
              </w:rPr>
              <w:t xml:space="preserve">Frequent changes of the multi-apartments </w:t>
            </w:r>
            <w:r w:rsidR="00C11C20" w:rsidRPr="00D65230">
              <w:rPr>
                <w:rFonts w:ascii="Arial" w:hAnsi="Arial" w:cs="Arial"/>
                <w:sz w:val="19"/>
                <w:szCs w:val="19"/>
              </w:rPr>
              <w:t>renovation</w:t>
            </w:r>
            <w:r w:rsidRPr="00D65230">
              <w:rPr>
                <w:rFonts w:ascii="Arial" w:hAnsi="Arial" w:cs="Arial"/>
                <w:sz w:val="19"/>
                <w:szCs w:val="19"/>
              </w:rPr>
              <w:t xml:space="preserve"> policy (support, legal or administrative framework, etc.) is one of the main hindrance which slows down the demand for the multi-apartment </w:t>
            </w:r>
            <w:r w:rsidR="00C11C20" w:rsidRPr="00D65230">
              <w:rPr>
                <w:rFonts w:ascii="Arial" w:hAnsi="Arial" w:cs="Arial"/>
                <w:sz w:val="19"/>
                <w:szCs w:val="19"/>
              </w:rPr>
              <w:t>renovation</w:t>
            </w:r>
            <w:r w:rsidRPr="00D65230">
              <w:rPr>
                <w:rFonts w:ascii="Arial" w:hAnsi="Arial" w:cs="Arial"/>
                <w:sz w:val="19"/>
                <w:szCs w:val="19"/>
              </w:rPr>
              <w:t xml:space="preserve"> projects.</w:t>
            </w:r>
          </w:p>
        </w:tc>
        <w:tc>
          <w:tcPr>
            <w:tcW w:w="3969" w:type="dxa"/>
          </w:tcPr>
          <w:p w:rsidR="007C6820" w:rsidRPr="00D65230" w:rsidRDefault="007C6820" w:rsidP="00744760">
            <w:pPr>
              <w:rPr>
                <w:rFonts w:ascii="Arial" w:hAnsi="Arial" w:cs="Arial"/>
                <w:sz w:val="19"/>
                <w:szCs w:val="19"/>
              </w:rPr>
            </w:pPr>
            <w:r w:rsidRPr="00D65230">
              <w:rPr>
                <w:rFonts w:ascii="Arial" w:hAnsi="Arial" w:cs="Arial"/>
                <w:sz w:val="19"/>
                <w:szCs w:val="19"/>
              </w:rPr>
              <w:t xml:space="preserve">In order to ensure the sustainable demand for the </w:t>
            </w:r>
            <w:r w:rsidR="00C11C20" w:rsidRPr="00D65230">
              <w:rPr>
                <w:rFonts w:ascii="Arial" w:hAnsi="Arial" w:cs="Arial"/>
                <w:sz w:val="19"/>
                <w:szCs w:val="19"/>
              </w:rPr>
              <w:t>renovation</w:t>
            </w:r>
            <w:r w:rsidRPr="00D65230">
              <w:rPr>
                <w:rFonts w:ascii="Arial" w:hAnsi="Arial" w:cs="Arial"/>
                <w:sz w:val="19"/>
                <w:szCs w:val="19"/>
              </w:rPr>
              <w:t xml:space="preserve"> projects, the </w:t>
            </w:r>
            <w:r w:rsidR="00C11C20" w:rsidRPr="00D65230">
              <w:rPr>
                <w:rFonts w:ascii="Arial" w:hAnsi="Arial" w:cs="Arial"/>
                <w:sz w:val="19"/>
                <w:szCs w:val="19"/>
              </w:rPr>
              <w:t>renovation</w:t>
            </w:r>
            <w:r w:rsidRPr="00D65230">
              <w:rPr>
                <w:rFonts w:ascii="Arial" w:hAnsi="Arial" w:cs="Arial"/>
                <w:sz w:val="19"/>
                <w:szCs w:val="19"/>
              </w:rPr>
              <w:t xml:space="preserve"> policy must be based on the long-term planning and implementing. While implementing changes to the </w:t>
            </w:r>
            <w:r w:rsidR="00C11C20" w:rsidRPr="00D65230">
              <w:rPr>
                <w:rFonts w:ascii="Arial" w:hAnsi="Arial" w:cs="Arial"/>
                <w:sz w:val="19"/>
                <w:szCs w:val="19"/>
              </w:rPr>
              <w:t>renovation</w:t>
            </w:r>
            <w:r w:rsidRPr="00D65230">
              <w:rPr>
                <w:rFonts w:ascii="Arial" w:hAnsi="Arial" w:cs="Arial"/>
                <w:sz w:val="19"/>
                <w:szCs w:val="19"/>
              </w:rPr>
              <w:t xml:space="preserve"> policy, due focus should be addressed at the need to ensure the publicity of changes, information and consultation of the interested parties.</w:t>
            </w:r>
          </w:p>
        </w:tc>
        <w:tc>
          <w:tcPr>
            <w:tcW w:w="1411" w:type="dxa"/>
            <w:shd w:val="clear" w:color="auto" w:fill="D9D9D9" w:themeFill="background1" w:themeFillShade="D9"/>
            <w:vAlign w:val="center"/>
          </w:tcPr>
          <w:p w:rsidR="007C6820" w:rsidRPr="00D65230" w:rsidRDefault="007C6820" w:rsidP="00744760">
            <w:pPr>
              <w:jc w:val="center"/>
              <w:rPr>
                <w:rFonts w:ascii="Arial" w:hAnsi="Arial" w:cs="Arial"/>
                <w:sz w:val="19"/>
                <w:szCs w:val="19"/>
              </w:rPr>
            </w:pP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5.</w:t>
            </w:r>
          </w:p>
        </w:tc>
        <w:tc>
          <w:tcPr>
            <w:tcW w:w="3686" w:type="dxa"/>
          </w:tcPr>
          <w:p w:rsidR="007C6820" w:rsidRPr="00D65230" w:rsidRDefault="007C6820" w:rsidP="00744760">
            <w:pPr>
              <w:rPr>
                <w:rFonts w:ascii="Arial" w:hAnsi="Arial" w:cs="Arial"/>
                <w:sz w:val="19"/>
                <w:szCs w:val="19"/>
              </w:rPr>
            </w:pPr>
            <w:r w:rsidRPr="00D65230">
              <w:rPr>
                <w:rFonts w:ascii="Arial" w:hAnsi="Arial" w:cs="Arial"/>
                <w:sz w:val="19"/>
                <w:szCs w:val="19"/>
              </w:rPr>
              <w:t xml:space="preserve">There are many internal and external factors which affect the demand of multi-apartment housing </w:t>
            </w:r>
            <w:r w:rsidR="00C11C20" w:rsidRPr="00D65230">
              <w:rPr>
                <w:rFonts w:ascii="Arial" w:hAnsi="Arial" w:cs="Arial"/>
                <w:sz w:val="19"/>
                <w:szCs w:val="19"/>
              </w:rPr>
              <w:t>renovation</w:t>
            </w:r>
            <w:r w:rsidRPr="00D65230">
              <w:rPr>
                <w:rFonts w:ascii="Arial" w:hAnsi="Arial" w:cs="Arial"/>
                <w:sz w:val="19"/>
                <w:szCs w:val="19"/>
              </w:rPr>
              <w:t xml:space="preserve"> process. All of these factors vary in time and among specific projects.</w:t>
            </w:r>
          </w:p>
        </w:tc>
        <w:tc>
          <w:tcPr>
            <w:tcW w:w="3969" w:type="dxa"/>
          </w:tcPr>
          <w:p w:rsidR="007C6820" w:rsidRPr="00D65230" w:rsidRDefault="007C6820" w:rsidP="00744760">
            <w:pPr>
              <w:rPr>
                <w:rFonts w:ascii="Arial" w:hAnsi="Arial" w:cs="Arial"/>
                <w:sz w:val="19"/>
                <w:szCs w:val="19"/>
              </w:rPr>
            </w:pPr>
            <w:r w:rsidRPr="00D65230">
              <w:rPr>
                <w:rFonts w:ascii="Arial" w:hAnsi="Arial" w:cs="Arial"/>
                <w:sz w:val="19"/>
                <w:szCs w:val="19"/>
              </w:rPr>
              <w:t xml:space="preserve">In order to ensure effective use of the State budget funds allocated for the </w:t>
            </w:r>
            <w:r w:rsidR="00C11C20" w:rsidRPr="00D65230">
              <w:rPr>
                <w:rFonts w:ascii="Arial" w:hAnsi="Arial" w:cs="Arial"/>
                <w:sz w:val="19"/>
                <w:szCs w:val="19"/>
              </w:rPr>
              <w:t>renovation</w:t>
            </w:r>
            <w:r w:rsidRPr="00D65230">
              <w:rPr>
                <w:rFonts w:ascii="Arial" w:hAnsi="Arial" w:cs="Arial"/>
                <w:sz w:val="19"/>
                <w:szCs w:val="19"/>
              </w:rPr>
              <w:t xml:space="preserve"> process, it is not appropriate to apply equal intensity of support to all projects.</w:t>
            </w:r>
          </w:p>
        </w:tc>
        <w:tc>
          <w:tcPr>
            <w:tcW w:w="1411" w:type="dxa"/>
            <w:shd w:val="clear" w:color="auto" w:fill="D9D9D9" w:themeFill="background1" w:themeFillShade="D9"/>
            <w:vAlign w:val="center"/>
          </w:tcPr>
          <w:p w:rsidR="007C6820" w:rsidRPr="00D65230" w:rsidRDefault="007C6820" w:rsidP="00744760">
            <w:pPr>
              <w:jc w:val="center"/>
              <w:rPr>
                <w:rFonts w:ascii="Arial" w:hAnsi="Arial" w:cs="Arial"/>
                <w:sz w:val="19"/>
                <w:szCs w:val="19"/>
              </w:rPr>
            </w:pPr>
          </w:p>
        </w:tc>
      </w:tr>
      <w:tr w:rsidR="007C6820" w:rsidRPr="00D65230" w:rsidTr="006D12BF">
        <w:tc>
          <w:tcPr>
            <w:tcW w:w="9628" w:type="dxa"/>
            <w:gridSpan w:val="4"/>
            <w:tcBorders>
              <w:right w:val="single" w:sz="4" w:space="0" w:color="00338D"/>
            </w:tcBorders>
            <w:shd w:val="clear" w:color="auto" w:fill="808080" w:themeFill="background1" w:themeFillShade="80"/>
            <w:vAlign w:val="center"/>
          </w:tcPr>
          <w:p w:rsidR="007C6820" w:rsidRPr="00D65230" w:rsidRDefault="007C6820" w:rsidP="00744760">
            <w:pPr>
              <w:spacing w:before="0" w:after="0"/>
              <w:jc w:val="center"/>
              <w:rPr>
                <w:rFonts w:ascii="Arial" w:hAnsi="Arial" w:cs="Arial"/>
                <w:b/>
                <w:color w:val="FFFFFF" w:themeColor="background1"/>
                <w:sz w:val="19"/>
                <w:szCs w:val="19"/>
              </w:rPr>
            </w:pPr>
            <w:r w:rsidRPr="00D65230">
              <w:rPr>
                <w:rFonts w:ascii="Arial" w:hAnsi="Arial" w:cs="Arial"/>
                <w:b/>
                <w:color w:val="FFFFFF" w:themeColor="background1"/>
                <w:sz w:val="19"/>
                <w:szCs w:val="19"/>
              </w:rPr>
              <w:t>Recommendations („do this“)</w:t>
            </w: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1.</w:t>
            </w:r>
          </w:p>
        </w:tc>
        <w:tc>
          <w:tcPr>
            <w:tcW w:w="3686" w:type="dxa"/>
          </w:tcPr>
          <w:p w:rsidR="007C6820" w:rsidRPr="00D65230" w:rsidRDefault="007C6820" w:rsidP="00744760">
            <w:pPr>
              <w:rPr>
                <w:rFonts w:ascii="Arial" w:hAnsi="Arial" w:cs="Arial"/>
                <w:sz w:val="19"/>
                <w:szCs w:val="19"/>
              </w:rPr>
            </w:pPr>
            <w:r w:rsidRPr="00D65230">
              <w:rPr>
                <w:rFonts w:ascii="Arial" w:hAnsi="Arial" w:cs="Arial"/>
                <w:sz w:val="19"/>
                <w:szCs w:val="19"/>
              </w:rPr>
              <w:t>Conflict of interest may arise when the same subject is responsible for designing, construction and certification tasks.</w:t>
            </w:r>
          </w:p>
        </w:tc>
        <w:tc>
          <w:tcPr>
            <w:tcW w:w="3969" w:type="dxa"/>
          </w:tcPr>
          <w:p w:rsidR="007C6820" w:rsidRPr="00D65230" w:rsidRDefault="007C6820" w:rsidP="00744760">
            <w:pPr>
              <w:rPr>
                <w:rFonts w:ascii="Arial" w:hAnsi="Arial" w:cs="Arial"/>
                <w:sz w:val="19"/>
                <w:szCs w:val="19"/>
              </w:rPr>
            </w:pPr>
            <w:r w:rsidRPr="00D65230">
              <w:rPr>
                <w:rFonts w:ascii="Arial" w:hAnsi="Arial" w:cs="Arial"/>
                <w:sz w:val="19"/>
                <w:szCs w:val="19"/>
              </w:rPr>
              <w:t>Ensure independent high-quality technical supervision and energy certification for the renovation projects.</w:t>
            </w:r>
            <w:r w:rsidR="00E2756C" w:rsidRPr="00E2756C">
              <w:t xml:space="preserve"> </w:t>
            </w:r>
            <w:r w:rsidR="00E2756C" w:rsidRPr="00E2756C">
              <w:rPr>
                <w:rFonts w:ascii="Arial" w:hAnsi="Arial" w:cs="Arial"/>
                <w:sz w:val="19"/>
                <w:szCs w:val="19"/>
              </w:rPr>
              <w:t xml:space="preserve">It </w:t>
            </w:r>
            <w:proofErr w:type="gramStart"/>
            <w:r w:rsidR="00E2756C" w:rsidRPr="00E2756C">
              <w:rPr>
                <w:rFonts w:ascii="Arial" w:hAnsi="Arial" w:cs="Arial"/>
                <w:sz w:val="19"/>
                <w:szCs w:val="19"/>
              </w:rPr>
              <w:t>should be considered</w:t>
            </w:r>
            <w:proofErr w:type="gramEnd"/>
            <w:r w:rsidR="00E2756C" w:rsidRPr="00E2756C">
              <w:rPr>
                <w:rFonts w:ascii="Arial" w:hAnsi="Arial" w:cs="Arial"/>
                <w:sz w:val="19"/>
                <w:szCs w:val="19"/>
              </w:rPr>
              <w:t xml:space="preserve"> to procure technical supervision services not via CPO, by applying the most economically advantageous tender criteria and/or requiring a higher qualification of suppliers. In the light of these principles, the procedure of </w:t>
            </w:r>
            <w:r w:rsidR="00E2756C" w:rsidRPr="00E2756C">
              <w:rPr>
                <w:rFonts w:ascii="Arial" w:hAnsi="Arial" w:cs="Arial"/>
                <w:sz w:val="19"/>
                <w:szCs w:val="19"/>
              </w:rPr>
              <w:lastRenderedPageBreak/>
              <w:t xml:space="preserve">procuring these services via CPO </w:t>
            </w:r>
            <w:proofErr w:type="gramStart"/>
            <w:r w:rsidR="00E2756C" w:rsidRPr="00E2756C">
              <w:rPr>
                <w:rFonts w:ascii="Arial" w:hAnsi="Arial" w:cs="Arial"/>
                <w:sz w:val="19"/>
                <w:szCs w:val="19"/>
              </w:rPr>
              <w:t>could also be improved</w:t>
            </w:r>
            <w:proofErr w:type="gramEnd"/>
            <w:r w:rsidR="00E2756C" w:rsidRPr="00E2756C">
              <w:rPr>
                <w:rFonts w:ascii="Arial" w:hAnsi="Arial" w:cs="Arial"/>
                <w:sz w:val="19"/>
                <w:szCs w:val="19"/>
              </w:rPr>
              <w:t xml:space="preserve">. Energy certification services </w:t>
            </w:r>
            <w:proofErr w:type="gramStart"/>
            <w:r w:rsidR="00E2756C" w:rsidRPr="00E2756C">
              <w:rPr>
                <w:rFonts w:ascii="Arial" w:hAnsi="Arial" w:cs="Arial"/>
                <w:sz w:val="19"/>
                <w:szCs w:val="19"/>
              </w:rPr>
              <w:t>should be procured</w:t>
            </w:r>
            <w:proofErr w:type="gramEnd"/>
            <w:r w:rsidR="00E2756C" w:rsidRPr="00E2756C">
              <w:rPr>
                <w:rFonts w:ascii="Arial" w:hAnsi="Arial" w:cs="Arial"/>
                <w:sz w:val="19"/>
                <w:szCs w:val="19"/>
              </w:rPr>
              <w:t xml:space="preserve"> separately from the contract work</w:t>
            </w:r>
            <w:r w:rsidR="00E2756C">
              <w:rPr>
                <w:rFonts w:ascii="Arial" w:hAnsi="Arial" w:cs="Arial"/>
                <w:sz w:val="19"/>
                <w:szCs w:val="19"/>
              </w:rPr>
              <w:t>.</w:t>
            </w:r>
          </w:p>
        </w:tc>
        <w:tc>
          <w:tcPr>
            <w:tcW w:w="1411" w:type="dxa"/>
            <w:vAlign w:val="center"/>
          </w:tcPr>
          <w:p w:rsidR="007C6820" w:rsidRPr="00D65230" w:rsidRDefault="007C6820" w:rsidP="00744760">
            <w:pPr>
              <w:jc w:val="center"/>
              <w:rPr>
                <w:rFonts w:ascii="Arial" w:hAnsi="Arial" w:cs="Arial"/>
                <w:sz w:val="19"/>
                <w:szCs w:val="19"/>
              </w:rPr>
            </w:pPr>
            <w:r w:rsidRPr="00D65230">
              <w:rPr>
                <w:rFonts w:ascii="Arial" w:hAnsi="Arial" w:cs="Arial"/>
                <w:sz w:val="19"/>
                <w:szCs w:val="19"/>
              </w:rPr>
              <w:lastRenderedPageBreak/>
              <w:t>BETA</w:t>
            </w: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2.</w:t>
            </w:r>
          </w:p>
        </w:tc>
        <w:tc>
          <w:tcPr>
            <w:tcW w:w="3686" w:type="dxa"/>
          </w:tcPr>
          <w:p w:rsidR="007C6820" w:rsidRPr="00D65230" w:rsidRDefault="007C6820" w:rsidP="00744760">
            <w:pPr>
              <w:rPr>
                <w:rFonts w:ascii="Arial" w:hAnsi="Arial" w:cs="Arial"/>
                <w:sz w:val="19"/>
                <w:szCs w:val="19"/>
              </w:rPr>
            </w:pPr>
            <w:r w:rsidRPr="00D65230">
              <w:rPr>
                <w:rFonts w:ascii="Arial" w:hAnsi="Arial" w:cs="Arial"/>
                <w:sz w:val="19"/>
                <w:szCs w:val="19"/>
              </w:rPr>
              <w:t xml:space="preserve">From the legislative point of view, it is a rather questionable situation when there is no attesting entry in the Real Estate Registry concerning the </w:t>
            </w:r>
            <w:r w:rsidR="00C11C20" w:rsidRPr="00D65230">
              <w:rPr>
                <w:rFonts w:ascii="Arial" w:hAnsi="Arial" w:cs="Arial"/>
                <w:sz w:val="19"/>
                <w:szCs w:val="19"/>
              </w:rPr>
              <w:t>renovation</w:t>
            </w:r>
            <w:r w:rsidRPr="00D65230">
              <w:rPr>
                <w:rFonts w:ascii="Arial" w:hAnsi="Arial" w:cs="Arial"/>
                <w:sz w:val="19"/>
                <w:szCs w:val="19"/>
              </w:rPr>
              <w:t xml:space="preserve"> credit agreement concluded on behalf of the final recipient by the administrator.</w:t>
            </w:r>
          </w:p>
        </w:tc>
        <w:tc>
          <w:tcPr>
            <w:tcW w:w="3969" w:type="dxa"/>
          </w:tcPr>
          <w:p w:rsidR="007C6820" w:rsidRPr="00D65230" w:rsidRDefault="007C6820" w:rsidP="00744760">
            <w:pPr>
              <w:rPr>
                <w:rFonts w:ascii="Arial" w:hAnsi="Arial" w:cs="Arial"/>
                <w:sz w:val="19"/>
                <w:szCs w:val="19"/>
              </w:rPr>
            </w:pPr>
            <w:r w:rsidRPr="00D65230">
              <w:rPr>
                <w:rFonts w:ascii="Arial" w:hAnsi="Arial" w:cs="Arial"/>
                <w:sz w:val="19"/>
                <w:szCs w:val="19"/>
              </w:rPr>
              <w:t xml:space="preserve">The existence of the </w:t>
            </w:r>
            <w:r w:rsidR="00C11C20" w:rsidRPr="00D65230">
              <w:rPr>
                <w:rFonts w:ascii="Arial" w:hAnsi="Arial" w:cs="Arial"/>
                <w:sz w:val="19"/>
                <w:szCs w:val="19"/>
              </w:rPr>
              <w:t>renovation</w:t>
            </w:r>
            <w:r w:rsidRPr="00D65230">
              <w:rPr>
                <w:rFonts w:ascii="Arial" w:hAnsi="Arial" w:cs="Arial"/>
                <w:sz w:val="19"/>
                <w:szCs w:val="19"/>
              </w:rPr>
              <w:t xml:space="preserve"> loan agreement concluded should be registered in the Real Estate Registry, although the loan agreement is concluded on behalf of the final recipient. At present such entry is made only when the loan agreement is directly concluded with the final recipient.</w:t>
            </w:r>
          </w:p>
        </w:tc>
        <w:tc>
          <w:tcPr>
            <w:tcW w:w="1411" w:type="dxa"/>
            <w:vAlign w:val="center"/>
          </w:tcPr>
          <w:p w:rsidR="007C6820" w:rsidRPr="00D65230" w:rsidRDefault="007C6820" w:rsidP="00744760">
            <w:pPr>
              <w:jc w:val="center"/>
              <w:rPr>
                <w:rFonts w:ascii="Arial" w:hAnsi="Arial" w:cs="Arial"/>
                <w:sz w:val="19"/>
                <w:szCs w:val="19"/>
              </w:rPr>
            </w:pPr>
            <w:r w:rsidRPr="00D65230">
              <w:rPr>
                <w:rFonts w:ascii="Arial" w:hAnsi="Arial" w:cs="Arial"/>
                <w:sz w:val="19"/>
                <w:szCs w:val="19"/>
              </w:rPr>
              <w:t>AM</w:t>
            </w:r>
          </w:p>
        </w:tc>
      </w:tr>
      <w:tr w:rsidR="007C6820" w:rsidRPr="00D65230" w:rsidTr="00E67AF3">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3.</w:t>
            </w:r>
          </w:p>
        </w:tc>
        <w:tc>
          <w:tcPr>
            <w:tcW w:w="3686" w:type="dxa"/>
          </w:tcPr>
          <w:p w:rsidR="007C6820" w:rsidRPr="00D65230" w:rsidRDefault="007C6820" w:rsidP="00744760">
            <w:pPr>
              <w:rPr>
                <w:rFonts w:ascii="Arial" w:hAnsi="Arial" w:cs="Arial"/>
                <w:sz w:val="19"/>
                <w:szCs w:val="19"/>
              </w:rPr>
            </w:pPr>
            <w:r w:rsidRPr="00D65230">
              <w:rPr>
                <w:rFonts w:ascii="Arial" w:hAnsi="Arial" w:cs="Arial"/>
                <w:sz w:val="19"/>
                <w:szCs w:val="19"/>
              </w:rPr>
              <w:t xml:space="preserve">The present multi-apartments </w:t>
            </w:r>
            <w:r w:rsidR="00C11C20" w:rsidRPr="00D65230">
              <w:rPr>
                <w:rFonts w:ascii="Arial" w:hAnsi="Arial" w:cs="Arial"/>
                <w:sz w:val="19"/>
                <w:szCs w:val="19"/>
              </w:rPr>
              <w:t>renovation</w:t>
            </w:r>
            <w:r w:rsidRPr="00D65230">
              <w:rPr>
                <w:rFonts w:ascii="Arial" w:hAnsi="Arial" w:cs="Arial"/>
                <w:sz w:val="19"/>
                <w:szCs w:val="19"/>
              </w:rPr>
              <w:t xml:space="preserve"> model does not ensure effective use of the State funds.</w:t>
            </w:r>
          </w:p>
        </w:tc>
        <w:tc>
          <w:tcPr>
            <w:tcW w:w="3969" w:type="dxa"/>
          </w:tcPr>
          <w:p w:rsidR="007C6820" w:rsidRPr="00D65230" w:rsidRDefault="00D65230" w:rsidP="00744760">
            <w:pPr>
              <w:rPr>
                <w:rFonts w:ascii="Arial" w:hAnsi="Arial" w:cs="Arial"/>
                <w:sz w:val="19"/>
                <w:szCs w:val="19"/>
              </w:rPr>
            </w:pPr>
            <w:r w:rsidRPr="00D65230">
              <w:rPr>
                <w:rFonts w:ascii="Arial" w:hAnsi="Arial" w:cs="Arial"/>
                <w:sz w:val="19"/>
                <w:szCs w:val="19"/>
              </w:rPr>
              <w:t>To improve the current model by implementing the: (1) “value for money“, (2) differentiation of intensity, (3) coordination of calls for project applications with available financing, (4) equality, non-discrimination and transparency, and (5) adequate attention to PR and consultations, principles.</w:t>
            </w:r>
          </w:p>
        </w:tc>
        <w:tc>
          <w:tcPr>
            <w:tcW w:w="1411" w:type="dxa"/>
            <w:vAlign w:val="center"/>
          </w:tcPr>
          <w:p w:rsidR="007C6820" w:rsidRPr="00D65230" w:rsidRDefault="007C6820" w:rsidP="00744760">
            <w:pPr>
              <w:jc w:val="center"/>
              <w:rPr>
                <w:rFonts w:ascii="Arial" w:hAnsi="Arial" w:cs="Arial"/>
                <w:sz w:val="19"/>
                <w:szCs w:val="19"/>
              </w:rPr>
            </w:pPr>
            <w:r w:rsidRPr="00D65230">
              <w:rPr>
                <w:rFonts w:ascii="Arial" w:hAnsi="Arial" w:cs="Arial"/>
                <w:sz w:val="19"/>
                <w:szCs w:val="19"/>
              </w:rPr>
              <w:t>AM, FinMin, BETA</w:t>
            </w:r>
          </w:p>
        </w:tc>
      </w:tr>
      <w:tr w:rsidR="007C6820" w:rsidRPr="00D65230" w:rsidTr="00E67AF3">
        <w:trPr>
          <w:trHeight w:val="381"/>
        </w:trPr>
        <w:tc>
          <w:tcPr>
            <w:tcW w:w="562" w:type="dxa"/>
          </w:tcPr>
          <w:p w:rsidR="007C6820" w:rsidRPr="00D65230" w:rsidRDefault="007C6820" w:rsidP="00744760">
            <w:pPr>
              <w:jc w:val="center"/>
              <w:rPr>
                <w:rFonts w:ascii="Arial" w:hAnsi="Arial" w:cs="Arial"/>
                <w:sz w:val="19"/>
                <w:szCs w:val="19"/>
              </w:rPr>
            </w:pPr>
            <w:r w:rsidRPr="00D65230">
              <w:rPr>
                <w:rFonts w:ascii="Arial" w:hAnsi="Arial" w:cs="Arial"/>
                <w:sz w:val="19"/>
                <w:szCs w:val="19"/>
              </w:rPr>
              <w:t>4.</w:t>
            </w:r>
          </w:p>
        </w:tc>
        <w:tc>
          <w:tcPr>
            <w:tcW w:w="3686" w:type="dxa"/>
          </w:tcPr>
          <w:p w:rsidR="007C6820" w:rsidRPr="00D65230" w:rsidRDefault="007C6820" w:rsidP="00744760">
            <w:pPr>
              <w:rPr>
                <w:rFonts w:ascii="Arial" w:hAnsi="Arial" w:cs="Arial"/>
                <w:sz w:val="19"/>
                <w:szCs w:val="19"/>
              </w:rPr>
            </w:pPr>
            <w:r w:rsidRPr="00D65230">
              <w:rPr>
                <w:rFonts w:ascii="Arial" w:hAnsi="Arial" w:cs="Arial"/>
                <w:color w:val="000000" w:themeColor="text1"/>
                <w:sz w:val="19"/>
                <w:szCs w:val="19"/>
              </w:rPr>
              <w:t>The requirement to reach “D” energy efficiency class is inconsistent with the requirement imposed under the Lithuanian Law on Construction, requiring that the building, after the reconstruction must achieve “C” energy efficiency class.</w:t>
            </w:r>
          </w:p>
        </w:tc>
        <w:tc>
          <w:tcPr>
            <w:tcW w:w="3969" w:type="dxa"/>
          </w:tcPr>
          <w:p w:rsidR="007C6820" w:rsidRPr="00D65230" w:rsidRDefault="007C6820" w:rsidP="00744760">
            <w:pPr>
              <w:rPr>
                <w:rFonts w:ascii="Arial" w:hAnsi="Arial" w:cs="Arial"/>
                <w:sz w:val="19"/>
                <w:szCs w:val="19"/>
              </w:rPr>
            </w:pPr>
            <w:r w:rsidRPr="00D65230">
              <w:rPr>
                <w:rFonts w:ascii="Arial" w:hAnsi="Arial" w:cs="Arial"/>
                <w:color w:val="000000" w:themeColor="text1"/>
                <w:sz w:val="19"/>
                <w:szCs w:val="19"/>
              </w:rPr>
              <w:t>The requirement to achieve “D</w:t>
            </w:r>
            <w:proofErr w:type="gramStart"/>
            <w:r w:rsidRPr="00D65230">
              <w:rPr>
                <w:rFonts w:ascii="Arial" w:hAnsi="Arial" w:cs="Arial"/>
                <w:color w:val="000000" w:themeColor="text1"/>
                <w:sz w:val="19"/>
                <w:szCs w:val="19"/>
              </w:rPr>
              <w:t>“ energy</w:t>
            </w:r>
            <w:proofErr w:type="gramEnd"/>
            <w:r w:rsidRPr="00D65230">
              <w:rPr>
                <w:rFonts w:ascii="Arial" w:hAnsi="Arial" w:cs="Arial"/>
                <w:color w:val="000000" w:themeColor="text1"/>
                <w:sz w:val="19"/>
                <w:szCs w:val="19"/>
              </w:rPr>
              <w:t xml:space="preserve"> efficiency class must be changed into class “C“.</w:t>
            </w:r>
          </w:p>
        </w:tc>
        <w:tc>
          <w:tcPr>
            <w:tcW w:w="1411" w:type="dxa"/>
            <w:vAlign w:val="center"/>
          </w:tcPr>
          <w:p w:rsidR="007C6820" w:rsidRPr="00D65230" w:rsidRDefault="007C6820" w:rsidP="00744760">
            <w:pPr>
              <w:jc w:val="center"/>
              <w:rPr>
                <w:rFonts w:ascii="Arial" w:hAnsi="Arial" w:cs="Arial"/>
                <w:sz w:val="19"/>
                <w:szCs w:val="19"/>
              </w:rPr>
            </w:pPr>
            <w:r w:rsidRPr="00D65230">
              <w:rPr>
                <w:rFonts w:ascii="Arial" w:hAnsi="Arial" w:cs="Arial"/>
                <w:sz w:val="19"/>
                <w:szCs w:val="19"/>
              </w:rPr>
              <w:t>AM</w:t>
            </w:r>
          </w:p>
        </w:tc>
      </w:tr>
    </w:tbl>
    <w:p w:rsidR="00C24660" w:rsidRPr="00D65230" w:rsidRDefault="00C24660" w:rsidP="007C6820">
      <w:pPr>
        <w:rPr>
          <w:rFonts w:ascii="Arial" w:hAnsi="Arial" w:cs="Arial"/>
        </w:rPr>
      </w:pPr>
    </w:p>
    <w:p w:rsidR="00C24660" w:rsidRPr="00D65230" w:rsidRDefault="00C24660">
      <w:pPr>
        <w:spacing w:before="0" w:after="160" w:line="259" w:lineRule="auto"/>
        <w:jc w:val="left"/>
        <w:rPr>
          <w:rFonts w:ascii="Arial" w:hAnsi="Arial" w:cs="Arial"/>
        </w:rPr>
      </w:pPr>
    </w:p>
    <w:p w:rsidR="007C6820" w:rsidRPr="00D65230" w:rsidRDefault="007C6820" w:rsidP="007C6820">
      <w:pPr>
        <w:rPr>
          <w:rFonts w:ascii="Arial" w:hAnsi="Arial" w:cs="Arial"/>
        </w:rPr>
      </w:pPr>
    </w:p>
    <w:p w:rsidR="00D65230" w:rsidRPr="00D65230" w:rsidRDefault="00D65230">
      <w:pPr>
        <w:spacing w:before="0" w:after="160" w:line="259" w:lineRule="auto"/>
        <w:jc w:val="left"/>
        <w:rPr>
          <w:rFonts w:ascii="Arial" w:hAnsi="Arial" w:cs="Arial"/>
        </w:rPr>
      </w:pPr>
      <w:r w:rsidRPr="00D65230">
        <w:rPr>
          <w:rFonts w:ascii="Arial" w:hAnsi="Arial" w:cs="Arial"/>
        </w:rPr>
        <w:br w:type="page"/>
      </w:r>
    </w:p>
    <w:p w:rsidR="007C6820" w:rsidRPr="00D65230" w:rsidRDefault="007C6820" w:rsidP="007C6820">
      <w:pPr>
        <w:rPr>
          <w:rFonts w:ascii="Arial" w:hAnsi="Arial" w:cs="Arial"/>
        </w:rPr>
      </w:pPr>
    </w:p>
    <w:tbl>
      <w:tblPr>
        <w:tblStyle w:val="TableGrid"/>
        <w:tblpPr w:leftFromText="187" w:rightFromText="187" w:vertAnchor="page" w:horzAnchor="margin" w:tblpY="7897"/>
        <w:tblOverlap w:val="never"/>
        <w:tblW w:w="4000" w:type="pct"/>
        <w:tblLayout w:type="fixed"/>
        <w:tblCellMar>
          <w:left w:w="0" w:type="dxa"/>
          <w:right w:w="0" w:type="dxa"/>
        </w:tblCellMar>
        <w:tblLook w:val="04A0" w:firstRow="1" w:lastRow="0" w:firstColumn="1" w:lastColumn="0" w:noHBand="0" w:noVBand="1"/>
      </w:tblPr>
      <w:tblGrid>
        <w:gridCol w:w="7710"/>
      </w:tblGrid>
      <w:tr w:rsidR="00C24660" w:rsidRPr="00D65230" w:rsidTr="00C24660">
        <w:trPr>
          <w:cantSplit/>
          <w:trHeight w:val="80"/>
        </w:trPr>
        <w:tc>
          <w:tcPr>
            <w:tcW w:w="7710" w:type="dxa"/>
            <w:hideMark/>
          </w:tcPr>
          <w:p w:rsidR="00C24660" w:rsidRPr="00D65230" w:rsidRDefault="00C24660" w:rsidP="00C24660">
            <w:pPr>
              <w:rPr>
                <w:rStyle w:val="Contactbold"/>
                <w:rFonts w:ascii="Arial" w:hAnsi="Arial" w:cs="Arial"/>
              </w:rPr>
            </w:pPr>
            <w:r w:rsidRPr="00D65230">
              <w:rPr>
                <w:rStyle w:val="Contactbold"/>
                <w:rFonts w:ascii="Arial" w:hAnsi="Arial" w:cs="Arial"/>
              </w:rPr>
              <w:t>Contact us:</w:t>
            </w:r>
          </w:p>
        </w:tc>
      </w:tr>
      <w:tr w:rsidR="00C24660" w:rsidRPr="00D65230" w:rsidTr="00C24660">
        <w:trPr>
          <w:cantSplit/>
        </w:trPr>
        <w:tc>
          <w:tcPr>
            <w:tcW w:w="7710" w:type="dxa"/>
            <w:hideMark/>
          </w:tcPr>
          <w:p w:rsidR="00C24660" w:rsidRPr="00D65230" w:rsidRDefault="00C24660" w:rsidP="00C24660">
            <w:pPr>
              <w:pStyle w:val="Contactname"/>
              <w:rPr>
                <w:rFonts w:ascii="Arial" w:hAnsi="Arial" w:cs="Arial"/>
              </w:rPr>
            </w:pPr>
          </w:p>
        </w:tc>
      </w:tr>
      <w:tr w:rsidR="00C24660" w:rsidRPr="00D65230" w:rsidTr="00C24660">
        <w:trPr>
          <w:cantSplit/>
        </w:trPr>
        <w:tc>
          <w:tcPr>
            <w:tcW w:w="7710" w:type="dxa"/>
            <w:hideMark/>
          </w:tcPr>
          <w:p w:rsidR="00C24660" w:rsidRPr="00D65230" w:rsidRDefault="00C24660" w:rsidP="00C24660">
            <w:pPr>
              <w:pStyle w:val="Contactname0"/>
              <w:rPr>
                <w:rFonts w:cs="Arial"/>
                <w:szCs w:val="20"/>
              </w:rPr>
            </w:pPr>
            <w:r w:rsidRPr="00D65230">
              <w:rPr>
                <w:rFonts w:cs="Arial"/>
                <w:szCs w:val="20"/>
              </w:rPr>
              <w:t>Dainius Pupkevičius</w:t>
            </w:r>
          </w:p>
          <w:p w:rsidR="00C24660" w:rsidRPr="00D65230" w:rsidRDefault="00C24660" w:rsidP="00C24660">
            <w:pPr>
              <w:pStyle w:val="Contactsectorname"/>
              <w:rPr>
                <w:rFonts w:cs="Arial"/>
                <w:szCs w:val="20"/>
              </w:rPr>
            </w:pPr>
            <w:r w:rsidRPr="00D65230">
              <w:rPr>
                <w:rFonts w:cs="Arial"/>
                <w:szCs w:val="20"/>
              </w:rPr>
              <w:t>Senior Manager, Risk &amp; Management Advisory</w:t>
            </w:r>
          </w:p>
          <w:p w:rsidR="00C24660" w:rsidRPr="00D65230" w:rsidRDefault="00C24660" w:rsidP="00C24660">
            <w:pPr>
              <w:pStyle w:val="Contacttelephone"/>
              <w:rPr>
                <w:rFonts w:cs="Arial"/>
                <w:szCs w:val="20"/>
              </w:rPr>
            </w:pPr>
            <w:r w:rsidRPr="00D65230">
              <w:rPr>
                <w:rStyle w:val="Contactbold0"/>
                <w:rFonts w:cs="Arial"/>
                <w:szCs w:val="20"/>
              </w:rPr>
              <w:t>T</w:t>
            </w:r>
            <w:r w:rsidRPr="00D65230">
              <w:rPr>
                <w:rFonts w:cs="Arial"/>
                <w:szCs w:val="20"/>
              </w:rPr>
              <w:t xml:space="preserve"> +370 5 2102 600</w:t>
            </w:r>
          </w:p>
          <w:p w:rsidR="00C24660" w:rsidRPr="00D65230" w:rsidRDefault="00C24660" w:rsidP="00C24660">
            <w:pPr>
              <w:pStyle w:val="Contactemail"/>
              <w:rPr>
                <w:rFonts w:ascii="Arial" w:hAnsi="Arial" w:cs="Arial"/>
              </w:rPr>
            </w:pPr>
            <w:r w:rsidRPr="00D65230">
              <w:rPr>
                <w:rStyle w:val="Contactbold0"/>
                <w:rFonts w:cs="Arial"/>
                <w:szCs w:val="20"/>
              </w:rPr>
              <w:t>E</w:t>
            </w:r>
            <w:r w:rsidRPr="00D65230">
              <w:rPr>
                <w:rFonts w:ascii="Arial" w:hAnsi="Arial" w:cs="Arial"/>
                <w:szCs w:val="20"/>
              </w:rPr>
              <w:t xml:space="preserve"> dpupkevicius@kpmg.com</w:t>
            </w:r>
            <w:r w:rsidRPr="00D65230">
              <w:rPr>
                <w:rFonts w:ascii="Arial" w:hAnsi="Arial" w:cs="Arial"/>
              </w:rPr>
              <w:tab/>
            </w:r>
          </w:p>
        </w:tc>
      </w:tr>
      <w:tr w:rsidR="00C24660" w:rsidRPr="00D65230" w:rsidTr="00C24660">
        <w:trPr>
          <w:cantSplit/>
        </w:trPr>
        <w:tc>
          <w:tcPr>
            <w:tcW w:w="7710" w:type="dxa"/>
          </w:tcPr>
          <w:p w:rsidR="00C24660" w:rsidRPr="00D65230" w:rsidRDefault="00C24660" w:rsidP="00C24660">
            <w:pPr>
              <w:pStyle w:val="Contactemail"/>
              <w:rPr>
                <w:rFonts w:ascii="Arial" w:hAnsi="Arial" w:cs="Arial"/>
              </w:rPr>
            </w:pPr>
          </w:p>
        </w:tc>
      </w:tr>
      <w:tr w:rsidR="00C24660" w:rsidRPr="00D65230" w:rsidTr="00C24660">
        <w:trPr>
          <w:cantSplit/>
        </w:trPr>
        <w:tc>
          <w:tcPr>
            <w:tcW w:w="7710" w:type="dxa"/>
          </w:tcPr>
          <w:p w:rsidR="00C24660" w:rsidRPr="00D65230" w:rsidRDefault="00C24660" w:rsidP="00C24660">
            <w:pPr>
              <w:pStyle w:val="Contactemail"/>
              <w:rPr>
                <w:rFonts w:ascii="Arial" w:hAnsi="Arial" w:cs="Arial"/>
              </w:rPr>
            </w:pPr>
            <w:r w:rsidRPr="00D65230">
              <w:rPr>
                <w:rFonts w:ascii="Arial" w:hAnsi="Arial" w:cs="Arial"/>
              </w:rPr>
              <w:tab/>
            </w:r>
          </w:p>
        </w:tc>
      </w:tr>
      <w:tr w:rsidR="00C24660" w:rsidRPr="00D65230" w:rsidTr="00C24660">
        <w:trPr>
          <w:cantSplit/>
          <w:trHeight w:val="400"/>
        </w:trPr>
        <w:tc>
          <w:tcPr>
            <w:tcW w:w="7710" w:type="dxa"/>
            <w:vAlign w:val="bottom"/>
          </w:tcPr>
          <w:p w:rsidR="00C24660" w:rsidRPr="00D65230" w:rsidRDefault="009E2F64" w:rsidP="00C24660">
            <w:pPr>
              <w:pStyle w:val="Bodytextnavyhighlight"/>
              <w:rPr>
                <w:rStyle w:val="Hyperlink"/>
                <w:rFonts w:ascii="Arial" w:eastAsiaTheme="majorEastAsia" w:hAnsi="Arial" w:cs="Arial"/>
                <w:sz w:val="24"/>
              </w:rPr>
            </w:pPr>
            <w:hyperlink r:id="rId12" w:history="1">
              <w:r w:rsidR="00C24660" w:rsidRPr="00D65230">
                <w:rPr>
                  <w:rStyle w:val="Hyperlink"/>
                  <w:rFonts w:ascii="Arial" w:eastAsiaTheme="majorEastAsia" w:hAnsi="Arial" w:cs="Arial"/>
                  <w:sz w:val="24"/>
                </w:rPr>
                <w:t>www.kpmg.com</w:t>
              </w:r>
            </w:hyperlink>
            <w:r w:rsidR="00C24660" w:rsidRPr="00D65230">
              <w:rPr>
                <w:rStyle w:val="Hyperlink"/>
                <w:rFonts w:ascii="Arial" w:eastAsiaTheme="majorEastAsia" w:hAnsi="Arial" w:cs="Arial"/>
                <w:sz w:val="24"/>
              </w:rPr>
              <w:t xml:space="preserve">/lt </w:t>
            </w:r>
          </w:p>
        </w:tc>
      </w:tr>
      <w:tr w:rsidR="00C24660" w:rsidRPr="00D65230" w:rsidTr="00C24660">
        <w:trPr>
          <w:cantSplit/>
          <w:trHeight w:val="1400"/>
        </w:trPr>
        <w:tc>
          <w:tcPr>
            <w:tcW w:w="7710" w:type="dxa"/>
            <w:vAlign w:val="bottom"/>
          </w:tcPr>
          <w:p w:rsidR="00C24660" w:rsidRPr="00D65230" w:rsidRDefault="00C24660" w:rsidP="00C24660">
            <w:pPr>
              <w:pStyle w:val="Bodytextnavyhighlight"/>
              <w:rPr>
                <w:rFonts w:ascii="Arial" w:hAnsi="Arial" w:cs="Arial"/>
              </w:rPr>
            </w:pPr>
          </w:p>
          <w:p w:rsidR="00C24660" w:rsidRPr="00D65230" w:rsidRDefault="00C24660" w:rsidP="00C24660">
            <w:pPr>
              <w:pStyle w:val="Bodytextnavyhighlight"/>
              <w:rPr>
                <w:rFonts w:ascii="Arial" w:hAnsi="Arial" w:cs="Arial"/>
              </w:rPr>
            </w:pPr>
          </w:p>
        </w:tc>
      </w:tr>
      <w:tr w:rsidR="00C24660" w:rsidRPr="00D65230" w:rsidTr="00C24660">
        <w:trPr>
          <w:cantSplit/>
          <w:trHeight w:val="2440"/>
        </w:trPr>
        <w:tc>
          <w:tcPr>
            <w:tcW w:w="7710" w:type="dxa"/>
            <w:vAlign w:val="bottom"/>
          </w:tcPr>
          <w:p w:rsidR="00C24660" w:rsidRPr="00D65230" w:rsidRDefault="00C24660" w:rsidP="00C24660">
            <w:pPr>
              <w:pStyle w:val="Disclaimer"/>
              <w:framePr w:wrap="auto" w:vAnchor="margin" w:hAnchor="text" w:xAlign="left" w:yAlign="inline"/>
              <w:rPr>
                <w:rFonts w:ascii="Arial" w:hAnsi="Arial" w:cs="Arial"/>
              </w:rPr>
            </w:pPr>
            <w:r w:rsidRPr="00D65230">
              <w:rPr>
                <w:rFonts w:ascii="Arial" w:hAnsi="Arial" w:cs="Arial"/>
              </w:rPr>
              <w:t>© 2017 "KPMG Baltics", UAB, a Lithuanian limited liability company and a member firm of the KPMG network of independent members firms affiliated with KPMG International Cooperative ("KPMG International") a Swiss entity. All rights reserved.</w:t>
            </w:r>
          </w:p>
          <w:p w:rsidR="00C24660" w:rsidRPr="00D65230" w:rsidRDefault="00C24660" w:rsidP="00C24660">
            <w:pPr>
              <w:pStyle w:val="Disclaimer"/>
              <w:framePr w:wrap="auto" w:vAnchor="margin" w:hAnchor="text" w:xAlign="left" w:yAlign="inline"/>
              <w:rPr>
                <w:rFonts w:ascii="Arial" w:hAnsi="Arial" w:cs="Arial"/>
              </w:rPr>
            </w:pPr>
            <w:r w:rsidRPr="00D65230">
              <w:rPr>
                <w:rFonts w:ascii="Arial" w:hAnsi="Arial" w:cs="Arial"/>
              </w:rPr>
              <w:t>The information contained herein is of a general nature and is not intended to address the circumstances of any particular individual or entity. Although we endeavour to provide accurate and timely information, there can be no guarantee that such information is accurate as of the date it is received or that it will continue to be accurate in the future. No one should act on such information without appropriate professional advice after a thorough examination of the particular situation.</w:t>
            </w:r>
          </w:p>
        </w:tc>
      </w:tr>
    </w:tbl>
    <w:p w:rsidR="00903366" w:rsidRPr="00D65230" w:rsidRDefault="00903366" w:rsidP="00D65230">
      <w:pPr>
        <w:rPr>
          <w:rFonts w:ascii="Arial" w:hAnsi="Arial" w:cs="Arial"/>
        </w:rPr>
      </w:pPr>
    </w:p>
    <w:sectPr w:rsidR="00903366" w:rsidRPr="00D65230" w:rsidSect="00096BE7">
      <w:headerReference w:type="even" r:id="rId13"/>
      <w:headerReference w:type="default" r:id="rId14"/>
      <w:footerReference w:type="even" r:id="rId15"/>
      <w:footerReference w:type="default" r:id="rId16"/>
      <w:headerReference w:type="first" r:id="rId17"/>
      <w:footerReference w:type="first" r:id="rId1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E31" w:rsidRDefault="00E74E31" w:rsidP="00E16313">
      <w:r>
        <w:separator/>
      </w:r>
    </w:p>
  </w:endnote>
  <w:endnote w:type="continuationSeparator" w:id="0">
    <w:p w:rsidR="00E74E31" w:rsidRDefault="00E74E31" w:rsidP="00E16313">
      <w:r>
        <w:continuationSeparator/>
      </w:r>
    </w:p>
  </w:endnote>
  <w:endnote w:type="continuationNotice" w:id="1">
    <w:p w:rsidR="00E74E31" w:rsidRDefault="00E74E31" w:rsidP="00E1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Univers for KPMG Light">
    <w:altName w:val="Trebuchet MS"/>
    <w:panose1 w:val="020B0403020202020204"/>
    <w:charset w:val="BA"/>
    <w:family w:val="swiss"/>
    <w:pitch w:val="variable"/>
    <w:sig w:usb0="800002AF" w:usb1="5000204A"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Univers for KPMG">
    <w:altName w:val="Trebuchet MS"/>
    <w:panose1 w:val="020B0603020202020204"/>
    <w:charset w:val="BA"/>
    <w:family w:val="swiss"/>
    <w:pitch w:val="variable"/>
    <w:sig w:usb0="800002AF" w:usb1="5000204A"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Trebuchet MS">
    <w:panose1 w:val="020B0603020202020204"/>
    <w:charset w:val="BA"/>
    <w:family w:val="swiss"/>
    <w:pitch w:val="variable"/>
    <w:sig w:usb0="00000287" w:usb1="00000003" w:usb2="00000000" w:usb3="00000000" w:csb0="0000009F" w:csb1="00000000"/>
  </w:font>
  <w:font w:name="Univers 45 Light">
    <w:panose1 w:val="00000000000000000000"/>
    <w:charset w:val="00"/>
    <w:family w:val="auto"/>
    <w:pitch w:val="variable"/>
    <w:sig w:usb0="8000002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FB" w:rsidRDefault="00683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66" w:rsidRDefault="00903366" w:rsidP="00E16313">
    <w:pPr>
      <w:pStyle w:val="Footer"/>
    </w:pPr>
    <w:r>
      <w:tab/>
    </w:r>
    <w:r>
      <w:rPr>
        <w:noProof/>
        <w:lang w:val="lt-LT"/>
      </w:rPr>
      <w:drawing>
        <wp:anchor distT="0" distB="0" distL="114300" distR="114300" simplePos="0" relativeHeight="251708416" behindDoc="1" locked="0" layoutInCell="1" allowOverlap="1" wp14:anchorId="0B8EF0C2" wp14:editId="05B6EA31">
          <wp:simplePos x="0" y="0"/>
          <wp:positionH relativeFrom="margin">
            <wp:posOffset>4140200</wp:posOffset>
          </wp:positionH>
          <wp:positionV relativeFrom="paragraph">
            <wp:posOffset>-43180</wp:posOffset>
          </wp:positionV>
          <wp:extent cx="1112520" cy="269240"/>
          <wp:effectExtent l="0" t="0" r="0" b="0"/>
          <wp:wrapTight wrapText="bothSides">
            <wp:wrapPolygon edited="0">
              <wp:start x="0" y="0"/>
              <wp:lineTo x="0" y="19868"/>
              <wp:lineTo x="21082" y="19868"/>
              <wp:lineTo x="210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_logo_glimsted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2520" cy="269240"/>
                  </a:xfrm>
                  <a:prstGeom prst="rect">
                    <a:avLst/>
                  </a:prstGeom>
                </pic:spPr>
              </pic:pic>
            </a:graphicData>
          </a:graphic>
          <wp14:sizeRelH relativeFrom="page">
            <wp14:pctWidth>0</wp14:pctWidth>
          </wp14:sizeRelH>
          <wp14:sizeRelV relativeFrom="page">
            <wp14:pctHeight>0</wp14:pctHeight>
          </wp14:sizeRelV>
        </wp:anchor>
      </w:drawing>
    </w:r>
    <w:r>
      <w:rPr>
        <w:noProof/>
        <w:lang w:val="lt-LT"/>
      </w:rPr>
      <w:drawing>
        <wp:anchor distT="0" distB="0" distL="114300" distR="114300" simplePos="0" relativeHeight="251707392" behindDoc="1" locked="0" layoutInCell="1" allowOverlap="1" wp14:anchorId="5543179E" wp14:editId="09EDDC9F">
          <wp:simplePos x="0" y="0"/>
          <wp:positionH relativeFrom="page">
            <wp:posOffset>3133090</wp:posOffset>
          </wp:positionH>
          <wp:positionV relativeFrom="paragraph">
            <wp:posOffset>-29845</wp:posOffset>
          </wp:positionV>
          <wp:extent cx="861060" cy="241300"/>
          <wp:effectExtent l="0" t="0" r="0" b="6350"/>
          <wp:wrapTight wrapText="bothSides">
            <wp:wrapPolygon edited="0">
              <wp:start x="1434" y="0"/>
              <wp:lineTo x="0" y="6821"/>
              <wp:lineTo x="0" y="20463"/>
              <wp:lineTo x="4301" y="20463"/>
              <wp:lineTo x="21027" y="17053"/>
              <wp:lineTo x="21027" y="6821"/>
              <wp:lineTo x="3823" y="0"/>
              <wp:lineTo x="143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png"/>
                  <pic:cNvPicPr/>
                </pic:nvPicPr>
                <pic:blipFill>
                  <a:blip r:embed="rId2">
                    <a:extLst>
                      <a:ext uri="{28A0092B-C50C-407E-A947-70E740481C1C}">
                        <a14:useLocalDpi xmlns:a14="http://schemas.microsoft.com/office/drawing/2010/main" val="0"/>
                      </a:ext>
                    </a:extLst>
                  </a:blip>
                  <a:stretch>
                    <a:fillRect/>
                  </a:stretch>
                </pic:blipFill>
                <pic:spPr>
                  <a:xfrm>
                    <a:off x="0" y="0"/>
                    <a:ext cx="861060" cy="241300"/>
                  </a:xfrm>
                  <a:prstGeom prst="rect">
                    <a:avLst/>
                  </a:prstGeom>
                </pic:spPr>
              </pic:pic>
            </a:graphicData>
          </a:graphic>
          <wp14:sizeRelH relativeFrom="page">
            <wp14:pctWidth>0</wp14:pctWidth>
          </wp14:sizeRelH>
          <wp14:sizeRelV relativeFrom="page">
            <wp14:pctHeight>0</wp14:pctHeight>
          </wp14:sizeRelV>
        </wp:anchor>
      </w:drawing>
    </w:r>
    <w:r>
      <w:rPr>
        <w:noProof/>
        <w:lang w:val="lt-LT"/>
      </w:rPr>
      <w:drawing>
        <wp:anchor distT="0" distB="0" distL="114300" distR="114300" simplePos="0" relativeHeight="251706368" behindDoc="1" locked="0" layoutInCell="1" allowOverlap="1" wp14:anchorId="05357989" wp14:editId="6F8431F7">
          <wp:simplePos x="0" y="0"/>
          <wp:positionH relativeFrom="margin">
            <wp:posOffset>146050</wp:posOffset>
          </wp:positionH>
          <wp:positionV relativeFrom="paragraph">
            <wp:posOffset>-102870</wp:posOffset>
          </wp:positionV>
          <wp:extent cx="680720" cy="387985"/>
          <wp:effectExtent l="0" t="0" r="5080" b="0"/>
          <wp:wrapTight wrapText="bothSides">
            <wp:wrapPolygon edited="0">
              <wp:start x="0" y="0"/>
              <wp:lineTo x="0" y="20151"/>
              <wp:lineTo x="21157" y="20151"/>
              <wp:lineTo x="211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pm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0720" cy="3879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FB" w:rsidRDefault="00683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E31" w:rsidRDefault="00E74E31" w:rsidP="00E16313">
      <w:r>
        <w:separator/>
      </w:r>
    </w:p>
  </w:footnote>
  <w:footnote w:type="continuationSeparator" w:id="0">
    <w:p w:rsidR="00E74E31" w:rsidRDefault="00E74E31" w:rsidP="00E16313">
      <w:r>
        <w:continuationSeparator/>
      </w:r>
    </w:p>
  </w:footnote>
  <w:footnote w:type="continuationNotice" w:id="1">
    <w:p w:rsidR="00E74E31" w:rsidRDefault="00E74E31" w:rsidP="00E163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FB" w:rsidRDefault="00683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66" w:rsidRPr="00733A45" w:rsidRDefault="00903366" w:rsidP="00096BE7">
    <w:pPr>
      <w:pStyle w:val="Header"/>
      <w:spacing w:before="20" w:after="20"/>
      <w:rPr>
        <w:rFonts w:ascii="Arial" w:hAnsi="Arial" w:cs="Arial"/>
        <w:sz w:val="22"/>
        <w:szCs w:val="22"/>
      </w:rPr>
    </w:pPr>
    <w:r w:rsidRPr="00096BE7">
      <w:rPr>
        <w:rFonts w:ascii="Arial" w:hAnsi="Arial" w:cs="Arial"/>
        <w:sz w:val="22"/>
        <w:szCs w:val="22"/>
      </w:rPr>
      <w:t xml:space="preserve">Evaluation of </w:t>
    </w:r>
    <w:r>
      <w:rPr>
        <w:rFonts w:ascii="Arial" w:hAnsi="Arial" w:cs="Arial"/>
        <w:sz w:val="22"/>
        <w:szCs w:val="22"/>
      </w:rPr>
      <w:t xml:space="preserve">the Use of </w:t>
    </w:r>
    <w:r w:rsidRPr="00096BE7">
      <w:rPr>
        <w:rFonts w:ascii="Arial" w:hAnsi="Arial" w:cs="Arial"/>
        <w:sz w:val="22"/>
        <w:szCs w:val="22"/>
      </w:rPr>
      <w:t xml:space="preserve">EU </w:t>
    </w:r>
    <w:r>
      <w:rPr>
        <w:rFonts w:ascii="Arial" w:hAnsi="Arial" w:cs="Arial"/>
        <w:sz w:val="22"/>
        <w:szCs w:val="22"/>
      </w:rPr>
      <w:t>Funds f</w:t>
    </w:r>
    <w:r w:rsidRPr="00096BE7">
      <w:rPr>
        <w:rFonts w:ascii="Arial" w:hAnsi="Arial" w:cs="Arial"/>
        <w:sz w:val="22"/>
        <w:szCs w:val="22"/>
      </w:rPr>
      <w:t xml:space="preserve">or </w:t>
    </w:r>
    <w:r>
      <w:rPr>
        <w:rFonts w:ascii="Arial" w:hAnsi="Arial" w:cs="Arial"/>
        <w:sz w:val="22"/>
        <w:szCs w:val="22"/>
      </w:rPr>
      <w:t>H</w:t>
    </w:r>
    <w:r w:rsidRPr="00096BE7">
      <w:rPr>
        <w:rFonts w:ascii="Arial" w:hAnsi="Arial" w:cs="Arial"/>
        <w:sz w:val="22"/>
        <w:szCs w:val="22"/>
      </w:rPr>
      <w:t xml:space="preserve">ousing </w:t>
    </w:r>
    <w:r>
      <w:rPr>
        <w:rFonts w:ascii="Arial" w:hAnsi="Arial" w:cs="Arial"/>
        <w:sz w:val="22"/>
        <w:szCs w:val="22"/>
      </w:rPr>
      <w:t>R</w:t>
    </w:r>
    <w:r w:rsidRPr="00096BE7">
      <w:rPr>
        <w:rFonts w:ascii="Arial" w:hAnsi="Arial" w:cs="Arial"/>
        <w:sz w:val="22"/>
        <w:szCs w:val="22"/>
      </w:rPr>
      <w:t>enovation</w:t>
    </w:r>
  </w:p>
  <w:p w:rsidR="00903366" w:rsidRPr="00096BE7" w:rsidRDefault="00903366" w:rsidP="00096BE7">
    <w:pPr>
      <w:pStyle w:val="Header"/>
      <w:spacing w:before="20" w:after="20"/>
      <w:rPr>
        <w:rFonts w:ascii="Arial" w:hAnsi="Arial" w:cs="Arial"/>
        <w:b/>
        <w:sz w:val="22"/>
        <w:szCs w:val="22"/>
      </w:rPr>
    </w:pPr>
    <w:r>
      <w:rPr>
        <w:rFonts w:ascii="Arial" w:hAnsi="Arial" w:cs="Arial"/>
        <w:b/>
        <w:sz w:val="22"/>
        <w:szCs w:val="22"/>
      </w:rPr>
      <w:t>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3FB" w:rsidRDefault="00683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87643"/>
    <w:multiLevelType w:val="multilevel"/>
    <w:tmpl w:val="F768D9AC"/>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 w15:restartNumberingAfterBreak="0">
    <w:nsid w:val="2D926C4D"/>
    <w:multiLevelType w:val="multilevel"/>
    <w:tmpl w:val="AF8AD10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BE0BE6"/>
    <w:multiLevelType w:val="hybridMultilevel"/>
    <w:tmpl w:val="099E6AA0"/>
    <w:lvl w:ilvl="0" w:tplc="E8C0BF50">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65D7CE6"/>
    <w:multiLevelType w:val="hybridMultilevel"/>
    <w:tmpl w:val="44840C58"/>
    <w:lvl w:ilvl="0" w:tplc="AE0C6CD6">
      <w:start w:val="1"/>
      <w:numFmt w:val="bullet"/>
      <w:lvlText w:val=""/>
      <w:lvlJc w:val="left"/>
      <w:pPr>
        <w:ind w:left="928" w:hanging="360"/>
      </w:pPr>
      <w:rPr>
        <w:rFonts w:ascii="Wingdings" w:hAnsi="Wingdings" w:hint="default"/>
        <w:color w:val="808080" w:themeColor="background1" w:themeShade="80"/>
        <w:sz w:val="24"/>
        <w:szCs w:val="24"/>
      </w:rPr>
    </w:lvl>
    <w:lvl w:ilvl="1" w:tplc="122C8FBE">
      <w:start w:val="1"/>
      <w:numFmt w:val="bullet"/>
      <w:lvlText w:val="-"/>
      <w:lvlJc w:val="left"/>
      <w:pPr>
        <w:ind w:left="2007" w:hanging="360"/>
      </w:pPr>
      <w:rPr>
        <w:rFonts w:ascii="Univers for KPMG Light" w:hAnsi="Univers for KPMG Light" w:hint="default"/>
        <w:color w:val="auto"/>
        <w:sz w:val="22"/>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7BEC5258"/>
    <w:multiLevelType w:val="multilevel"/>
    <w:tmpl w:val="C7FA56D2"/>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hideGrammaticalErrors/>
  <w:proofState w:spelling="clean" w:grammar="clean"/>
  <w:documentProtection w:edit="trackedChanges" w:enforcement="0"/>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71"/>
    <w:rsid w:val="0000223B"/>
    <w:rsid w:val="000022A8"/>
    <w:rsid w:val="00002D5D"/>
    <w:rsid w:val="000030BE"/>
    <w:rsid w:val="00003675"/>
    <w:rsid w:val="000044C9"/>
    <w:rsid w:val="00004512"/>
    <w:rsid w:val="00004943"/>
    <w:rsid w:val="00004FC3"/>
    <w:rsid w:val="00005291"/>
    <w:rsid w:val="00005F93"/>
    <w:rsid w:val="00006C99"/>
    <w:rsid w:val="00007827"/>
    <w:rsid w:val="000078BF"/>
    <w:rsid w:val="0001081C"/>
    <w:rsid w:val="00011170"/>
    <w:rsid w:val="00011572"/>
    <w:rsid w:val="000115D0"/>
    <w:rsid w:val="00011831"/>
    <w:rsid w:val="00011AD9"/>
    <w:rsid w:val="00013CC5"/>
    <w:rsid w:val="00014462"/>
    <w:rsid w:val="00014DC4"/>
    <w:rsid w:val="00015962"/>
    <w:rsid w:val="00015A14"/>
    <w:rsid w:val="000169B0"/>
    <w:rsid w:val="00016BAF"/>
    <w:rsid w:val="00017004"/>
    <w:rsid w:val="000207A5"/>
    <w:rsid w:val="000223AA"/>
    <w:rsid w:val="00022DC1"/>
    <w:rsid w:val="00023556"/>
    <w:rsid w:val="000239D1"/>
    <w:rsid w:val="0002596D"/>
    <w:rsid w:val="00025985"/>
    <w:rsid w:val="000278F7"/>
    <w:rsid w:val="00027A84"/>
    <w:rsid w:val="000313F7"/>
    <w:rsid w:val="00031862"/>
    <w:rsid w:val="000318BD"/>
    <w:rsid w:val="00031DA7"/>
    <w:rsid w:val="00033452"/>
    <w:rsid w:val="00033521"/>
    <w:rsid w:val="00033753"/>
    <w:rsid w:val="0003386B"/>
    <w:rsid w:val="000339AB"/>
    <w:rsid w:val="00033CD2"/>
    <w:rsid w:val="00033DBC"/>
    <w:rsid w:val="000340EC"/>
    <w:rsid w:val="00035C2A"/>
    <w:rsid w:val="0003617E"/>
    <w:rsid w:val="00036A7D"/>
    <w:rsid w:val="00036FE6"/>
    <w:rsid w:val="000377C1"/>
    <w:rsid w:val="00037E33"/>
    <w:rsid w:val="00040812"/>
    <w:rsid w:val="00040A73"/>
    <w:rsid w:val="00041109"/>
    <w:rsid w:val="0004168C"/>
    <w:rsid w:val="000419E3"/>
    <w:rsid w:val="00041EBC"/>
    <w:rsid w:val="00043585"/>
    <w:rsid w:val="000439B7"/>
    <w:rsid w:val="000440A7"/>
    <w:rsid w:val="0004475E"/>
    <w:rsid w:val="00044E74"/>
    <w:rsid w:val="00045463"/>
    <w:rsid w:val="000476FA"/>
    <w:rsid w:val="00047DA7"/>
    <w:rsid w:val="00047EA7"/>
    <w:rsid w:val="000501EB"/>
    <w:rsid w:val="000504EF"/>
    <w:rsid w:val="00050959"/>
    <w:rsid w:val="00050F7C"/>
    <w:rsid w:val="00051410"/>
    <w:rsid w:val="0005213C"/>
    <w:rsid w:val="00052477"/>
    <w:rsid w:val="00053030"/>
    <w:rsid w:val="000544D9"/>
    <w:rsid w:val="0005537E"/>
    <w:rsid w:val="00055754"/>
    <w:rsid w:val="00055960"/>
    <w:rsid w:val="000562C2"/>
    <w:rsid w:val="0005671E"/>
    <w:rsid w:val="00056E8E"/>
    <w:rsid w:val="0005740B"/>
    <w:rsid w:val="0006013B"/>
    <w:rsid w:val="00060F49"/>
    <w:rsid w:val="00061B0B"/>
    <w:rsid w:val="00062C63"/>
    <w:rsid w:val="00063B3C"/>
    <w:rsid w:val="00065835"/>
    <w:rsid w:val="00065FA9"/>
    <w:rsid w:val="0006730A"/>
    <w:rsid w:val="000679F9"/>
    <w:rsid w:val="000700E6"/>
    <w:rsid w:val="00070C60"/>
    <w:rsid w:val="00070D3E"/>
    <w:rsid w:val="0007150A"/>
    <w:rsid w:val="00071F2D"/>
    <w:rsid w:val="000724D9"/>
    <w:rsid w:val="0007297A"/>
    <w:rsid w:val="00073561"/>
    <w:rsid w:val="00073FD5"/>
    <w:rsid w:val="00075029"/>
    <w:rsid w:val="00075CD5"/>
    <w:rsid w:val="00076B3A"/>
    <w:rsid w:val="00080344"/>
    <w:rsid w:val="00080E7F"/>
    <w:rsid w:val="000816AF"/>
    <w:rsid w:val="00082BC7"/>
    <w:rsid w:val="000838A8"/>
    <w:rsid w:val="00083915"/>
    <w:rsid w:val="00083AA1"/>
    <w:rsid w:val="0008450A"/>
    <w:rsid w:val="00085797"/>
    <w:rsid w:val="00085F37"/>
    <w:rsid w:val="00086206"/>
    <w:rsid w:val="00090F66"/>
    <w:rsid w:val="0009271A"/>
    <w:rsid w:val="00092824"/>
    <w:rsid w:val="00093355"/>
    <w:rsid w:val="00094A80"/>
    <w:rsid w:val="00095619"/>
    <w:rsid w:val="00096059"/>
    <w:rsid w:val="00096BE7"/>
    <w:rsid w:val="00097AC8"/>
    <w:rsid w:val="000A054B"/>
    <w:rsid w:val="000A0CFE"/>
    <w:rsid w:val="000A1466"/>
    <w:rsid w:val="000A1F79"/>
    <w:rsid w:val="000A22CB"/>
    <w:rsid w:val="000A3D3D"/>
    <w:rsid w:val="000A49D3"/>
    <w:rsid w:val="000A5052"/>
    <w:rsid w:val="000A53B0"/>
    <w:rsid w:val="000A552A"/>
    <w:rsid w:val="000A5BE9"/>
    <w:rsid w:val="000A5DDE"/>
    <w:rsid w:val="000A66D1"/>
    <w:rsid w:val="000A7943"/>
    <w:rsid w:val="000B1B7A"/>
    <w:rsid w:val="000B278F"/>
    <w:rsid w:val="000B2C5B"/>
    <w:rsid w:val="000B2FA0"/>
    <w:rsid w:val="000B3032"/>
    <w:rsid w:val="000B36B9"/>
    <w:rsid w:val="000B4203"/>
    <w:rsid w:val="000B4837"/>
    <w:rsid w:val="000B562B"/>
    <w:rsid w:val="000B57E2"/>
    <w:rsid w:val="000B5F72"/>
    <w:rsid w:val="000B61B3"/>
    <w:rsid w:val="000B63BD"/>
    <w:rsid w:val="000B6ADF"/>
    <w:rsid w:val="000B7057"/>
    <w:rsid w:val="000B739B"/>
    <w:rsid w:val="000B73BE"/>
    <w:rsid w:val="000B79CF"/>
    <w:rsid w:val="000B7FDC"/>
    <w:rsid w:val="000C0011"/>
    <w:rsid w:val="000C0D71"/>
    <w:rsid w:val="000C15B3"/>
    <w:rsid w:val="000C1AC0"/>
    <w:rsid w:val="000C235F"/>
    <w:rsid w:val="000C3F61"/>
    <w:rsid w:val="000C3FC2"/>
    <w:rsid w:val="000C43D7"/>
    <w:rsid w:val="000C4BBC"/>
    <w:rsid w:val="000C4ED0"/>
    <w:rsid w:val="000C62D5"/>
    <w:rsid w:val="000C6FA6"/>
    <w:rsid w:val="000C7740"/>
    <w:rsid w:val="000D06ED"/>
    <w:rsid w:val="000D0BD3"/>
    <w:rsid w:val="000D0D7F"/>
    <w:rsid w:val="000D154B"/>
    <w:rsid w:val="000D1BA8"/>
    <w:rsid w:val="000D2079"/>
    <w:rsid w:val="000D3667"/>
    <w:rsid w:val="000D40A4"/>
    <w:rsid w:val="000D469B"/>
    <w:rsid w:val="000D5F92"/>
    <w:rsid w:val="000D6699"/>
    <w:rsid w:val="000D6889"/>
    <w:rsid w:val="000D68BD"/>
    <w:rsid w:val="000D69C0"/>
    <w:rsid w:val="000D6DCA"/>
    <w:rsid w:val="000D7800"/>
    <w:rsid w:val="000D798D"/>
    <w:rsid w:val="000E069C"/>
    <w:rsid w:val="000E19D3"/>
    <w:rsid w:val="000E1BE2"/>
    <w:rsid w:val="000E2270"/>
    <w:rsid w:val="000E23C9"/>
    <w:rsid w:val="000E2ED2"/>
    <w:rsid w:val="000E2F81"/>
    <w:rsid w:val="000E35AE"/>
    <w:rsid w:val="000E3B55"/>
    <w:rsid w:val="000E3B60"/>
    <w:rsid w:val="000E4ADD"/>
    <w:rsid w:val="000E578F"/>
    <w:rsid w:val="000E6BB8"/>
    <w:rsid w:val="000E6FD1"/>
    <w:rsid w:val="000F0294"/>
    <w:rsid w:val="000F1AC1"/>
    <w:rsid w:val="000F1ECE"/>
    <w:rsid w:val="000F2870"/>
    <w:rsid w:val="000F2BB6"/>
    <w:rsid w:val="000F5080"/>
    <w:rsid w:val="000F50FE"/>
    <w:rsid w:val="000F5905"/>
    <w:rsid w:val="000F5EEA"/>
    <w:rsid w:val="000F6C28"/>
    <w:rsid w:val="000F7887"/>
    <w:rsid w:val="000F7AC3"/>
    <w:rsid w:val="001003A0"/>
    <w:rsid w:val="0010124D"/>
    <w:rsid w:val="00101613"/>
    <w:rsid w:val="001021FB"/>
    <w:rsid w:val="00102220"/>
    <w:rsid w:val="00102250"/>
    <w:rsid w:val="001022DB"/>
    <w:rsid w:val="0010230E"/>
    <w:rsid w:val="001037D1"/>
    <w:rsid w:val="001037E6"/>
    <w:rsid w:val="001076BE"/>
    <w:rsid w:val="001079CB"/>
    <w:rsid w:val="0011033F"/>
    <w:rsid w:val="00111B09"/>
    <w:rsid w:val="00112892"/>
    <w:rsid w:val="0011576B"/>
    <w:rsid w:val="00115AAA"/>
    <w:rsid w:val="00115D78"/>
    <w:rsid w:val="001165ED"/>
    <w:rsid w:val="00116BAD"/>
    <w:rsid w:val="00117BB6"/>
    <w:rsid w:val="00120558"/>
    <w:rsid w:val="0012065C"/>
    <w:rsid w:val="001215F0"/>
    <w:rsid w:val="001215F1"/>
    <w:rsid w:val="001225F8"/>
    <w:rsid w:val="001229CA"/>
    <w:rsid w:val="00122E04"/>
    <w:rsid w:val="00123413"/>
    <w:rsid w:val="00123963"/>
    <w:rsid w:val="001254F7"/>
    <w:rsid w:val="001256B9"/>
    <w:rsid w:val="00125977"/>
    <w:rsid w:val="001267F9"/>
    <w:rsid w:val="00126951"/>
    <w:rsid w:val="00126CE7"/>
    <w:rsid w:val="00126FBB"/>
    <w:rsid w:val="001273D4"/>
    <w:rsid w:val="00131AE1"/>
    <w:rsid w:val="00131FC4"/>
    <w:rsid w:val="0013240C"/>
    <w:rsid w:val="00132FCF"/>
    <w:rsid w:val="001330B0"/>
    <w:rsid w:val="00135030"/>
    <w:rsid w:val="00135068"/>
    <w:rsid w:val="00137188"/>
    <w:rsid w:val="0014027F"/>
    <w:rsid w:val="00140331"/>
    <w:rsid w:val="00140919"/>
    <w:rsid w:val="00141BB8"/>
    <w:rsid w:val="00141E77"/>
    <w:rsid w:val="00142338"/>
    <w:rsid w:val="0014279B"/>
    <w:rsid w:val="00142983"/>
    <w:rsid w:val="00142E7F"/>
    <w:rsid w:val="0014362B"/>
    <w:rsid w:val="00143970"/>
    <w:rsid w:val="00143EF8"/>
    <w:rsid w:val="00144DE6"/>
    <w:rsid w:val="00144FC6"/>
    <w:rsid w:val="0014537B"/>
    <w:rsid w:val="00146681"/>
    <w:rsid w:val="00147A6B"/>
    <w:rsid w:val="00147F81"/>
    <w:rsid w:val="00147FB2"/>
    <w:rsid w:val="00147FCB"/>
    <w:rsid w:val="00150517"/>
    <w:rsid w:val="00150BFA"/>
    <w:rsid w:val="001513F2"/>
    <w:rsid w:val="00151F01"/>
    <w:rsid w:val="00151F18"/>
    <w:rsid w:val="00153DE5"/>
    <w:rsid w:val="00154D5B"/>
    <w:rsid w:val="001557DB"/>
    <w:rsid w:val="00155DF2"/>
    <w:rsid w:val="00156404"/>
    <w:rsid w:val="0015682A"/>
    <w:rsid w:val="00157A2A"/>
    <w:rsid w:val="00157B32"/>
    <w:rsid w:val="00157D5B"/>
    <w:rsid w:val="00160012"/>
    <w:rsid w:val="00161F9C"/>
    <w:rsid w:val="00162429"/>
    <w:rsid w:val="00162439"/>
    <w:rsid w:val="00165597"/>
    <w:rsid w:val="00167451"/>
    <w:rsid w:val="00167E6C"/>
    <w:rsid w:val="00170B88"/>
    <w:rsid w:val="00171BB4"/>
    <w:rsid w:val="001742EE"/>
    <w:rsid w:val="001748D7"/>
    <w:rsid w:val="00174EAE"/>
    <w:rsid w:val="00174EFA"/>
    <w:rsid w:val="00175FF1"/>
    <w:rsid w:val="0017719C"/>
    <w:rsid w:val="001773C8"/>
    <w:rsid w:val="001801CC"/>
    <w:rsid w:val="0018028F"/>
    <w:rsid w:val="001803A4"/>
    <w:rsid w:val="00180764"/>
    <w:rsid w:val="001809A5"/>
    <w:rsid w:val="00181A6A"/>
    <w:rsid w:val="00182F21"/>
    <w:rsid w:val="00183C44"/>
    <w:rsid w:val="0018472D"/>
    <w:rsid w:val="00184DC2"/>
    <w:rsid w:val="001855FD"/>
    <w:rsid w:val="00186292"/>
    <w:rsid w:val="00186DB3"/>
    <w:rsid w:val="00187353"/>
    <w:rsid w:val="0019010F"/>
    <w:rsid w:val="001902D5"/>
    <w:rsid w:val="00190C6D"/>
    <w:rsid w:val="00190F11"/>
    <w:rsid w:val="001918E3"/>
    <w:rsid w:val="001921BF"/>
    <w:rsid w:val="00192CE1"/>
    <w:rsid w:val="001956E9"/>
    <w:rsid w:val="00195AD0"/>
    <w:rsid w:val="00196E8E"/>
    <w:rsid w:val="001A06DE"/>
    <w:rsid w:val="001A0F8C"/>
    <w:rsid w:val="001A19A1"/>
    <w:rsid w:val="001A2669"/>
    <w:rsid w:val="001A2FF1"/>
    <w:rsid w:val="001A3475"/>
    <w:rsid w:val="001A499E"/>
    <w:rsid w:val="001A4EFB"/>
    <w:rsid w:val="001A5003"/>
    <w:rsid w:val="001A56EC"/>
    <w:rsid w:val="001A5B0D"/>
    <w:rsid w:val="001A5B4F"/>
    <w:rsid w:val="001A67D3"/>
    <w:rsid w:val="001B0477"/>
    <w:rsid w:val="001B08FE"/>
    <w:rsid w:val="001B1195"/>
    <w:rsid w:val="001B26C4"/>
    <w:rsid w:val="001B29B1"/>
    <w:rsid w:val="001B2A67"/>
    <w:rsid w:val="001B3CD9"/>
    <w:rsid w:val="001B439B"/>
    <w:rsid w:val="001B4802"/>
    <w:rsid w:val="001B4C5F"/>
    <w:rsid w:val="001C0083"/>
    <w:rsid w:val="001C0A58"/>
    <w:rsid w:val="001C240C"/>
    <w:rsid w:val="001C2C2A"/>
    <w:rsid w:val="001C2CB6"/>
    <w:rsid w:val="001C2E3A"/>
    <w:rsid w:val="001C397E"/>
    <w:rsid w:val="001C3E9D"/>
    <w:rsid w:val="001C45FC"/>
    <w:rsid w:val="001C47B7"/>
    <w:rsid w:val="001C4DEE"/>
    <w:rsid w:val="001C4E49"/>
    <w:rsid w:val="001C5454"/>
    <w:rsid w:val="001D05B9"/>
    <w:rsid w:val="001D208D"/>
    <w:rsid w:val="001D2663"/>
    <w:rsid w:val="001D3C7A"/>
    <w:rsid w:val="001D57AE"/>
    <w:rsid w:val="001D5AD5"/>
    <w:rsid w:val="001D73A7"/>
    <w:rsid w:val="001D7E90"/>
    <w:rsid w:val="001E0293"/>
    <w:rsid w:val="001E06D3"/>
    <w:rsid w:val="001E09AC"/>
    <w:rsid w:val="001E2447"/>
    <w:rsid w:val="001E2A9D"/>
    <w:rsid w:val="001E2F63"/>
    <w:rsid w:val="001E37BA"/>
    <w:rsid w:val="001E3C63"/>
    <w:rsid w:val="001E4AA2"/>
    <w:rsid w:val="001E551E"/>
    <w:rsid w:val="001E560C"/>
    <w:rsid w:val="001E61A7"/>
    <w:rsid w:val="001F05ED"/>
    <w:rsid w:val="001F0EE0"/>
    <w:rsid w:val="001F10FF"/>
    <w:rsid w:val="001F120E"/>
    <w:rsid w:val="001F1430"/>
    <w:rsid w:val="001F1702"/>
    <w:rsid w:val="001F1D4C"/>
    <w:rsid w:val="001F2A63"/>
    <w:rsid w:val="001F391A"/>
    <w:rsid w:val="001F415A"/>
    <w:rsid w:val="001F4403"/>
    <w:rsid w:val="001F45A0"/>
    <w:rsid w:val="001F6325"/>
    <w:rsid w:val="001F69D9"/>
    <w:rsid w:val="001F720F"/>
    <w:rsid w:val="001F7632"/>
    <w:rsid w:val="00200578"/>
    <w:rsid w:val="00200FFD"/>
    <w:rsid w:val="00201ABD"/>
    <w:rsid w:val="0020220C"/>
    <w:rsid w:val="00203AF1"/>
    <w:rsid w:val="00203F98"/>
    <w:rsid w:val="00205123"/>
    <w:rsid w:val="0020544E"/>
    <w:rsid w:val="00206105"/>
    <w:rsid w:val="00207237"/>
    <w:rsid w:val="00210016"/>
    <w:rsid w:val="0021030D"/>
    <w:rsid w:val="00210DFA"/>
    <w:rsid w:val="0021143B"/>
    <w:rsid w:val="00211A45"/>
    <w:rsid w:val="00213235"/>
    <w:rsid w:val="0021334D"/>
    <w:rsid w:val="002133BA"/>
    <w:rsid w:val="0021479E"/>
    <w:rsid w:val="002147A6"/>
    <w:rsid w:val="00215F71"/>
    <w:rsid w:val="00216882"/>
    <w:rsid w:val="00216B86"/>
    <w:rsid w:val="00216FBD"/>
    <w:rsid w:val="00217825"/>
    <w:rsid w:val="002179B2"/>
    <w:rsid w:val="00220A5E"/>
    <w:rsid w:val="002214F7"/>
    <w:rsid w:val="0022206D"/>
    <w:rsid w:val="002224EC"/>
    <w:rsid w:val="00222B2C"/>
    <w:rsid w:val="00222DE9"/>
    <w:rsid w:val="00222F47"/>
    <w:rsid w:val="00223E8E"/>
    <w:rsid w:val="002244C3"/>
    <w:rsid w:val="00224629"/>
    <w:rsid w:val="0022547C"/>
    <w:rsid w:val="00225625"/>
    <w:rsid w:val="00226059"/>
    <w:rsid w:val="002261D2"/>
    <w:rsid w:val="002278AB"/>
    <w:rsid w:val="00230436"/>
    <w:rsid w:val="002305EC"/>
    <w:rsid w:val="00232013"/>
    <w:rsid w:val="00232925"/>
    <w:rsid w:val="002338BF"/>
    <w:rsid w:val="00233F2D"/>
    <w:rsid w:val="00234A41"/>
    <w:rsid w:val="00234D0B"/>
    <w:rsid w:val="00236122"/>
    <w:rsid w:val="00236218"/>
    <w:rsid w:val="0023625B"/>
    <w:rsid w:val="00236728"/>
    <w:rsid w:val="0023740B"/>
    <w:rsid w:val="002377FC"/>
    <w:rsid w:val="00237886"/>
    <w:rsid w:val="00237A3F"/>
    <w:rsid w:val="00240187"/>
    <w:rsid w:val="002402D4"/>
    <w:rsid w:val="00240322"/>
    <w:rsid w:val="00241173"/>
    <w:rsid w:val="00241443"/>
    <w:rsid w:val="002417F8"/>
    <w:rsid w:val="00242D1A"/>
    <w:rsid w:val="0024301B"/>
    <w:rsid w:val="00243595"/>
    <w:rsid w:val="00243B62"/>
    <w:rsid w:val="00243CB0"/>
    <w:rsid w:val="0024415F"/>
    <w:rsid w:val="002446E4"/>
    <w:rsid w:val="00244954"/>
    <w:rsid w:val="00245D29"/>
    <w:rsid w:val="002463FE"/>
    <w:rsid w:val="00247682"/>
    <w:rsid w:val="00251362"/>
    <w:rsid w:val="00251599"/>
    <w:rsid w:val="00251AE9"/>
    <w:rsid w:val="00251E17"/>
    <w:rsid w:val="00251F5D"/>
    <w:rsid w:val="00253B53"/>
    <w:rsid w:val="002540FC"/>
    <w:rsid w:val="00256741"/>
    <w:rsid w:val="0025693C"/>
    <w:rsid w:val="002571D3"/>
    <w:rsid w:val="00257BAF"/>
    <w:rsid w:val="00257CF8"/>
    <w:rsid w:val="002602C7"/>
    <w:rsid w:val="0026063F"/>
    <w:rsid w:val="00260690"/>
    <w:rsid w:val="00262733"/>
    <w:rsid w:val="00263851"/>
    <w:rsid w:val="00264815"/>
    <w:rsid w:val="00265284"/>
    <w:rsid w:val="002667DD"/>
    <w:rsid w:val="00266FFD"/>
    <w:rsid w:val="00270204"/>
    <w:rsid w:val="002703F4"/>
    <w:rsid w:val="00270566"/>
    <w:rsid w:val="00271B06"/>
    <w:rsid w:val="002740A6"/>
    <w:rsid w:val="002745C9"/>
    <w:rsid w:val="00275450"/>
    <w:rsid w:val="00275BD4"/>
    <w:rsid w:val="0027643F"/>
    <w:rsid w:val="002766A7"/>
    <w:rsid w:val="00276D34"/>
    <w:rsid w:val="00277D53"/>
    <w:rsid w:val="002806D7"/>
    <w:rsid w:val="00280A5D"/>
    <w:rsid w:val="00280F3C"/>
    <w:rsid w:val="00281270"/>
    <w:rsid w:val="00281D94"/>
    <w:rsid w:val="002820BB"/>
    <w:rsid w:val="00283D7A"/>
    <w:rsid w:val="00285C4E"/>
    <w:rsid w:val="00285D83"/>
    <w:rsid w:val="002878D5"/>
    <w:rsid w:val="00287BD2"/>
    <w:rsid w:val="00290991"/>
    <w:rsid w:val="00290F81"/>
    <w:rsid w:val="00291016"/>
    <w:rsid w:val="00291767"/>
    <w:rsid w:val="0029304E"/>
    <w:rsid w:val="002934A5"/>
    <w:rsid w:val="002939E4"/>
    <w:rsid w:val="00293A2F"/>
    <w:rsid w:val="0029428A"/>
    <w:rsid w:val="002950AD"/>
    <w:rsid w:val="002952CC"/>
    <w:rsid w:val="0029533D"/>
    <w:rsid w:val="002964C0"/>
    <w:rsid w:val="0029737D"/>
    <w:rsid w:val="002A0271"/>
    <w:rsid w:val="002A0A42"/>
    <w:rsid w:val="002A0B0F"/>
    <w:rsid w:val="002A248F"/>
    <w:rsid w:val="002A33A5"/>
    <w:rsid w:val="002A3A3F"/>
    <w:rsid w:val="002A3ED4"/>
    <w:rsid w:val="002A425B"/>
    <w:rsid w:val="002A4C1E"/>
    <w:rsid w:val="002A4F2A"/>
    <w:rsid w:val="002A5169"/>
    <w:rsid w:val="002A52B6"/>
    <w:rsid w:val="002A5D2E"/>
    <w:rsid w:val="002A6846"/>
    <w:rsid w:val="002A7D12"/>
    <w:rsid w:val="002B0EDE"/>
    <w:rsid w:val="002B1097"/>
    <w:rsid w:val="002B1EC7"/>
    <w:rsid w:val="002B2518"/>
    <w:rsid w:val="002B3C7E"/>
    <w:rsid w:val="002B463B"/>
    <w:rsid w:val="002B4EC0"/>
    <w:rsid w:val="002B6183"/>
    <w:rsid w:val="002B6865"/>
    <w:rsid w:val="002B6D0F"/>
    <w:rsid w:val="002B6DBC"/>
    <w:rsid w:val="002B70D4"/>
    <w:rsid w:val="002B7A0F"/>
    <w:rsid w:val="002C17B2"/>
    <w:rsid w:val="002C2BF1"/>
    <w:rsid w:val="002C38CA"/>
    <w:rsid w:val="002C6B4C"/>
    <w:rsid w:val="002C73F6"/>
    <w:rsid w:val="002C7833"/>
    <w:rsid w:val="002C7E00"/>
    <w:rsid w:val="002D0F7F"/>
    <w:rsid w:val="002D4467"/>
    <w:rsid w:val="002D4E2C"/>
    <w:rsid w:val="002D690B"/>
    <w:rsid w:val="002D6955"/>
    <w:rsid w:val="002D7B78"/>
    <w:rsid w:val="002E100C"/>
    <w:rsid w:val="002E11ED"/>
    <w:rsid w:val="002E14DC"/>
    <w:rsid w:val="002E1FF4"/>
    <w:rsid w:val="002E39A8"/>
    <w:rsid w:val="002E47C6"/>
    <w:rsid w:val="002E538E"/>
    <w:rsid w:val="002E5E55"/>
    <w:rsid w:val="002E6465"/>
    <w:rsid w:val="002E66EA"/>
    <w:rsid w:val="002E7D66"/>
    <w:rsid w:val="002F14AE"/>
    <w:rsid w:val="002F1844"/>
    <w:rsid w:val="002F2578"/>
    <w:rsid w:val="002F2793"/>
    <w:rsid w:val="002F3587"/>
    <w:rsid w:val="002F383A"/>
    <w:rsid w:val="002F38CD"/>
    <w:rsid w:val="002F5960"/>
    <w:rsid w:val="002F60FC"/>
    <w:rsid w:val="002F6849"/>
    <w:rsid w:val="002F715E"/>
    <w:rsid w:val="002F7D26"/>
    <w:rsid w:val="002F7E58"/>
    <w:rsid w:val="00300443"/>
    <w:rsid w:val="00300BCD"/>
    <w:rsid w:val="00300FAB"/>
    <w:rsid w:val="00301502"/>
    <w:rsid w:val="00301B63"/>
    <w:rsid w:val="00301C60"/>
    <w:rsid w:val="00302192"/>
    <w:rsid w:val="0030289C"/>
    <w:rsid w:val="00303B57"/>
    <w:rsid w:val="00303F25"/>
    <w:rsid w:val="003047B3"/>
    <w:rsid w:val="003053D2"/>
    <w:rsid w:val="00305C1A"/>
    <w:rsid w:val="00305E22"/>
    <w:rsid w:val="00307501"/>
    <w:rsid w:val="00307CA9"/>
    <w:rsid w:val="00313D21"/>
    <w:rsid w:val="00313DC5"/>
    <w:rsid w:val="003141B9"/>
    <w:rsid w:val="00315047"/>
    <w:rsid w:val="003158CC"/>
    <w:rsid w:val="00315C8E"/>
    <w:rsid w:val="0031656D"/>
    <w:rsid w:val="00316D91"/>
    <w:rsid w:val="00317EA3"/>
    <w:rsid w:val="00321C4C"/>
    <w:rsid w:val="00323955"/>
    <w:rsid w:val="00323C5B"/>
    <w:rsid w:val="003245FC"/>
    <w:rsid w:val="00324863"/>
    <w:rsid w:val="00324931"/>
    <w:rsid w:val="00325338"/>
    <w:rsid w:val="00325939"/>
    <w:rsid w:val="00326AD0"/>
    <w:rsid w:val="0032700A"/>
    <w:rsid w:val="00327F2E"/>
    <w:rsid w:val="0033093B"/>
    <w:rsid w:val="00330D8F"/>
    <w:rsid w:val="003313F4"/>
    <w:rsid w:val="00333D9F"/>
    <w:rsid w:val="00334E20"/>
    <w:rsid w:val="00335194"/>
    <w:rsid w:val="003351A9"/>
    <w:rsid w:val="003359E6"/>
    <w:rsid w:val="003361E7"/>
    <w:rsid w:val="0033666B"/>
    <w:rsid w:val="00336C25"/>
    <w:rsid w:val="00337768"/>
    <w:rsid w:val="00337D12"/>
    <w:rsid w:val="003403E5"/>
    <w:rsid w:val="00341258"/>
    <w:rsid w:val="003432D7"/>
    <w:rsid w:val="003442CE"/>
    <w:rsid w:val="00344702"/>
    <w:rsid w:val="00344BAF"/>
    <w:rsid w:val="00344E21"/>
    <w:rsid w:val="00345DED"/>
    <w:rsid w:val="00346475"/>
    <w:rsid w:val="0034714C"/>
    <w:rsid w:val="00350F27"/>
    <w:rsid w:val="00351069"/>
    <w:rsid w:val="003519F8"/>
    <w:rsid w:val="00351DB5"/>
    <w:rsid w:val="00353165"/>
    <w:rsid w:val="00353460"/>
    <w:rsid w:val="00353D74"/>
    <w:rsid w:val="00354322"/>
    <w:rsid w:val="00354B66"/>
    <w:rsid w:val="00355231"/>
    <w:rsid w:val="0035558B"/>
    <w:rsid w:val="00356D42"/>
    <w:rsid w:val="00356F40"/>
    <w:rsid w:val="003574E3"/>
    <w:rsid w:val="003578E3"/>
    <w:rsid w:val="00357F56"/>
    <w:rsid w:val="003608F0"/>
    <w:rsid w:val="0036102B"/>
    <w:rsid w:val="00361532"/>
    <w:rsid w:val="003624C7"/>
    <w:rsid w:val="00362B34"/>
    <w:rsid w:val="00364015"/>
    <w:rsid w:val="00364273"/>
    <w:rsid w:val="00364853"/>
    <w:rsid w:val="003649A0"/>
    <w:rsid w:val="00365CC2"/>
    <w:rsid w:val="00370BD1"/>
    <w:rsid w:val="003710C4"/>
    <w:rsid w:val="0037117D"/>
    <w:rsid w:val="00371701"/>
    <w:rsid w:val="00371A56"/>
    <w:rsid w:val="00372364"/>
    <w:rsid w:val="00372957"/>
    <w:rsid w:val="00372B58"/>
    <w:rsid w:val="00373049"/>
    <w:rsid w:val="00373B59"/>
    <w:rsid w:val="00374539"/>
    <w:rsid w:val="00374CF3"/>
    <w:rsid w:val="00376DBA"/>
    <w:rsid w:val="00382256"/>
    <w:rsid w:val="00383CB6"/>
    <w:rsid w:val="0038551D"/>
    <w:rsid w:val="0038708B"/>
    <w:rsid w:val="00390C1F"/>
    <w:rsid w:val="00390C2C"/>
    <w:rsid w:val="00391195"/>
    <w:rsid w:val="0039409F"/>
    <w:rsid w:val="0039433C"/>
    <w:rsid w:val="0039497E"/>
    <w:rsid w:val="00394BF3"/>
    <w:rsid w:val="0039522E"/>
    <w:rsid w:val="0039618B"/>
    <w:rsid w:val="00396255"/>
    <w:rsid w:val="00396A60"/>
    <w:rsid w:val="00397278"/>
    <w:rsid w:val="00397835"/>
    <w:rsid w:val="00397A6E"/>
    <w:rsid w:val="003A00D6"/>
    <w:rsid w:val="003A061B"/>
    <w:rsid w:val="003A0EC5"/>
    <w:rsid w:val="003A1A03"/>
    <w:rsid w:val="003A4DD3"/>
    <w:rsid w:val="003A68A9"/>
    <w:rsid w:val="003A71FA"/>
    <w:rsid w:val="003A728B"/>
    <w:rsid w:val="003A7B1A"/>
    <w:rsid w:val="003B162F"/>
    <w:rsid w:val="003B2800"/>
    <w:rsid w:val="003B494D"/>
    <w:rsid w:val="003B57D0"/>
    <w:rsid w:val="003B5FEE"/>
    <w:rsid w:val="003B6711"/>
    <w:rsid w:val="003B6971"/>
    <w:rsid w:val="003C00AA"/>
    <w:rsid w:val="003C0F4F"/>
    <w:rsid w:val="003C190A"/>
    <w:rsid w:val="003C1B1B"/>
    <w:rsid w:val="003C1E21"/>
    <w:rsid w:val="003C2CA5"/>
    <w:rsid w:val="003C35E9"/>
    <w:rsid w:val="003C47F0"/>
    <w:rsid w:val="003C4E4A"/>
    <w:rsid w:val="003C5B61"/>
    <w:rsid w:val="003C63E0"/>
    <w:rsid w:val="003C6FA9"/>
    <w:rsid w:val="003C70B4"/>
    <w:rsid w:val="003C7CFA"/>
    <w:rsid w:val="003D0059"/>
    <w:rsid w:val="003D0228"/>
    <w:rsid w:val="003D0BFE"/>
    <w:rsid w:val="003D0FC9"/>
    <w:rsid w:val="003D1453"/>
    <w:rsid w:val="003D1C39"/>
    <w:rsid w:val="003D2DC7"/>
    <w:rsid w:val="003D30B2"/>
    <w:rsid w:val="003D372E"/>
    <w:rsid w:val="003D47A5"/>
    <w:rsid w:val="003D4C59"/>
    <w:rsid w:val="003D5321"/>
    <w:rsid w:val="003D5971"/>
    <w:rsid w:val="003D5A2E"/>
    <w:rsid w:val="003D6496"/>
    <w:rsid w:val="003D6AD9"/>
    <w:rsid w:val="003D722F"/>
    <w:rsid w:val="003D727D"/>
    <w:rsid w:val="003D7355"/>
    <w:rsid w:val="003E02EB"/>
    <w:rsid w:val="003E07AF"/>
    <w:rsid w:val="003E2330"/>
    <w:rsid w:val="003E3510"/>
    <w:rsid w:val="003E372A"/>
    <w:rsid w:val="003E47CF"/>
    <w:rsid w:val="003E5326"/>
    <w:rsid w:val="003E5D44"/>
    <w:rsid w:val="003E64E5"/>
    <w:rsid w:val="003E67DF"/>
    <w:rsid w:val="003E7B7E"/>
    <w:rsid w:val="003F0440"/>
    <w:rsid w:val="003F0569"/>
    <w:rsid w:val="003F0907"/>
    <w:rsid w:val="003F0B94"/>
    <w:rsid w:val="003F1CE1"/>
    <w:rsid w:val="003F201D"/>
    <w:rsid w:val="003F23B8"/>
    <w:rsid w:val="003F251A"/>
    <w:rsid w:val="003F4E6D"/>
    <w:rsid w:val="003F53FA"/>
    <w:rsid w:val="003F57C0"/>
    <w:rsid w:val="003F5B87"/>
    <w:rsid w:val="003F5DB2"/>
    <w:rsid w:val="003F6214"/>
    <w:rsid w:val="003F6DF4"/>
    <w:rsid w:val="003F6F80"/>
    <w:rsid w:val="003F78EA"/>
    <w:rsid w:val="003F7A37"/>
    <w:rsid w:val="004026AC"/>
    <w:rsid w:val="004029E0"/>
    <w:rsid w:val="00402A59"/>
    <w:rsid w:val="00402A97"/>
    <w:rsid w:val="00402BEB"/>
    <w:rsid w:val="0040398D"/>
    <w:rsid w:val="00403F8B"/>
    <w:rsid w:val="004045D8"/>
    <w:rsid w:val="0040481F"/>
    <w:rsid w:val="004050B1"/>
    <w:rsid w:val="0040514C"/>
    <w:rsid w:val="004054B7"/>
    <w:rsid w:val="0040648D"/>
    <w:rsid w:val="00406E2B"/>
    <w:rsid w:val="00411D15"/>
    <w:rsid w:val="0041274C"/>
    <w:rsid w:val="00413C92"/>
    <w:rsid w:val="00414563"/>
    <w:rsid w:val="004154DB"/>
    <w:rsid w:val="00415F00"/>
    <w:rsid w:val="004167F0"/>
    <w:rsid w:val="00416978"/>
    <w:rsid w:val="00416CA7"/>
    <w:rsid w:val="00420494"/>
    <w:rsid w:val="00420A5E"/>
    <w:rsid w:val="00422267"/>
    <w:rsid w:val="00422298"/>
    <w:rsid w:val="0042541C"/>
    <w:rsid w:val="0042597B"/>
    <w:rsid w:val="004266CA"/>
    <w:rsid w:val="004274BD"/>
    <w:rsid w:val="0042760F"/>
    <w:rsid w:val="0042787C"/>
    <w:rsid w:val="00427981"/>
    <w:rsid w:val="004308E2"/>
    <w:rsid w:val="00430E99"/>
    <w:rsid w:val="00430F8D"/>
    <w:rsid w:val="00431E30"/>
    <w:rsid w:val="00432D40"/>
    <w:rsid w:val="0043306E"/>
    <w:rsid w:val="004341C3"/>
    <w:rsid w:val="00435AC9"/>
    <w:rsid w:val="004371E4"/>
    <w:rsid w:val="004376E4"/>
    <w:rsid w:val="0044340A"/>
    <w:rsid w:val="004436CB"/>
    <w:rsid w:val="004439C8"/>
    <w:rsid w:val="00444258"/>
    <w:rsid w:val="00445D7E"/>
    <w:rsid w:val="00445FA3"/>
    <w:rsid w:val="00446FC2"/>
    <w:rsid w:val="00446FFC"/>
    <w:rsid w:val="00447810"/>
    <w:rsid w:val="00447D24"/>
    <w:rsid w:val="004504D4"/>
    <w:rsid w:val="0045075D"/>
    <w:rsid w:val="00451228"/>
    <w:rsid w:val="004512AD"/>
    <w:rsid w:val="00451745"/>
    <w:rsid w:val="00452DB7"/>
    <w:rsid w:val="00452FFF"/>
    <w:rsid w:val="0045353E"/>
    <w:rsid w:val="004554FF"/>
    <w:rsid w:val="00455844"/>
    <w:rsid w:val="00455E08"/>
    <w:rsid w:val="00455F05"/>
    <w:rsid w:val="00457100"/>
    <w:rsid w:val="0045717E"/>
    <w:rsid w:val="00460625"/>
    <w:rsid w:val="00460902"/>
    <w:rsid w:val="00460A39"/>
    <w:rsid w:val="00462FEB"/>
    <w:rsid w:val="004650B0"/>
    <w:rsid w:val="004653F1"/>
    <w:rsid w:val="004654C5"/>
    <w:rsid w:val="00465B3F"/>
    <w:rsid w:val="00465BB4"/>
    <w:rsid w:val="00466AFD"/>
    <w:rsid w:val="00466B9C"/>
    <w:rsid w:val="0046739D"/>
    <w:rsid w:val="0046783C"/>
    <w:rsid w:val="004678A9"/>
    <w:rsid w:val="00467957"/>
    <w:rsid w:val="00467E52"/>
    <w:rsid w:val="00467F06"/>
    <w:rsid w:val="004702EF"/>
    <w:rsid w:val="00470CE0"/>
    <w:rsid w:val="00470DEF"/>
    <w:rsid w:val="00471BE5"/>
    <w:rsid w:val="004727CD"/>
    <w:rsid w:val="00473088"/>
    <w:rsid w:val="004735D0"/>
    <w:rsid w:val="00473E3A"/>
    <w:rsid w:val="0047482D"/>
    <w:rsid w:val="00474ECF"/>
    <w:rsid w:val="00475E49"/>
    <w:rsid w:val="0047657D"/>
    <w:rsid w:val="00476C29"/>
    <w:rsid w:val="0047744F"/>
    <w:rsid w:val="00480A9F"/>
    <w:rsid w:val="00480B23"/>
    <w:rsid w:val="00480C76"/>
    <w:rsid w:val="00480F52"/>
    <w:rsid w:val="00481270"/>
    <w:rsid w:val="004819B0"/>
    <w:rsid w:val="00482133"/>
    <w:rsid w:val="00482C1E"/>
    <w:rsid w:val="00483F85"/>
    <w:rsid w:val="00484506"/>
    <w:rsid w:val="004853BD"/>
    <w:rsid w:val="00485B61"/>
    <w:rsid w:val="00485F29"/>
    <w:rsid w:val="00487CE2"/>
    <w:rsid w:val="00490875"/>
    <w:rsid w:val="00490ABB"/>
    <w:rsid w:val="00490C8F"/>
    <w:rsid w:val="004955FF"/>
    <w:rsid w:val="004971D1"/>
    <w:rsid w:val="004976A9"/>
    <w:rsid w:val="00497908"/>
    <w:rsid w:val="004A0088"/>
    <w:rsid w:val="004A01C5"/>
    <w:rsid w:val="004A0DD2"/>
    <w:rsid w:val="004A0FE7"/>
    <w:rsid w:val="004A277F"/>
    <w:rsid w:val="004A2D94"/>
    <w:rsid w:val="004A3143"/>
    <w:rsid w:val="004A535B"/>
    <w:rsid w:val="004A58A0"/>
    <w:rsid w:val="004A5DB1"/>
    <w:rsid w:val="004A70BD"/>
    <w:rsid w:val="004A7678"/>
    <w:rsid w:val="004B0021"/>
    <w:rsid w:val="004B0352"/>
    <w:rsid w:val="004B08A9"/>
    <w:rsid w:val="004B0C42"/>
    <w:rsid w:val="004B0F96"/>
    <w:rsid w:val="004B1070"/>
    <w:rsid w:val="004B1439"/>
    <w:rsid w:val="004B247E"/>
    <w:rsid w:val="004B27C9"/>
    <w:rsid w:val="004B2971"/>
    <w:rsid w:val="004B2C0E"/>
    <w:rsid w:val="004B2CF6"/>
    <w:rsid w:val="004B2DDF"/>
    <w:rsid w:val="004B36D4"/>
    <w:rsid w:val="004B41A2"/>
    <w:rsid w:val="004B447B"/>
    <w:rsid w:val="004B4C6C"/>
    <w:rsid w:val="004B5B00"/>
    <w:rsid w:val="004B5C93"/>
    <w:rsid w:val="004B5F08"/>
    <w:rsid w:val="004B5F29"/>
    <w:rsid w:val="004B5FE7"/>
    <w:rsid w:val="004B6973"/>
    <w:rsid w:val="004C076D"/>
    <w:rsid w:val="004C0AFF"/>
    <w:rsid w:val="004C2520"/>
    <w:rsid w:val="004C2A0A"/>
    <w:rsid w:val="004C58F9"/>
    <w:rsid w:val="004D0A76"/>
    <w:rsid w:val="004D0B0D"/>
    <w:rsid w:val="004D1D4E"/>
    <w:rsid w:val="004D1EC7"/>
    <w:rsid w:val="004D1F28"/>
    <w:rsid w:val="004D2144"/>
    <w:rsid w:val="004D2674"/>
    <w:rsid w:val="004D52D4"/>
    <w:rsid w:val="004D5C29"/>
    <w:rsid w:val="004D700B"/>
    <w:rsid w:val="004D73F2"/>
    <w:rsid w:val="004D77CE"/>
    <w:rsid w:val="004E0D0A"/>
    <w:rsid w:val="004E1881"/>
    <w:rsid w:val="004E2053"/>
    <w:rsid w:val="004E26DC"/>
    <w:rsid w:val="004E2C85"/>
    <w:rsid w:val="004E43DB"/>
    <w:rsid w:val="004E4441"/>
    <w:rsid w:val="004E4E46"/>
    <w:rsid w:val="004E5767"/>
    <w:rsid w:val="004E5B01"/>
    <w:rsid w:val="004E60EE"/>
    <w:rsid w:val="004E642F"/>
    <w:rsid w:val="004E6678"/>
    <w:rsid w:val="004E79ED"/>
    <w:rsid w:val="004F0F04"/>
    <w:rsid w:val="004F16D8"/>
    <w:rsid w:val="004F1BF7"/>
    <w:rsid w:val="004F1CCF"/>
    <w:rsid w:val="004F24D4"/>
    <w:rsid w:val="004F3A92"/>
    <w:rsid w:val="004F3E50"/>
    <w:rsid w:val="004F41A3"/>
    <w:rsid w:val="004F4560"/>
    <w:rsid w:val="004F4684"/>
    <w:rsid w:val="004F5981"/>
    <w:rsid w:val="004F5C76"/>
    <w:rsid w:val="004F6598"/>
    <w:rsid w:val="004F6ACC"/>
    <w:rsid w:val="004F6F0C"/>
    <w:rsid w:val="00500B15"/>
    <w:rsid w:val="0050115C"/>
    <w:rsid w:val="005026F8"/>
    <w:rsid w:val="005029E9"/>
    <w:rsid w:val="0050344F"/>
    <w:rsid w:val="00503DD4"/>
    <w:rsid w:val="00506F37"/>
    <w:rsid w:val="00507779"/>
    <w:rsid w:val="005101AB"/>
    <w:rsid w:val="005104A6"/>
    <w:rsid w:val="00510572"/>
    <w:rsid w:val="005110C2"/>
    <w:rsid w:val="00511979"/>
    <w:rsid w:val="00511C59"/>
    <w:rsid w:val="005122CB"/>
    <w:rsid w:val="0051270B"/>
    <w:rsid w:val="005129D1"/>
    <w:rsid w:val="00512D27"/>
    <w:rsid w:val="00512EE4"/>
    <w:rsid w:val="00513C90"/>
    <w:rsid w:val="0051590D"/>
    <w:rsid w:val="00517B72"/>
    <w:rsid w:val="0052039F"/>
    <w:rsid w:val="005207C7"/>
    <w:rsid w:val="00520B26"/>
    <w:rsid w:val="0052323A"/>
    <w:rsid w:val="00523B8C"/>
    <w:rsid w:val="0052481F"/>
    <w:rsid w:val="00524A6A"/>
    <w:rsid w:val="00526442"/>
    <w:rsid w:val="00526ED9"/>
    <w:rsid w:val="005306E7"/>
    <w:rsid w:val="0053085C"/>
    <w:rsid w:val="00530E70"/>
    <w:rsid w:val="005323FC"/>
    <w:rsid w:val="00532D98"/>
    <w:rsid w:val="00533034"/>
    <w:rsid w:val="005335EC"/>
    <w:rsid w:val="0053489B"/>
    <w:rsid w:val="00534EC5"/>
    <w:rsid w:val="00536664"/>
    <w:rsid w:val="00536967"/>
    <w:rsid w:val="0053727C"/>
    <w:rsid w:val="005374B9"/>
    <w:rsid w:val="00537A7C"/>
    <w:rsid w:val="00537A9A"/>
    <w:rsid w:val="00537DA9"/>
    <w:rsid w:val="00537EE2"/>
    <w:rsid w:val="005401F4"/>
    <w:rsid w:val="005402D0"/>
    <w:rsid w:val="005404EE"/>
    <w:rsid w:val="005406C6"/>
    <w:rsid w:val="00540F82"/>
    <w:rsid w:val="0054191E"/>
    <w:rsid w:val="005420B0"/>
    <w:rsid w:val="005434EF"/>
    <w:rsid w:val="00546577"/>
    <w:rsid w:val="00546ECC"/>
    <w:rsid w:val="00547DE8"/>
    <w:rsid w:val="00547EA1"/>
    <w:rsid w:val="00550026"/>
    <w:rsid w:val="0055003D"/>
    <w:rsid w:val="0055182C"/>
    <w:rsid w:val="0055265F"/>
    <w:rsid w:val="00553752"/>
    <w:rsid w:val="0055384F"/>
    <w:rsid w:val="005538FE"/>
    <w:rsid w:val="00553A23"/>
    <w:rsid w:val="00553A85"/>
    <w:rsid w:val="00556471"/>
    <w:rsid w:val="00556ABE"/>
    <w:rsid w:val="00557B53"/>
    <w:rsid w:val="00557BCA"/>
    <w:rsid w:val="0056046C"/>
    <w:rsid w:val="00560994"/>
    <w:rsid w:val="0056115E"/>
    <w:rsid w:val="0056295A"/>
    <w:rsid w:val="00563120"/>
    <w:rsid w:val="005632D9"/>
    <w:rsid w:val="0056352B"/>
    <w:rsid w:val="005635A7"/>
    <w:rsid w:val="0056398C"/>
    <w:rsid w:val="00563D0D"/>
    <w:rsid w:val="005648FE"/>
    <w:rsid w:val="00564A45"/>
    <w:rsid w:val="00564C5D"/>
    <w:rsid w:val="005666A1"/>
    <w:rsid w:val="0056683E"/>
    <w:rsid w:val="00566AE2"/>
    <w:rsid w:val="00566E06"/>
    <w:rsid w:val="00566E25"/>
    <w:rsid w:val="005670B2"/>
    <w:rsid w:val="00570681"/>
    <w:rsid w:val="005716B0"/>
    <w:rsid w:val="00571C9D"/>
    <w:rsid w:val="005720AC"/>
    <w:rsid w:val="00572ADA"/>
    <w:rsid w:val="00572F70"/>
    <w:rsid w:val="00574A39"/>
    <w:rsid w:val="00574D6A"/>
    <w:rsid w:val="00575174"/>
    <w:rsid w:val="00576B64"/>
    <w:rsid w:val="00577419"/>
    <w:rsid w:val="00577679"/>
    <w:rsid w:val="00580048"/>
    <w:rsid w:val="00580B7C"/>
    <w:rsid w:val="00580D1F"/>
    <w:rsid w:val="00580F7D"/>
    <w:rsid w:val="00581D11"/>
    <w:rsid w:val="00582CA9"/>
    <w:rsid w:val="0058300B"/>
    <w:rsid w:val="00583508"/>
    <w:rsid w:val="00584D5E"/>
    <w:rsid w:val="00585011"/>
    <w:rsid w:val="00585A9A"/>
    <w:rsid w:val="00585AE4"/>
    <w:rsid w:val="00585BC1"/>
    <w:rsid w:val="005860FE"/>
    <w:rsid w:val="005870BA"/>
    <w:rsid w:val="005870E6"/>
    <w:rsid w:val="00587626"/>
    <w:rsid w:val="00587C42"/>
    <w:rsid w:val="00587E51"/>
    <w:rsid w:val="005923DD"/>
    <w:rsid w:val="00592D68"/>
    <w:rsid w:val="00593863"/>
    <w:rsid w:val="005938A3"/>
    <w:rsid w:val="005939CD"/>
    <w:rsid w:val="00593CAF"/>
    <w:rsid w:val="00594BD5"/>
    <w:rsid w:val="0059571C"/>
    <w:rsid w:val="00595AFE"/>
    <w:rsid w:val="00597DBE"/>
    <w:rsid w:val="005A0288"/>
    <w:rsid w:val="005A0408"/>
    <w:rsid w:val="005A0A3C"/>
    <w:rsid w:val="005A0BFB"/>
    <w:rsid w:val="005A1A2E"/>
    <w:rsid w:val="005A489D"/>
    <w:rsid w:val="005A5113"/>
    <w:rsid w:val="005A51DA"/>
    <w:rsid w:val="005A6E6B"/>
    <w:rsid w:val="005A7F95"/>
    <w:rsid w:val="005B0B9E"/>
    <w:rsid w:val="005B0C2D"/>
    <w:rsid w:val="005B0C80"/>
    <w:rsid w:val="005B1443"/>
    <w:rsid w:val="005B6815"/>
    <w:rsid w:val="005B713F"/>
    <w:rsid w:val="005B7724"/>
    <w:rsid w:val="005C17F4"/>
    <w:rsid w:val="005C234D"/>
    <w:rsid w:val="005C2403"/>
    <w:rsid w:val="005C254C"/>
    <w:rsid w:val="005C2731"/>
    <w:rsid w:val="005C2ECE"/>
    <w:rsid w:val="005C4782"/>
    <w:rsid w:val="005C5378"/>
    <w:rsid w:val="005C5D5D"/>
    <w:rsid w:val="005C605E"/>
    <w:rsid w:val="005C62C0"/>
    <w:rsid w:val="005C6FE1"/>
    <w:rsid w:val="005C71B2"/>
    <w:rsid w:val="005C75BC"/>
    <w:rsid w:val="005C7D27"/>
    <w:rsid w:val="005D1010"/>
    <w:rsid w:val="005D18FA"/>
    <w:rsid w:val="005D25A3"/>
    <w:rsid w:val="005D2C37"/>
    <w:rsid w:val="005D4533"/>
    <w:rsid w:val="005D4F65"/>
    <w:rsid w:val="005D5E4D"/>
    <w:rsid w:val="005D666E"/>
    <w:rsid w:val="005D6714"/>
    <w:rsid w:val="005D7269"/>
    <w:rsid w:val="005E0F73"/>
    <w:rsid w:val="005E1A87"/>
    <w:rsid w:val="005E1E90"/>
    <w:rsid w:val="005E2494"/>
    <w:rsid w:val="005E253A"/>
    <w:rsid w:val="005E2F21"/>
    <w:rsid w:val="005E3AF6"/>
    <w:rsid w:val="005E3B19"/>
    <w:rsid w:val="005E44BC"/>
    <w:rsid w:val="005E50CE"/>
    <w:rsid w:val="005F05AC"/>
    <w:rsid w:val="005F08B6"/>
    <w:rsid w:val="005F1774"/>
    <w:rsid w:val="005F25FC"/>
    <w:rsid w:val="005F2D28"/>
    <w:rsid w:val="005F2D3E"/>
    <w:rsid w:val="005F31CD"/>
    <w:rsid w:val="005F3899"/>
    <w:rsid w:val="005F399C"/>
    <w:rsid w:val="005F45A3"/>
    <w:rsid w:val="005F4FC6"/>
    <w:rsid w:val="005F75AE"/>
    <w:rsid w:val="005F7A18"/>
    <w:rsid w:val="006000DC"/>
    <w:rsid w:val="0060042C"/>
    <w:rsid w:val="00600848"/>
    <w:rsid w:val="00601624"/>
    <w:rsid w:val="00602144"/>
    <w:rsid w:val="006026C0"/>
    <w:rsid w:val="006030EE"/>
    <w:rsid w:val="00603C4A"/>
    <w:rsid w:val="006046CC"/>
    <w:rsid w:val="006048B8"/>
    <w:rsid w:val="00605483"/>
    <w:rsid w:val="00605DED"/>
    <w:rsid w:val="00606A92"/>
    <w:rsid w:val="0060788C"/>
    <w:rsid w:val="006109C7"/>
    <w:rsid w:val="00611B49"/>
    <w:rsid w:val="006126A3"/>
    <w:rsid w:val="00612764"/>
    <w:rsid w:val="00613042"/>
    <w:rsid w:val="00613A9E"/>
    <w:rsid w:val="00614547"/>
    <w:rsid w:val="00614D0D"/>
    <w:rsid w:val="00615175"/>
    <w:rsid w:val="006153D8"/>
    <w:rsid w:val="00615459"/>
    <w:rsid w:val="0061566F"/>
    <w:rsid w:val="0061671E"/>
    <w:rsid w:val="00617A8A"/>
    <w:rsid w:val="00620489"/>
    <w:rsid w:val="00620FB3"/>
    <w:rsid w:val="006219AA"/>
    <w:rsid w:val="00624D40"/>
    <w:rsid w:val="00625098"/>
    <w:rsid w:val="00625706"/>
    <w:rsid w:val="00625DFC"/>
    <w:rsid w:val="00625EB9"/>
    <w:rsid w:val="006266BF"/>
    <w:rsid w:val="006304BE"/>
    <w:rsid w:val="00631B36"/>
    <w:rsid w:val="00631F90"/>
    <w:rsid w:val="006323E1"/>
    <w:rsid w:val="006329BA"/>
    <w:rsid w:val="00633121"/>
    <w:rsid w:val="0063381F"/>
    <w:rsid w:val="00633FAA"/>
    <w:rsid w:val="006340B3"/>
    <w:rsid w:val="00634498"/>
    <w:rsid w:val="006345EF"/>
    <w:rsid w:val="00634EFE"/>
    <w:rsid w:val="00634F9C"/>
    <w:rsid w:val="00635D6A"/>
    <w:rsid w:val="00635F34"/>
    <w:rsid w:val="00636D53"/>
    <w:rsid w:val="006378E5"/>
    <w:rsid w:val="00640F86"/>
    <w:rsid w:val="006416EB"/>
    <w:rsid w:val="00641E2B"/>
    <w:rsid w:val="00642F8B"/>
    <w:rsid w:val="00643D70"/>
    <w:rsid w:val="00644F69"/>
    <w:rsid w:val="006462EA"/>
    <w:rsid w:val="006469F5"/>
    <w:rsid w:val="006509A0"/>
    <w:rsid w:val="00651555"/>
    <w:rsid w:val="00652A79"/>
    <w:rsid w:val="00652DF3"/>
    <w:rsid w:val="00653004"/>
    <w:rsid w:val="006536D1"/>
    <w:rsid w:val="00655066"/>
    <w:rsid w:val="00656F9B"/>
    <w:rsid w:val="0066133E"/>
    <w:rsid w:val="00661BDE"/>
    <w:rsid w:val="006635DF"/>
    <w:rsid w:val="00663C39"/>
    <w:rsid w:val="00664243"/>
    <w:rsid w:val="00666279"/>
    <w:rsid w:val="0066672C"/>
    <w:rsid w:val="00670E47"/>
    <w:rsid w:val="006712C8"/>
    <w:rsid w:val="0067155C"/>
    <w:rsid w:val="006722FA"/>
    <w:rsid w:val="00672B48"/>
    <w:rsid w:val="00672BD5"/>
    <w:rsid w:val="00673016"/>
    <w:rsid w:val="00674C50"/>
    <w:rsid w:val="00677AD6"/>
    <w:rsid w:val="006800D3"/>
    <w:rsid w:val="00680D0B"/>
    <w:rsid w:val="00681601"/>
    <w:rsid w:val="00681836"/>
    <w:rsid w:val="00683261"/>
    <w:rsid w:val="006833FB"/>
    <w:rsid w:val="006834FC"/>
    <w:rsid w:val="00683AB8"/>
    <w:rsid w:val="00684787"/>
    <w:rsid w:val="00684E40"/>
    <w:rsid w:val="00686D77"/>
    <w:rsid w:val="00691194"/>
    <w:rsid w:val="00693283"/>
    <w:rsid w:val="00693DEB"/>
    <w:rsid w:val="00693F49"/>
    <w:rsid w:val="006941EC"/>
    <w:rsid w:val="006945AA"/>
    <w:rsid w:val="006949DB"/>
    <w:rsid w:val="00694E52"/>
    <w:rsid w:val="00694EE6"/>
    <w:rsid w:val="00694F89"/>
    <w:rsid w:val="006950C8"/>
    <w:rsid w:val="00695142"/>
    <w:rsid w:val="006955BD"/>
    <w:rsid w:val="006967E7"/>
    <w:rsid w:val="006968C9"/>
    <w:rsid w:val="006968F9"/>
    <w:rsid w:val="00697681"/>
    <w:rsid w:val="00697963"/>
    <w:rsid w:val="006A084F"/>
    <w:rsid w:val="006A1B69"/>
    <w:rsid w:val="006A25D2"/>
    <w:rsid w:val="006A3455"/>
    <w:rsid w:val="006A4A0A"/>
    <w:rsid w:val="006A5107"/>
    <w:rsid w:val="006A57DF"/>
    <w:rsid w:val="006A5DD8"/>
    <w:rsid w:val="006A64F5"/>
    <w:rsid w:val="006A695C"/>
    <w:rsid w:val="006A6E74"/>
    <w:rsid w:val="006A709A"/>
    <w:rsid w:val="006A74FF"/>
    <w:rsid w:val="006A7F58"/>
    <w:rsid w:val="006B0833"/>
    <w:rsid w:val="006B1FD0"/>
    <w:rsid w:val="006B2EC4"/>
    <w:rsid w:val="006B44A5"/>
    <w:rsid w:val="006B5BC7"/>
    <w:rsid w:val="006B5C07"/>
    <w:rsid w:val="006B6271"/>
    <w:rsid w:val="006B6E1F"/>
    <w:rsid w:val="006B6F7D"/>
    <w:rsid w:val="006B718A"/>
    <w:rsid w:val="006B71C2"/>
    <w:rsid w:val="006B75E2"/>
    <w:rsid w:val="006C0288"/>
    <w:rsid w:val="006C14B8"/>
    <w:rsid w:val="006C1D8E"/>
    <w:rsid w:val="006C2A1D"/>
    <w:rsid w:val="006C3531"/>
    <w:rsid w:val="006C40AD"/>
    <w:rsid w:val="006C4D7D"/>
    <w:rsid w:val="006C583A"/>
    <w:rsid w:val="006D00BD"/>
    <w:rsid w:val="006D12BF"/>
    <w:rsid w:val="006D37C1"/>
    <w:rsid w:val="006D3B09"/>
    <w:rsid w:val="006D5472"/>
    <w:rsid w:val="006D6968"/>
    <w:rsid w:val="006E0227"/>
    <w:rsid w:val="006E07C4"/>
    <w:rsid w:val="006E341D"/>
    <w:rsid w:val="006E365D"/>
    <w:rsid w:val="006E379B"/>
    <w:rsid w:val="006E41E9"/>
    <w:rsid w:val="006E48EA"/>
    <w:rsid w:val="006E4D72"/>
    <w:rsid w:val="006E51D2"/>
    <w:rsid w:val="006E6E75"/>
    <w:rsid w:val="006E7B5E"/>
    <w:rsid w:val="006E7EB8"/>
    <w:rsid w:val="006F0010"/>
    <w:rsid w:val="006F0B7D"/>
    <w:rsid w:val="006F0C1A"/>
    <w:rsid w:val="006F18CC"/>
    <w:rsid w:val="006F19D8"/>
    <w:rsid w:val="006F276F"/>
    <w:rsid w:val="006F2ECB"/>
    <w:rsid w:val="006F3B14"/>
    <w:rsid w:val="006F3B7E"/>
    <w:rsid w:val="006F4A94"/>
    <w:rsid w:val="006F4F0A"/>
    <w:rsid w:val="006F59D6"/>
    <w:rsid w:val="006F5EFD"/>
    <w:rsid w:val="006F6136"/>
    <w:rsid w:val="006F66BA"/>
    <w:rsid w:val="006F6786"/>
    <w:rsid w:val="006F7A39"/>
    <w:rsid w:val="00700922"/>
    <w:rsid w:val="007009F1"/>
    <w:rsid w:val="00701110"/>
    <w:rsid w:val="007015E0"/>
    <w:rsid w:val="00701E9C"/>
    <w:rsid w:val="007029CF"/>
    <w:rsid w:val="00702D66"/>
    <w:rsid w:val="0070390E"/>
    <w:rsid w:val="00703AC1"/>
    <w:rsid w:val="007044EB"/>
    <w:rsid w:val="00704ED7"/>
    <w:rsid w:val="00706360"/>
    <w:rsid w:val="0070676F"/>
    <w:rsid w:val="0070692E"/>
    <w:rsid w:val="007069B9"/>
    <w:rsid w:val="00706B66"/>
    <w:rsid w:val="00706E1D"/>
    <w:rsid w:val="00707538"/>
    <w:rsid w:val="0071120A"/>
    <w:rsid w:val="007113FE"/>
    <w:rsid w:val="0071212D"/>
    <w:rsid w:val="00712F6C"/>
    <w:rsid w:val="00712FE9"/>
    <w:rsid w:val="007132E8"/>
    <w:rsid w:val="00713FAF"/>
    <w:rsid w:val="007145DE"/>
    <w:rsid w:val="007147C4"/>
    <w:rsid w:val="00714FA8"/>
    <w:rsid w:val="0071504F"/>
    <w:rsid w:val="00715A6E"/>
    <w:rsid w:val="00716C00"/>
    <w:rsid w:val="00721402"/>
    <w:rsid w:val="00721EED"/>
    <w:rsid w:val="00722B40"/>
    <w:rsid w:val="00722D9D"/>
    <w:rsid w:val="00723372"/>
    <w:rsid w:val="00723684"/>
    <w:rsid w:val="007244CD"/>
    <w:rsid w:val="007248A2"/>
    <w:rsid w:val="00724EC2"/>
    <w:rsid w:val="00725847"/>
    <w:rsid w:val="00725D48"/>
    <w:rsid w:val="00725FC6"/>
    <w:rsid w:val="007269F1"/>
    <w:rsid w:val="00730A86"/>
    <w:rsid w:val="007326DD"/>
    <w:rsid w:val="00732722"/>
    <w:rsid w:val="00733487"/>
    <w:rsid w:val="00733A45"/>
    <w:rsid w:val="00735C1C"/>
    <w:rsid w:val="00735CC7"/>
    <w:rsid w:val="0073608F"/>
    <w:rsid w:val="00736581"/>
    <w:rsid w:val="00740C88"/>
    <w:rsid w:val="00740F2C"/>
    <w:rsid w:val="007411A5"/>
    <w:rsid w:val="00741224"/>
    <w:rsid w:val="007422D4"/>
    <w:rsid w:val="00742504"/>
    <w:rsid w:val="007430B6"/>
    <w:rsid w:val="00743D5C"/>
    <w:rsid w:val="0074423A"/>
    <w:rsid w:val="0074433B"/>
    <w:rsid w:val="00745136"/>
    <w:rsid w:val="007452CD"/>
    <w:rsid w:val="0074541B"/>
    <w:rsid w:val="00745B92"/>
    <w:rsid w:val="0074665D"/>
    <w:rsid w:val="0074679F"/>
    <w:rsid w:val="0074705F"/>
    <w:rsid w:val="00747091"/>
    <w:rsid w:val="0075061A"/>
    <w:rsid w:val="007512DC"/>
    <w:rsid w:val="00751446"/>
    <w:rsid w:val="007517DF"/>
    <w:rsid w:val="00751A2E"/>
    <w:rsid w:val="00751C6D"/>
    <w:rsid w:val="00752B1E"/>
    <w:rsid w:val="00752C39"/>
    <w:rsid w:val="0075377E"/>
    <w:rsid w:val="00754311"/>
    <w:rsid w:val="00754BEA"/>
    <w:rsid w:val="007551AC"/>
    <w:rsid w:val="00755C80"/>
    <w:rsid w:val="0075653A"/>
    <w:rsid w:val="007567ED"/>
    <w:rsid w:val="007576B0"/>
    <w:rsid w:val="00757AE1"/>
    <w:rsid w:val="00760273"/>
    <w:rsid w:val="007612E4"/>
    <w:rsid w:val="007619E7"/>
    <w:rsid w:val="00761DFD"/>
    <w:rsid w:val="00761FB1"/>
    <w:rsid w:val="0076231C"/>
    <w:rsid w:val="007623BD"/>
    <w:rsid w:val="00762D9D"/>
    <w:rsid w:val="00763368"/>
    <w:rsid w:val="00763C31"/>
    <w:rsid w:val="00764816"/>
    <w:rsid w:val="0076517B"/>
    <w:rsid w:val="00765CDB"/>
    <w:rsid w:val="00767CE2"/>
    <w:rsid w:val="0077094F"/>
    <w:rsid w:val="00770BF1"/>
    <w:rsid w:val="00770F0F"/>
    <w:rsid w:val="00771811"/>
    <w:rsid w:val="007719A4"/>
    <w:rsid w:val="00771BE7"/>
    <w:rsid w:val="00772099"/>
    <w:rsid w:val="00773064"/>
    <w:rsid w:val="007731FA"/>
    <w:rsid w:val="007739BB"/>
    <w:rsid w:val="007745AE"/>
    <w:rsid w:val="00774991"/>
    <w:rsid w:val="00774EEE"/>
    <w:rsid w:val="007752C9"/>
    <w:rsid w:val="00777B26"/>
    <w:rsid w:val="0078044D"/>
    <w:rsid w:val="007815AA"/>
    <w:rsid w:val="00781E23"/>
    <w:rsid w:val="007824C4"/>
    <w:rsid w:val="007828A3"/>
    <w:rsid w:val="0078340F"/>
    <w:rsid w:val="007842B5"/>
    <w:rsid w:val="00784D2C"/>
    <w:rsid w:val="00785A59"/>
    <w:rsid w:val="00785EA6"/>
    <w:rsid w:val="007863B2"/>
    <w:rsid w:val="00786768"/>
    <w:rsid w:val="00786E70"/>
    <w:rsid w:val="007878C7"/>
    <w:rsid w:val="00787CD6"/>
    <w:rsid w:val="00787E4E"/>
    <w:rsid w:val="00787EC9"/>
    <w:rsid w:val="00790387"/>
    <w:rsid w:val="0079051F"/>
    <w:rsid w:val="00790684"/>
    <w:rsid w:val="00790E76"/>
    <w:rsid w:val="00790FB9"/>
    <w:rsid w:val="00792246"/>
    <w:rsid w:val="00792746"/>
    <w:rsid w:val="007932B9"/>
    <w:rsid w:val="00793379"/>
    <w:rsid w:val="00793714"/>
    <w:rsid w:val="00793C03"/>
    <w:rsid w:val="007940EE"/>
    <w:rsid w:val="007941C8"/>
    <w:rsid w:val="00795CDA"/>
    <w:rsid w:val="00796CE7"/>
    <w:rsid w:val="00797750"/>
    <w:rsid w:val="00797C30"/>
    <w:rsid w:val="007A2F17"/>
    <w:rsid w:val="007A39C0"/>
    <w:rsid w:val="007A3BAD"/>
    <w:rsid w:val="007A50D3"/>
    <w:rsid w:val="007A594C"/>
    <w:rsid w:val="007A5AA0"/>
    <w:rsid w:val="007A5DAB"/>
    <w:rsid w:val="007A66D2"/>
    <w:rsid w:val="007A6AC9"/>
    <w:rsid w:val="007A6D58"/>
    <w:rsid w:val="007B129D"/>
    <w:rsid w:val="007B162E"/>
    <w:rsid w:val="007B1D52"/>
    <w:rsid w:val="007B227F"/>
    <w:rsid w:val="007B2D94"/>
    <w:rsid w:val="007B459F"/>
    <w:rsid w:val="007B4D6A"/>
    <w:rsid w:val="007B528C"/>
    <w:rsid w:val="007B546D"/>
    <w:rsid w:val="007B60A8"/>
    <w:rsid w:val="007B6372"/>
    <w:rsid w:val="007B6D13"/>
    <w:rsid w:val="007B7283"/>
    <w:rsid w:val="007B7944"/>
    <w:rsid w:val="007B7B86"/>
    <w:rsid w:val="007C03F8"/>
    <w:rsid w:val="007C0D70"/>
    <w:rsid w:val="007C18DD"/>
    <w:rsid w:val="007C2542"/>
    <w:rsid w:val="007C264F"/>
    <w:rsid w:val="007C2CAA"/>
    <w:rsid w:val="007C3354"/>
    <w:rsid w:val="007C4555"/>
    <w:rsid w:val="007C4DF4"/>
    <w:rsid w:val="007C5CC8"/>
    <w:rsid w:val="007C676A"/>
    <w:rsid w:val="007C6820"/>
    <w:rsid w:val="007C7537"/>
    <w:rsid w:val="007D011C"/>
    <w:rsid w:val="007D04D8"/>
    <w:rsid w:val="007D0A9A"/>
    <w:rsid w:val="007D0C71"/>
    <w:rsid w:val="007D0EC3"/>
    <w:rsid w:val="007D0FAC"/>
    <w:rsid w:val="007D2831"/>
    <w:rsid w:val="007D2F4B"/>
    <w:rsid w:val="007D3D3A"/>
    <w:rsid w:val="007D47B4"/>
    <w:rsid w:val="007D4DF2"/>
    <w:rsid w:val="007E25BA"/>
    <w:rsid w:val="007E3F9F"/>
    <w:rsid w:val="007E45C5"/>
    <w:rsid w:val="007E4D27"/>
    <w:rsid w:val="007E4FE0"/>
    <w:rsid w:val="007E55DA"/>
    <w:rsid w:val="007E6062"/>
    <w:rsid w:val="007E6E47"/>
    <w:rsid w:val="007E70A5"/>
    <w:rsid w:val="007E7387"/>
    <w:rsid w:val="007F0E81"/>
    <w:rsid w:val="007F1086"/>
    <w:rsid w:val="007F134B"/>
    <w:rsid w:val="007F1DCB"/>
    <w:rsid w:val="007F1F74"/>
    <w:rsid w:val="007F2101"/>
    <w:rsid w:val="007F2B13"/>
    <w:rsid w:val="007F2F26"/>
    <w:rsid w:val="007F39DA"/>
    <w:rsid w:val="007F45F5"/>
    <w:rsid w:val="007F4E1D"/>
    <w:rsid w:val="007F558F"/>
    <w:rsid w:val="007F5827"/>
    <w:rsid w:val="007F6014"/>
    <w:rsid w:val="007F63A5"/>
    <w:rsid w:val="008017E2"/>
    <w:rsid w:val="00801D27"/>
    <w:rsid w:val="00801DD5"/>
    <w:rsid w:val="008032F0"/>
    <w:rsid w:val="00804991"/>
    <w:rsid w:val="00806C5F"/>
    <w:rsid w:val="008117EA"/>
    <w:rsid w:val="008118E0"/>
    <w:rsid w:val="008129CE"/>
    <w:rsid w:val="00813269"/>
    <w:rsid w:val="008136C7"/>
    <w:rsid w:val="00814788"/>
    <w:rsid w:val="00814FA5"/>
    <w:rsid w:val="0081527C"/>
    <w:rsid w:val="008165ED"/>
    <w:rsid w:val="00816D91"/>
    <w:rsid w:val="00816F23"/>
    <w:rsid w:val="008178C3"/>
    <w:rsid w:val="008179AF"/>
    <w:rsid w:val="00817DAF"/>
    <w:rsid w:val="0082019C"/>
    <w:rsid w:val="008230A8"/>
    <w:rsid w:val="008230E9"/>
    <w:rsid w:val="00823811"/>
    <w:rsid w:val="00824544"/>
    <w:rsid w:val="0082586A"/>
    <w:rsid w:val="00827BDF"/>
    <w:rsid w:val="00830078"/>
    <w:rsid w:val="00830660"/>
    <w:rsid w:val="00830ACE"/>
    <w:rsid w:val="00830BCC"/>
    <w:rsid w:val="00830D7A"/>
    <w:rsid w:val="00830F50"/>
    <w:rsid w:val="00831034"/>
    <w:rsid w:val="008318DF"/>
    <w:rsid w:val="00831C3F"/>
    <w:rsid w:val="00832548"/>
    <w:rsid w:val="00834224"/>
    <w:rsid w:val="00834322"/>
    <w:rsid w:val="0083474C"/>
    <w:rsid w:val="00834D41"/>
    <w:rsid w:val="0083501B"/>
    <w:rsid w:val="00835C02"/>
    <w:rsid w:val="0083684E"/>
    <w:rsid w:val="008368F6"/>
    <w:rsid w:val="00836B07"/>
    <w:rsid w:val="00840AFE"/>
    <w:rsid w:val="00841354"/>
    <w:rsid w:val="00842535"/>
    <w:rsid w:val="00842841"/>
    <w:rsid w:val="00843832"/>
    <w:rsid w:val="00845916"/>
    <w:rsid w:val="00846AAA"/>
    <w:rsid w:val="00846CA0"/>
    <w:rsid w:val="00846DC8"/>
    <w:rsid w:val="00847E0A"/>
    <w:rsid w:val="008514FA"/>
    <w:rsid w:val="0085388B"/>
    <w:rsid w:val="00856DB9"/>
    <w:rsid w:val="00856E8E"/>
    <w:rsid w:val="008570C6"/>
    <w:rsid w:val="00857AFA"/>
    <w:rsid w:val="00860478"/>
    <w:rsid w:val="008611F1"/>
    <w:rsid w:val="00861738"/>
    <w:rsid w:val="00861A56"/>
    <w:rsid w:val="00864431"/>
    <w:rsid w:val="008648C8"/>
    <w:rsid w:val="00865153"/>
    <w:rsid w:val="00865C56"/>
    <w:rsid w:val="00865D83"/>
    <w:rsid w:val="008661A5"/>
    <w:rsid w:val="00866914"/>
    <w:rsid w:val="00867A38"/>
    <w:rsid w:val="00867BFA"/>
    <w:rsid w:val="0087236C"/>
    <w:rsid w:val="00872D52"/>
    <w:rsid w:val="008745C8"/>
    <w:rsid w:val="00874D37"/>
    <w:rsid w:val="0087586A"/>
    <w:rsid w:val="00875F76"/>
    <w:rsid w:val="0087608A"/>
    <w:rsid w:val="00876754"/>
    <w:rsid w:val="00880D2B"/>
    <w:rsid w:val="00881B87"/>
    <w:rsid w:val="00881E9D"/>
    <w:rsid w:val="008823C2"/>
    <w:rsid w:val="00884437"/>
    <w:rsid w:val="008858ED"/>
    <w:rsid w:val="00886282"/>
    <w:rsid w:val="0088645D"/>
    <w:rsid w:val="008867D9"/>
    <w:rsid w:val="00887611"/>
    <w:rsid w:val="00887648"/>
    <w:rsid w:val="0088791F"/>
    <w:rsid w:val="00891493"/>
    <w:rsid w:val="008915BB"/>
    <w:rsid w:val="008916AC"/>
    <w:rsid w:val="00891FEB"/>
    <w:rsid w:val="0089231F"/>
    <w:rsid w:val="008941AA"/>
    <w:rsid w:val="0089431F"/>
    <w:rsid w:val="00894D68"/>
    <w:rsid w:val="00895A23"/>
    <w:rsid w:val="00895D41"/>
    <w:rsid w:val="008963CA"/>
    <w:rsid w:val="008963E9"/>
    <w:rsid w:val="00896665"/>
    <w:rsid w:val="00896898"/>
    <w:rsid w:val="00897694"/>
    <w:rsid w:val="008A040B"/>
    <w:rsid w:val="008A0595"/>
    <w:rsid w:val="008A05AD"/>
    <w:rsid w:val="008A0AB0"/>
    <w:rsid w:val="008A1A8A"/>
    <w:rsid w:val="008A1D95"/>
    <w:rsid w:val="008A2655"/>
    <w:rsid w:val="008A4FE1"/>
    <w:rsid w:val="008A51E0"/>
    <w:rsid w:val="008A61E7"/>
    <w:rsid w:val="008A66B9"/>
    <w:rsid w:val="008B1684"/>
    <w:rsid w:val="008B1F25"/>
    <w:rsid w:val="008B594B"/>
    <w:rsid w:val="008B5F41"/>
    <w:rsid w:val="008B7F71"/>
    <w:rsid w:val="008B7FEA"/>
    <w:rsid w:val="008C08B8"/>
    <w:rsid w:val="008C0F0C"/>
    <w:rsid w:val="008C1D0C"/>
    <w:rsid w:val="008C1D8F"/>
    <w:rsid w:val="008C1EF8"/>
    <w:rsid w:val="008C2924"/>
    <w:rsid w:val="008C2E7C"/>
    <w:rsid w:val="008C3D48"/>
    <w:rsid w:val="008C531D"/>
    <w:rsid w:val="008C5F14"/>
    <w:rsid w:val="008C64BF"/>
    <w:rsid w:val="008C76FF"/>
    <w:rsid w:val="008C7F24"/>
    <w:rsid w:val="008D0188"/>
    <w:rsid w:val="008D0DCC"/>
    <w:rsid w:val="008D15EB"/>
    <w:rsid w:val="008D172C"/>
    <w:rsid w:val="008D251B"/>
    <w:rsid w:val="008D2527"/>
    <w:rsid w:val="008D2A9E"/>
    <w:rsid w:val="008D2E7B"/>
    <w:rsid w:val="008D347C"/>
    <w:rsid w:val="008D4447"/>
    <w:rsid w:val="008D4811"/>
    <w:rsid w:val="008D4A18"/>
    <w:rsid w:val="008D4A2E"/>
    <w:rsid w:val="008D670B"/>
    <w:rsid w:val="008D76E0"/>
    <w:rsid w:val="008D7733"/>
    <w:rsid w:val="008D784D"/>
    <w:rsid w:val="008D7B56"/>
    <w:rsid w:val="008D7BF0"/>
    <w:rsid w:val="008D7DAD"/>
    <w:rsid w:val="008E0476"/>
    <w:rsid w:val="008E1BB4"/>
    <w:rsid w:val="008E1BFA"/>
    <w:rsid w:val="008E3B6A"/>
    <w:rsid w:val="008E3EE7"/>
    <w:rsid w:val="008E4A05"/>
    <w:rsid w:val="008E63F8"/>
    <w:rsid w:val="008E76EF"/>
    <w:rsid w:val="008E7FE7"/>
    <w:rsid w:val="008F0198"/>
    <w:rsid w:val="008F0207"/>
    <w:rsid w:val="008F0A02"/>
    <w:rsid w:val="008F1461"/>
    <w:rsid w:val="008F1677"/>
    <w:rsid w:val="008F38BD"/>
    <w:rsid w:val="008F3F4D"/>
    <w:rsid w:val="008F4670"/>
    <w:rsid w:val="008F4973"/>
    <w:rsid w:val="008F4CF4"/>
    <w:rsid w:val="008F590A"/>
    <w:rsid w:val="00900A02"/>
    <w:rsid w:val="009014EC"/>
    <w:rsid w:val="00901F95"/>
    <w:rsid w:val="00902E79"/>
    <w:rsid w:val="00902F12"/>
    <w:rsid w:val="00903366"/>
    <w:rsid w:val="00907127"/>
    <w:rsid w:val="009074FF"/>
    <w:rsid w:val="00910338"/>
    <w:rsid w:val="00910DA9"/>
    <w:rsid w:val="009111C0"/>
    <w:rsid w:val="00912914"/>
    <w:rsid w:val="009132BC"/>
    <w:rsid w:val="00915590"/>
    <w:rsid w:val="0091596C"/>
    <w:rsid w:val="0091620E"/>
    <w:rsid w:val="00916A19"/>
    <w:rsid w:val="00916CAC"/>
    <w:rsid w:val="00917732"/>
    <w:rsid w:val="00920F6D"/>
    <w:rsid w:val="009216BA"/>
    <w:rsid w:val="00923A10"/>
    <w:rsid w:val="0092435D"/>
    <w:rsid w:val="00924A0C"/>
    <w:rsid w:val="009257CB"/>
    <w:rsid w:val="0092630D"/>
    <w:rsid w:val="00926F9A"/>
    <w:rsid w:val="00930E2A"/>
    <w:rsid w:val="009321C8"/>
    <w:rsid w:val="0093227D"/>
    <w:rsid w:val="009322F1"/>
    <w:rsid w:val="00932748"/>
    <w:rsid w:val="0093342A"/>
    <w:rsid w:val="00933BCB"/>
    <w:rsid w:val="009345E5"/>
    <w:rsid w:val="0093722F"/>
    <w:rsid w:val="00937F8D"/>
    <w:rsid w:val="0094017C"/>
    <w:rsid w:val="00940DAC"/>
    <w:rsid w:val="00943E7F"/>
    <w:rsid w:val="00943EA5"/>
    <w:rsid w:val="00944D5E"/>
    <w:rsid w:val="00945C97"/>
    <w:rsid w:val="0094652C"/>
    <w:rsid w:val="0094696F"/>
    <w:rsid w:val="00950997"/>
    <w:rsid w:val="009539A2"/>
    <w:rsid w:val="00953F4C"/>
    <w:rsid w:val="009559DC"/>
    <w:rsid w:val="009576B7"/>
    <w:rsid w:val="00957FD0"/>
    <w:rsid w:val="009602AC"/>
    <w:rsid w:val="0096071C"/>
    <w:rsid w:val="00960EFF"/>
    <w:rsid w:val="00961AD4"/>
    <w:rsid w:val="00961F49"/>
    <w:rsid w:val="00962E7A"/>
    <w:rsid w:val="00963187"/>
    <w:rsid w:val="0096323A"/>
    <w:rsid w:val="009639CA"/>
    <w:rsid w:val="00963CCB"/>
    <w:rsid w:val="009640C2"/>
    <w:rsid w:val="0096478E"/>
    <w:rsid w:val="009671E5"/>
    <w:rsid w:val="009678B3"/>
    <w:rsid w:val="00967AD2"/>
    <w:rsid w:val="00967EB6"/>
    <w:rsid w:val="00970441"/>
    <w:rsid w:val="00971537"/>
    <w:rsid w:val="0097624F"/>
    <w:rsid w:val="009767A3"/>
    <w:rsid w:val="0097689E"/>
    <w:rsid w:val="00976CA0"/>
    <w:rsid w:val="00977259"/>
    <w:rsid w:val="00977495"/>
    <w:rsid w:val="00977B62"/>
    <w:rsid w:val="009803EA"/>
    <w:rsid w:val="0098058A"/>
    <w:rsid w:val="00980A71"/>
    <w:rsid w:val="00981352"/>
    <w:rsid w:val="0098271D"/>
    <w:rsid w:val="00982757"/>
    <w:rsid w:val="00983369"/>
    <w:rsid w:val="00983D4C"/>
    <w:rsid w:val="009853C9"/>
    <w:rsid w:val="009854B3"/>
    <w:rsid w:val="009873BE"/>
    <w:rsid w:val="00987854"/>
    <w:rsid w:val="0099045D"/>
    <w:rsid w:val="00991049"/>
    <w:rsid w:val="0099111D"/>
    <w:rsid w:val="00991ECB"/>
    <w:rsid w:val="009934D0"/>
    <w:rsid w:val="00993E6C"/>
    <w:rsid w:val="00993FA3"/>
    <w:rsid w:val="00994129"/>
    <w:rsid w:val="00994C88"/>
    <w:rsid w:val="0099616C"/>
    <w:rsid w:val="00996335"/>
    <w:rsid w:val="009964D4"/>
    <w:rsid w:val="00997119"/>
    <w:rsid w:val="00997273"/>
    <w:rsid w:val="009972D7"/>
    <w:rsid w:val="0099734A"/>
    <w:rsid w:val="009A03C3"/>
    <w:rsid w:val="009A0989"/>
    <w:rsid w:val="009A1B3E"/>
    <w:rsid w:val="009A2A16"/>
    <w:rsid w:val="009A3C43"/>
    <w:rsid w:val="009A42D3"/>
    <w:rsid w:val="009A4B24"/>
    <w:rsid w:val="009A6394"/>
    <w:rsid w:val="009A6397"/>
    <w:rsid w:val="009A66B9"/>
    <w:rsid w:val="009A7256"/>
    <w:rsid w:val="009A7B5F"/>
    <w:rsid w:val="009B09DD"/>
    <w:rsid w:val="009B1B3B"/>
    <w:rsid w:val="009B3221"/>
    <w:rsid w:val="009B4BD6"/>
    <w:rsid w:val="009B500A"/>
    <w:rsid w:val="009B619F"/>
    <w:rsid w:val="009B61E1"/>
    <w:rsid w:val="009B7692"/>
    <w:rsid w:val="009B7CA4"/>
    <w:rsid w:val="009C115C"/>
    <w:rsid w:val="009C1CFA"/>
    <w:rsid w:val="009C2FF4"/>
    <w:rsid w:val="009C36D9"/>
    <w:rsid w:val="009C3AA8"/>
    <w:rsid w:val="009C40D0"/>
    <w:rsid w:val="009C48A3"/>
    <w:rsid w:val="009C56DB"/>
    <w:rsid w:val="009C5CE1"/>
    <w:rsid w:val="009C5F5A"/>
    <w:rsid w:val="009C603F"/>
    <w:rsid w:val="009C666E"/>
    <w:rsid w:val="009C6BB3"/>
    <w:rsid w:val="009D1E04"/>
    <w:rsid w:val="009D2598"/>
    <w:rsid w:val="009D2966"/>
    <w:rsid w:val="009D2A2F"/>
    <w:rsid w:val="009D2C5D"/>
    <w:rsid w:val="009D3356"/>
    <w:rsid w:val="009D362A"/>
    <w:rsid w:val="009D3BF9"/>
    <w:rsid w:val="009D46DC"/>
    <w:rsid w:val="009D4E2B"/>
    <w:rsid w:val="009D4F23"/>
    <w:rsid w:val="009D6C79"/>
    <w:rsid w:val="009D79A0"/>
    <w:rsid w:val="009D7E12"/>
    <w:rsid w:val="009E0D45"/>
    <w:rsid w:val="009E1267"/>
    <w:rsid w:val="009E1420"/>
    <w:rsid w:val="009E190F"/>
    <w:rsid w:val="009E260C"/>
    <w:rsid w:val="009E2BF5"/>
    <w:rsid w:val="009E2F64"/>
    <w:rsid w:val="009E345B"/>
    <w:rsid w:val="009E4E98"/>
    <w:rsid w:val="009E5418"/>
    <w:rsid w:val="009E58A9"/>
    <w:rsid w:val="009E64B2"/>
    <w:rsid w:val="009E7D5D"/>
    <w:rsid w:val="009E7EAF"/>
    <w:rsid w:val="009F04FA"/>
    <w:rsid w:val="009F0C8A"/>
    <w:rsid w:val="009F1634"/>
    <w:rsid w:val="009F176A"/>
    <w:rsid w:val="009F24F6"/>
    <w:rsid w:val="009F2C89"/>
    <w:rsid w:val="009F368F"/>
    <w:rsid w:val="009F3A27"/>
    <w:rsid w:val="009F41F8"/>
    <w:rsid w:val="009F51A8"/>
    <w:rsid w:val="009F5E13"/>
    <w:rsid w:val="00A01765"/>
    <w:rsid w:val="00A01AF0"/>
    <w:rsid w:val="00A01E39"/>
    <w:rsid w:val="00A02E85"/>
    <w:rsid w:val="00A0446A"/>
    <w:rsid w:val="00A04626"/>
    <w:rsid w:val="00A04730"/>
    <w:rsid w:val="00A04AD8"/>
    <w:rsid w:val="00A04BD1"/>
    <w:rsid w:val="00A04CE6"/>
    <w:rsid w:val="00A05329"/>
    <w:rsid w:val="00A05588"/>
    <w:rsid w:val="00A06AD8"/>
    <w:rsid w:val="00A06C15"/>
    <w:rsid w:val="00A06D18"/>
    <w:rsid w:val="00A06D1C"/>
    <w:rsid w:val="00A06E41"/>
    <w:rsid w:val="00A07B96"/>
    <w:rsid w:val="00A102D4"/>
    <w:rsid w:val="00A10BE9"/>
    <w:rsid w:val="00A11545"/>
    <w:rsid w:val="00A11B1F"/>
    <w:rsid w:val="00A11BD0"/>
    <w:rsid w:val="00A123FF"/>
    <w:rsid w:val="00A1251F"/>
    <w:rsid w:val="00A12750"/>
    <w:rsid w:val="00A12CE8"/>
    <w:rsid w:val="00A13528"/>
    <w:rsid w:val="00A13689"/>
    <w:rsid w:val="00A155FD"/>
    <w:rsid w:val="00A16669"/>
    <w:rsid w:val="00A167CF"/>
    <w:rsid w:val="00A16947"/>
    <w:rsid w:val="00A2035A"/>
    <w:rsid w:val="00A204F5"/>
    <w:rsid w:val="00A21605"/>
    <w:rsid w:val="00A21A4A"/>
    <w:rsid w:val="00A2206D"/>
    <w:rsid w:val="00A220D4"/>
    <w:rsid w:val="00A22E22"/>
    <w:rsid w:val="00A22F39"/>
    <w:rsid w:val="00A230F7"/>
    <w:rsid w:val="00A23C2F"/>
    <w:rsid w:val="00A2466F"/>
    <w:rsid w:val="00A25266"/>
    <w:rsid w:val="00A26601"/>
    <w:rsid w:val="00A26CAB"/>
    <w:rsid w:val="00A275E4"/>
    <w:rsid w:val="00A276AD"/>
    <w:rsid w:val="00A30247"/>
    <w:rsid w:val="00A30BBB"/>
    <w:rsid w:val="00A314C0"/>
    <w:rsid w:val="00A3289A"/>
    <w:rsid w:val="00A32D23"/>
    <w:rsid w:val="00A335D9"/>
    <w:rsid w:val="00A3493E"/>
    <w:rsid w:val="00A34B1E"/>
    <w:rsid w:val="00A355F9"/>
    <w:rsid w:val="00A35EF8"/>
    <w:rsid w:val="00A36266"/>
    <w:rsid w:val="00A3690A"/>
    <w:rsid w:val="00A40BFC"/>
    <w:rsid w:val="00A41506"/>
    <w:rsid w:val="00A415B3"/>
    <w:rsid w:val="00A42AB9"/>
    <w:rsid w:val="00A43100"/>
    <w:rsid w:val="00A433E3"/>
    <w:rsid w:val="00A436C3"/>
    <w:rsid w:val="00A43E28"/>
    <w:rsid w:val="00A442AB"/>
    <w:rsid w:val="00A448E3"/>
    <w:rsid w:val="00A45526"/>
    <w:rsid w:val="00A46FBE"/>
    <w:rsid w:val="00A471EF"/>
    <w:rsid w:val="00A479F4"/>
    <w:rsid w:val="00A50AE7"/>
    <w:rsid w:val="00A50F2A"/>
    <w:rsid w:val="00A5167F"/>
    <w:rsid w:val="00A516C2"/>
    <w:rsid w:val="00A53203"/>
    <w:rsid w:val="00A544F5"/>
    <w:rsid w:val="00A558C1"/>
    <w:rsid w:val="00A558F7"/>
    <w:rsid w:val="00A55D6C"/>
    <w:rsid w:val="00A5604C"/>
    <w:rsid w:val="00A56227"/>
    <w:rsid w:val="00A57B7B"/>
    <w:rsid w:val="00A6000E"/>
    <w:rsid w:val="00A60618"/>
    <w:rsid w:val="00A609FE"/>
    <w:rsid w:val="00A60AC3"/>
    <w:rsid w:val="00A614C3"/>
    <w:rsid w:val="00A61923"/>
    <w:rsid w:val="00A61DFE"/>
    <w:rsid w:val="00A62BE1"/>
    <w:rsid w:val="00A63647"/>
    <w:rsid w:val="00A63782"/>
    <w:rsid w:val="00A64CC3"/>
    <w:rsid w:val="00A657AD"/>
    <w:rsid w:val="00A65A1A"/>
    <w:rsid w:val="00A67D0C"/>
    <w:rsid w:val="00A70245"/>
    <w:rsid w:val="00A71635"/>
    <w:rsid w:val="00A727F0"/>
    <w:rsid w:val="00A7400C"/>
    <w:rsid w:val="00A74278"/>
    <w:rsid w:val="00A74D03"/>
    <w:rsid w:val="00A7575D"/>
    <w:rsid w:val="00A761C8"/>
    <w:rsid w:val="00A77369"/>
    <w:rsid w:val="00A77471"/>
    <w:rsid w:val="00A77C3C"/>
    <w:rsid w:val="00A81852"/>
    <w:rsid w:val="00A81B13"/>
    <w:rsid w:val="00A82567"/>
    <w:rsid w:val="00A82842"/>
    <w:rsid w:val="00A8382A"/>
    <w:rsid w:val="00A84187"/>
    <w:rsid w:val="00A85B72"/>
    <w:rsid w:val="00A86997"/>
    <w:rsid w:val="00A8720F"/>
    <w:rsid w:val="00A87280"/>
    <w:rsid w:val="00A87969"/>
    <w:rsid w:val="00A87981"/>
    <w:rsid w:val="00A90283"/>
    <w:rsid w:val="00A905C4"/>
    <w:rsid w:val="00A913C4"/>
    <w:rsid w:val="00A9230A"/>
    <w:rsid w:val="00A94081"/>
    <w:rsid w:val="00A941E2"/>
    <w:rsid w:val="00A9497D"/>
    <w:rsid w:val="00A94A3D"/>
    <w:rsid w:val="00A94D17"/>
    <w:rsid w:val="00A94D1C"/>
    <w:rsid w:val="00A94F70"/>
    <w:rsid w:val="00A95647"/>
    <w:rsid w:val="00A95A8A"/>
    <w:rsid w:val="00A9633F"/>
    <w:rsid w:val="00A96D7A"/>
    <w:rsid w:val="00A96E40"/>
    <w:rsid w:val="00AA1199"/>
    <w:rsid w:val="00AA1820"/>
    <w:rsid w:val="00AA1D47"/>
    <w:rsid w:val="00AA1E2E"/>
    <w:rsid w:val="00AA3871"/>
    <w:rsid w:val="00AA4E14"/>
    <w:rsid w:val="00AA4EBB"/>
    <w:rsid w:val="00AA511A"/>
    <w:rsid w:val="00AA56E4"/>
    <w:rsid w:val="00AA5D48"/>
    <w:rsid w:val="00AA60ED"/>
    <w:rsid w:val="00AA6287"/>
    <w:rsid w:val="00AA65CA"/>
    <w:rsid w:val="00AB216F"/>
    <w:rsid w:val="00AB2444"/>
    <w:rsid w:val="00AB262F"/>
    <w:rsid w:val="00AB2828"/>
    <w:rsid w:val="00AB2977"/>
    <w:rsid w:val="00AB29A8"/>
    <w:rsid w:val="00AB2B33"/>
    <w:rsid w:val="00AB5559"/>
    <w:rsid w:val="00AB599C"/>
    <w:rsid w:val="00AB666E"/>
    <w:rsid w:val="00AB75F1"/>
    <w:rsid w:val="00AB7673"/>
    <w:rsid w:val="00AC00EF"/>
    <w:rsid w:val="00AC0816"/>
    <w:rsid w:val="00AC082B"/>
    <w:rsid w:val="00AC0BF0"/>
    <w:rsid w:val="00AC19FC"/>
    <w:rsid w:val="00AC21EB"/>
    <w:rsid w:val="00AC2FB2"/>
    <w:rsid w:val="00AC343F"/>
    <w:rsid w:val="00AC3B5C"/>
    <w:rsid w:val="00AC4E42"/>
    <w:rsid w:val="00AC4E63"/>
    <w:rsid w:val="00AC64B8"/>
    <w:rsid w:val="00AD0245"/>
    <w:rsid w:val="00AD0E81"/>
    <w:rsid w:val="00AD2248"/>
    <w:rsid w:val="00AD275D"/>
    <w:rsid w:val="00AD299C"/>
    <w:rsid w:val="00AD4498"/>
    <w:rsid w:val="00AD4C7B"/>
    <w:rsid w:val="00AD52B2"/>
    <w:rsid w:val="00AD53EF"/>
    <w:rsid w:val="00AD678B"/>
    <w:rsid w:val="00AD734F"/>
    <w:rsid w:val="00AD746D"/>
    <w:rsid w:val="00AE0D9E"/>
    <w:rsid w:val="00AE0E4D"/>
    <w:rsid w:val="00AE162D"/>
    <w:rsid w:val="00AE1E8F"/>
    <w:rsid w:val="00AE2CBC"/>
    <w:rsid w:val="00AE2DD7"/>
    <w:rsid w:val="00AE3567"/>
    <w:rsid w:val="00AE38A1"/>
    <w:rsid w:val="00AE3D8D"/>
    <w:rsid w:val="00AE40B5"/>
    <w:rsid w:val="00AE43C7"/>
    <w:rsid w:val="00AE4539"/>
    <w:rsid w:val="00AE5893"/>
    <w:rsid w:val="00AE5C1F"/>
    <w:rsid w:val="00AE6085"/>
    <w:rsid w:val="00AE6DE1"/>
    <w:rsid w:val="00AE7122"/>
    <w:rsid w:val="00AE7CB7"/>
    <w:rsid w:val="00AF0559"/>
    <w:rsid w:val="00AF065B"/>
    <w:rsid w:val="00AF0748"/>
    <w:rsid w:val="00AF0970"/>
    <w:rsid w:val="00AF108B"/>
    <w:rsid w:val="00AF10E0"/>
    <w:rsid w:val="00AF18A3"/>
    <w:rsid w:val="00AF37FA"/>
    <w:rsid w:val="00AF3E23"/>
    <w:rsid w:val="00AF40CA"/>
    <w:rsid w:val="00AF4415"/>
    <w:rsid w:val="00AF4525"/>
    <w:rsid w:val="00AF51D9"/>
    <w:rsid w:val="00AF592C"/>
    <w:rsid w:val="00AF7375"/>
    <w:rsid w:val="00AF7E29"/>
    <w:rsid w:val="00B01168"/>
    <w:rsid w:val="00B019EE"/>
    <w:rsid w:val="00B02FA7"/>
    <w:rsid w:val="00B03638"/>
    <w:rsid w:val="00B03BFC"/>
    <w:rsid w:val="00B04630"/>
    <w:rsid w:val="00B046F5"/>
    <w:rsid w:val="00B04B2F"/>
    <w:rsid w:val="00B058F3"/>
    <w:rsid w:val="00B05DBA"/>
    <w:rsid w:val="00B06C23"/>
    <w:rsid w:val="00B06E14"/>
    <w:rsid w:val="00B07218"/>
    <w:rsid w:val="00B07A0D"/>
    <w:rsid w:val="00B100C0"/>
    <w:rsid w:val="00B11080"/>
    <w:rsid w:val="00B116AD"/>
    <w:rsid w:val="00B132E2"/>
    <w:rsid w:val="00B145A1"/>
    <w:rsid w:val="00B17774"/>
    <w:rsid w:val="00B2022A"/>
    <w:rsid w:val="00B208D0"/>
    <w:rsid w:val="00B215CA"/>
    <w:rsid w:val="00B2162D"/>
    <w:rsid w:val="00B21729"/>
    <w:rsid w:val="00B21924"/>
    <w:rsid w:val="00B21BB7"/>
    <w:rsid w:val="00B2266C"/>
    <w:rsid w:val="00B22ACE"/>
    <w:rsid w:val="00B22D39"/>
    <w:rsid w:val="00B22FA8"/>
    <w:rsid w:val="00B23F89"/>
    <w:rsid w:val="00B24705"/>
    <w:rsid w:val="00B24AE5"/>
    <w:rsid w:val="00B25126"/>
    <w:rsid w:val="00B25838"/>
    <w:rsid w:val="00B25D56"/>
    <w:rsid w:val="00B25EA2"/>
    <w:rsid w:val="00B25FE4"/>
    <w:rsid w:val="00B260E8"/>
    <w:rsid w:val="00B30544"/>
    <w:rsid w:val="00B31893"/>
    <w:rsid w:val="00B321F4"/>
    <w:rsid w:val="00B32809"/>
    <w:rsid w:val="00B342E9"/>
    <w:rsid w:val="00B34B06"/>
    <w:rsid w:val="00B34C22"/>
    <w:rsid w:val="00B35671"/>
    <w:rsid w:val="00B36864"/>
    <w:rsid w:val="00B4071A"/>
    <w:rsid w:val="00B40DBA"/>
    <w:rsid w:val="00B4110A"/>
    <w:rsid w:val="00B41AFA"/>
    <w:rsid w:val="00B42585"/>
    <w:rsid w:val="00B42D10"/>
    <w:rsid w:val="00B42D8A"/>
    <w:rsid w:val="00B439A2"/>
    <w:rsid w:val="00B43A17"/>
    <w:rsid w:val="00B43A5F"/>
    <w:rsid w:val="00B43F43"/>
    <w:rsid w:val="00B443EA"/>
    <w:rsid w:val="00B45194"/>
    <w:rsid w:val="00B45AE8"/>
    <w:rsid w:val="00B46730"/>
    <w:rsid w:val="00B46EAC"/>
    <w:rsid w:val="00B47342"/>
    <w:rsid w:val="00B47A61"/>
    <w:rsid w:val="00B500B5"/>
    <w:rsid w:val="00B53028"/>
    <w:rsid w:val="00B536D5"/>
    <w:rsid w:val="00B53A0A"/>
    <w:rsid w:val="00B53A52"/>
    <w:rsid w:val="00B53ABC"/>
    <w:rsid w:val="00B5415B"/>
    <w:rsid w:val="00B541A1"/>
    <w:rsid w:val="00B546E1"/>
    <w:rsid w:val="00B54FFD"/>
    <w:rsid w:val="00B55308"/>
    <w:rsid w:val="00B55604"/>
    <w:rsid w:val="00B55DBD"/>
    <w:rsid w:val="00B56A91"/>
    <w:rsid w:val="00B56AD5"/>
    <w:rsid w:val="00B56D5F"/>
    <w:rsid w:val="00B56E69"/>
    <w:rsid w:val="00B57312"/>
    <w:rsid w:val="00B57CAC"/>
    <w:rsid w:val="00B603BA"/>
    <w:rsid w:val="00B611B6"/>
    <w:rsid w:val="00B612B0"/>
    <w:rsid w:val="00B6457E"/>
    <w:rsid w:val="00B64D09"/>
    <w:rsid w:val="00B65347"/>
    <w:rsid w:val="00B6619F"/>
    <w:rsid w:val="00B661A7"/>
    <w:rsid w:val="00B6662E"/>
    <w:rsid w:val="00B66A5B"/>
    <w:rsid w:val="00B67285"/>
    <w:rsid w:val="00B675D5"/>
    <w:rsid w:val="00B67668"/>
    <w:rsid w:val="00B678D4"/>
    <w:rsid w:val="00B6795E"/>
    <w:rsid w:val="00B67B15"/>
    <w:rsid w:val="00B70CD1"/>
    <w:rsid w:val="00B73798"/>
    <w:rsid w:val="00B73DC1"/>
    <w:rsid w:val="00B74775"/>
    <w:rsid w:val="00B74BF3"/>
    <w:rsid w:val="00B76363"/>
    <w:rsid w:val="00B76937"/>
    <w:rsid w:val="00B76E17"/>
    <w:rsid w:val="00B77D84"/>
    <w:rsid w:val="00B77EC5"/>
    <w:rsid w:val="00B77F2B"/>
    <w:rsid w:val="00B80F94"/>
    <w:rsid w:val="00B8100B"/>
    <w:rsid w:val="00B81352"/>
    <w:rsid w:val="00B813A2"/>
    <w:rsid w:val="00B8272F"/>
    <w:rsid w:val="00B82C4F"/>
    <w:rsid w:val="00B82DC1"/>
    <w:rsid w:val="00B8327B"/>
    <w:rsid w:val="00B862D6"/>
    <w:rsid w:val="00B86368"/>
    <w:rsid w:val="00B86853"/>
    <w:rsid w:val="00B871E7"/>
    <w:rsid w:val="00B87BD8"/>
    <w:rsid w:val="00B87D8D"/>
    <w:rsid w:val="00B90748"/>
    <w:rsid w:val="00B9079C"/>
    <w:rsid w:val="00B912A5"/>
    <w:rsid w:val="00B918DC"/>
    <w:rsid w:val="00B91A86"/>
    <w:rsid w:val="00B94314"/>
    <w:rsid w:val="00B94920"/>
    <w:rsid w:val="00B95368"/>
    <w:rsid w:val="00B9549A"/>
    <w:rsid w:val="00B96469"/>
    <w:rsid w:val="00B974C3"/>
    <w:rsid w:val="00BA1850"/>
    <w:rsid w:val="00BA1C0B"/>
    <w:rsid w:val="00BA2504"/>
    <w:rsid w:val="00BA4D30"/>
    <w:rsid w:val="00BA4D7E"/>
    <w:rsid w:val="00BA5CB0"/>
    <w:rsid w:val="00BA6335"/>
    <w:rsid w:val="00BA68DE"/>
    <w:rsid w:val="00BB0010"/>
    <w:rsid w:val="00BB0887"/>
    <w:rsid w:val="00BB0C4F"/>
    <w:rsid w:val="00BB0CB7"/>
    <w:rsid w:val="00BB1198"/>
    <w:rsid w:val="00BB1228"/>
    <w:rsid w:val="00BB1470"/>
    <w:rsid w:val="00BB1DAF"/>
    <w:rsid w:val="00BB242A"/>
    <w:rsid w:val="00BB2D27"/>
    <w:rsid w:val="00BB3C50"/>
    <w:rsid w:val="00BB3D77"/>
    <w:rsid w:val="00BB5022"/>
    <w:rsid w:val="00BB51DB"/>
    <w:rsid w:val="00BB55FB"/>
    <w:rsid w:val="00BB57C3"/>
    <w:rsid w:val="00BB5C63"/>
    <w:rsid w:val="00BB6A1B"/>
    <w:rsid w:val="00BB71D1"/>
    <w:rsid w:val="00BB72BE"/>
    <w:rsid w:val="00BC0082"/>
    <w:rsid w:val="00BC0096"/>
    <w:rsid w:val="00BC0833"/>
    <w:rsid w:val="00BC2379"/>
    <w:rsid w:val="00BC2ABB"/>
    <w:rsid w:val="00BC3091"/>
    <w:rsid w:val="00BC4222"/>
    <w:rsid w:val="00BC5E72"/>
    <w:rsid w:val="00BC78D2"/>
    <w:rsid w:val="00BD05F7"/>
    <w:rsid w:val="00BD13FA"/>
    <w:rsid w:val="00BD15FC"/>
    <w:rsid w:val="00BD1BBF"/>
    <w:rsid w:val="00BD1E80"/>
    <w:rsid w:val="00BD418A"/>
    <w:rsid w:val="00BD4288"/>
    <w:rsid w:val="00BD4C7E"/>
    <w:rsid w:val="00BD569A"/>
    <w:rsid w:val="00BD58DB"/>
    <w:rsid w:val="00BD7062"/>
    <w:rsid w:val="00BD77D3"/>
    <w:rsid w:val="00BE0E4E"/>
    <w:rsid w:val="00BE482A"/>
    <w:rsid w:val="00BE49AE"/>
    <w:rsid w:val="00BE57AF"/>
    <w:rsid w:val="00BE57B3"/>
    <w:rsid w:val="00BE74C1"/>
    <w:rsid w:val="00BE7835"/>
    <w:rsid w:val="00BE79FD"/>
    <w:rsid w:val="00BE7FA6"/>
    <w:rsid w:val="00BF0006"/>
    <w:rsid w:val="00BF0074"/>
    <w:rsid w:val="00BF0549"/>
    <w:rsid w:val="00BF0E78"/>
    <w:rsid w:val="00BF2181"/>
    <w:rsid w:val="00BF2E56"/>
    <w:rsid w:val="00BF4592"/>
    <w:rsid w:val="00BF64A1"/>
    <w:rsid w:val="00BF68ED"/>
    <w:rsid w:val="00BF6C31"/>
    <w:rsid w:val="00BF763C"/>
    <w:rsid w:val="00BF794B"/>
    <w:rsid w:val="00C008E3"/>
    <w:rsid w:val="00C0153B"/>
    <w:rsid w:val="00C019CF"/>
    <w:rsid w:val="00C0325B"/>
    <w:rsid w:val="00C036A0"/>
    <w:rsid w:val="00C03EDD"/>
    <w:rsid w:val="00C058EF"/>
    <w:rsid w:val="00C059DC"/>
    <w:rsid w:val="00C05FEA"/>
    <w:rsid w:val="00C06377"/>
    <w:rsid w:val="00C106E3"/>
    <w:rsid w:val="00C106E4"/>
    <w:rsid w:val="00C10EB2"/>
    <w:rsid w:val="00C111FF"/>
    <w:rsid w:val="00C11293"/>
    <w:rsid w:val="00C11C20"/>
    <w:rsid w:val="00C126F0"/>
    <w:rsid w:val="00C13B76"/>
    <w:rsid w:val="00C14044"/>
    <w:rsid w:val="00C14DF9"/>
    <w:rsid w:val="00C1721F"/>
    <w:rsid w:val="00C17582"/>
    <w:rsid w:val="00C203A8"/>
    <w:rsid w:val="00C2053D"/>
    <w:rsid w:val="00C20A4A"/>
    <w:rsid w:val="00C217EC"/>
    <w:rsid w:val="00C21A2E"/>
    <w:rsid w:val="00C21C96"/>
    <w:rsid w:val="00C22595"/>
    <w:rsid w:val="00C22BFF"/>
    <w:rsid w:val="00C22D60"/>
    <w:rsid w:val="00C23FFF"/>
    <w:rsid w:val="00C24660"/>
    <w:rsid w:val="00C246E3"/>
    <w:rsid w:val="00C26954"/>
    <w:rsid w:val="00C305E2"/>
    <w:rsid w:val="00C3081F"/>
    <w:rsid w:val="00C3277E"/>
    <w:rsid w:val="00C32C27"/>
    <w:rsid w:val="00C337B9"/>
    <w:rsid w:val="00C33B97"/>
    <w:rsid w:val="00C33E84"/>
    <w:rsid w:val="00C34F17"/>
    <w:rsid w:val="00C37887"/>
    <w:rsid w:val="00C405F5"/>
    <w:rsid w:val="00C41310"/>
    <w:rsid w:val="00C42158"/>
    <w:rsid w:val="00C432AE"/>
    <w:rsid w:val="00C436C5"/>
    <w:rsid w:val="00C4370D"/>
    <w:rsid w:val="00C43F86"/>
    <w:rsid w:val="00C44519"/>
    <w:rsid w:val="00C44B93"/>
    <w:rsid w:val="00C45EB8"/>
    <w:rsid w:val="00C46367"/>
    <w:rsid w:val="00C4751E"/>
    <w:rsid w:val="00C47EE5"/>
    <w:rsid w:val="00C50EF8"/>
    <w:rsid w:val="00C51191"/>
    <w:rsid w:val="00C5131F"/>
    <w:rsid w:val="00C51E7D"/>
    <w:rsid w:val="00C526B3"/>
    <w:rsid w:val="00C5353A"/>
    <w:rsid w:val="00C5375C"/>
    <w:rsid w:val="00C53904"/>
    <w:rsid w:val="00C54589"/>
    <w:rsid w:val="00C553FA"/>
    <w:rsid w:val="00C560E6"/>
    <w:rsid w:val="00C562DC"/>
    <w:rsid w:val="00C571C3"/>
    <w:rsid w:val="00C57565"/>
    <w:rsid w:val="00C57DCD"/>
    <w:rsid w:val="00C606C5"/>
    <w:rsid w:val="00C60A04"/>
    <w:rsid w:val="00C60DFC"/>
    <w:rsid w:val="00C61547"/>
    <w:rsid w:val="00C61F3C"/>
    <w:rsid w:val="00C6363A"/>
    <w:rsid w:val="00C63742"/>
    <w:rsid w:val="00C6379D"/>
    <w:rsid w:val="00C6436E"/>
    <w:rsid w:val="00C648D8"/>
    <w:rsid w:val="00C6494D"/>
    <w:rsid w:val="00C64AA4"/>
    <w:rsid w:val="00C65A44"/>
    <w:rsid w:val="00C6639E"/>
    <w:rsid w:val="00C66C7A"/>
    <w:rsid w:val="00C67068"/>
    <w:rsid w:val="00C67589"/>
    <w:rsid w:val="00C67694"/>
    <w:rsid w:val="00C677C1"/>
    <w:rsid w:val="00C67CC6"/>
    <w:rsid w:val="00C67D82"/>
    <w:rsid w:val="00C703A4"/>
    <w:rsid w:val="00C72C23"/>
    <w:rsid w:val="00C7359D"/>
    <w:rsid w:val="00C73947"/>
    <w:rsid w:val="00C74663"/>
    <w:rsid w:val="00C747D9"/>
    <w:rsid w:val="00C74C37"/>
    <w:rsid w:val="00C75048"/>
    <w:rsid w:val="00C75511"/>
    <w:rsid w:val="00C75B8C"/>
    <w:rsid w:val="00C7696E"/>
    <w:rsid w:val="00C775F6"/>
    <w:rsid w:val="00C80427"/>
    <w:rsid w:val="00C80498"/>
    <w:rsid w:val="00C80AA9"/>
    <w:rsid w:val="00C80DEF"/>
    <w:rsid w:val="00C80F71"/>
    <w:rsid w:val="00C814C6"/>
    <w:rsid w:val="00C81700"/>
    <w:rsid w:val="00C81875"/>
    <w:rsid w:val="00C81D6A"/>
    <w:rsid w:val="00C8320C"/>
    <w:rsid w:val="00C85463"/>
    <w:rsid w:val="00C8612D"/>
    <w:rsid w:val="00C8650B"/>
    <w:rsid w:val="00C8790D"/>
    <w:rsid w:val="00C87A0C"/>
    <w:rsid w:val="00C91011"/>
    <w:rsid w:val="00C913A6"/>
    <w:rsid w:val="00C9148E"/>
    <w:rsid w:val="00C914F8"/>
    <w:rsid w:val="00C91BFD"/>
    <w:rsid w:val="00C9271A"/>
    <w:rsid w:val="00C93E98"/>
    <w:rsid w:val="00C94700"/>
    <w:rsid w:val="00C95AD2"/>
    <w:rsid w:val="00C960E6"/>
    <w:rsid w:val="00C964DF"/>
    <w:rsid w:val="00C966AE"/>
    <w:rsid w:val="00C975B5"/>
    <w:rsid w:val="00C97A1D"/>
    <w:rsid w:val="00CA0325"/>
    <w:rsid w:val="00CA0D90"/>
    <w:rsid w:val="00CA140F"/>
    <w:rsid w:val="00CA19A8"/>
    <w:rsid w:val="00CA1E8E"/>
    <w:rsid w:val="00CA20D9"/>
    <w:rsid w:val="00CA221D"/>
    <w:rsid w:val="00CA3318"/>
    <w:rsid w:val="00CA3AA5"/>
    <w:rsid w:val="00CA3AF6"/>
    <w:rsid w:val="00CA4313"/>
    <w:rsid w:val="00CA4D6D"/>
    <w:rsid w:val="00CA5C98"/>
    <w:rsid w:val="00CA78E7"/>
    <w:rsid w:val="00CA7904"/>
    <w:rsid w:val="00CB13F8"/>
    <w:rsid w:val="00CB2536"/>
    <w:rsid w:val="00CB2718"/>
    <w:rsid w:val="00CB3619"/>
    <w:rsid w:val="00CB4E19"/>
    <w:rsid w:val="00CB4EC2"/>
    <w:rsid w:val="00CB5610"/>
    <w:rsid w:val="00CB58CC"/>
    <w:rsid w:val="00CB6412"/>
    <w:rsid w:val="00CB6CBE"/>
    <w:rsid w:val="00CB7540"/>
    <w:rsid w:val="00CC0607"/>
    <w:rsid w:val="00CC1EA5"/>
    <w:rsid w:val="00CC3290"/>
    <w:rsid w:val="00CC3645"/>
    <w:rsid w:val="00CC36BB"/>
    <w:rsid w:val="00CC4B98"/>
    <w:rsid w:val="00CC4CCA"/>
    <w:rsid w:val="00CC58B3"/>
    <w:rsid w:val="00CC5CA1"/>
    <w:rsid w:val="00CC5D11"/>
    <w:rsid w:val="00CC717B"/>
    <w:rsid w:val="00CD070A"/>
    <w:rsid w:val="00CD09F5"/>
    <w:rsid w:val="00CD0C00"/>
    <w:rsid w:val="00CD11FC"/>
    <w:rsid w:val="00CD24D0"/>
    <w:rsid w:val="00CD29FF"/>
    <w:rsid w:val="00CD333A"/>
    <w:rsid w:val="00CD38F3"/>
    <w:rsid w:val="00CD5588"/>
    <w:rsid w:val="00CD63C7"/>
    <w:rsid w:val="00CD6822"/>
    <w:rsid w:val="00CD6962"/>
    <w:rsid w:val="00CD74CF"/>
    <w:rsid w:val="00CD7AFD"/>
    <w:rsid w:val="00CD7C68"/>
    <w:rsid w:val="00CE0470"/>
    <w:rsid w:val="00CE0B70"/>
    <w:rsid w:val="00CE0BFD"/>
    <w:rsid w:val="00CE1201"/>
    <w:rsid w:val="00CE152F"/>
    <w:rsid w:val="00CE18F7"/>
    <w:rsid w:val="00CE20CC"/>
    <w:rsid w:val="00CE4361"/>
    <w:rsid w:val="00CE474D"/>
    <w:rsid w:val="00CE535B"/>
    <w:rsid w:val="00CE5697"/>
    <w:rsid w:val="00CE66AA"/>
    <w:rsid w:val="00CE73BC"/>
    <w:rsid w:val="00CE7613"/>
    <w:rsid w:val="00CF0595"/>
    <w:rsid w:val="00CF0840"/>
    <w:rsid w:val="00CF0FFC"/>
    <w:rsid w:val="00CF1AAE"/>
    <w:rsid w:val="00CF1BAD"/>
    <w:rsid w:val="00CF1EE0"/>
    <w:rsid w:val="00CF2084"/>
    <w:rsid w:val="00CF283C"/>
    <w:rsid w:val="00CF442D"/>
    <w:rsid w:val="00CF496E"/>
    <w:rsid w:val="00CF4B06"/>
    <w:rsid w:val="00CF5ABD"/>
    <w:rsid w:val="00CF5C45"/>
    <w:rsid w:val="00CF63A3"/>
    <w:rsid w:val="00CF64B8"/>
    <w:rsid w:val="00CF6588"/>
    <w:rsid w:val="00CF67CA"/>
    <w:rsid w:val="00CF6A59"/>
    <w:rsid w:val="00CF6D12"/>
    <w:rsid w:val="00CF6D5C"/>
    <w:rsid w:val="00CF7266"/>
    <w:rsid w:val="00CF7450"/>
    <w:rsid w:val="00CF759A"/>
    <w:rsid w:val="00CF777A"/>
    <w:rsid w:val="00CF7AA1"/>
    <w:rsid w:val="00CF7C0F"/>
    <w:rsid w:val="00D00BCF"/>
    <w:rsid w:val="00D01A12"/>
    <w:rsid w:val="00D01ECD"/>
    <w:rsid w:val="00D03CEC"/>
    <w:rsid w:val="00D03F39"/>
    <w:rsid w:val="00D041BD"/>
    <w:rsid w:val="00D04EF6"/>
    <w:rsid w:val="00D05076"/>
    <w:rsid w:val="00D076F4"/>
    <w:rsid w:val="00D07D41"/>
    <w:rsid w:val="00D105DB"/>
    <w:rsid w:val="00D10EF4"/>
    <w:rsid w:val="00D11286"/>
    <w:rsid w:val="00D121D6"/>
    <w:rsid w:val="00D15171"/>
    <w:rsid w:val="00D15B5C"/>
    <w:rsid w:val="00D15C42"/>
    <w:rsid w:val="00D160FF"/>
    <w:rsid w:val="00D1739A"/>
    <w:rsid w:val="00D17860"/>
    <w:rsid w:val="00D20744"/>
    <w:rsid w:val="00D21D4E"/>
    <w:rsid w:val="00D22966"/>
    <w:rsid w:val="00D22A14"/>
    <w:rsid w:val="00D23565"/>
    <w:rsid w:val="00D2413D"/>
    <w:rsid w:val="00D24714"/>
    <w:rsid w:val="00D24730"/>
    <w:rsid w:val="00D25528"/>
    <w:rsid w:val="00D25E22"/>
    <w:rsid w:val="00D270A9"/>
    <w:rsid w:val="00D27B41"/>
    <w:rsid w:val="00D3020D"/>
    <w:rsid w:val="00D3078C"/>
    <w:rsid w:val="00D30A9A"/>
    <w:rsid w:val="00D31508"/>
    <w:rsid w:val="00D322F4"/>
    <w:rsid w:val="00D326D9"/>
    <w:rsid w:val="00D32907"/>
    <w:rsid w:val="00D333D6"/>
    <w:rsid w:val="00D34683"/>
    <w:rsid w:val="00D350E2"/>
    <w:rsid w:val="00D37ED9"/>
    <w:rsid w:val="00D40A90"/>
    <w:rsid w:val="00D40E25"/>
    <w:rsid w:val="00D40E52"/>
    <w:rsid w:val="00D41860"/>
    <w:rsid w:val="00D418E5"/>
    <w:rsid w:val="00D41ADB"/>
    <w:rsid w:val="00D42332"/>
    <w:rsid w:val="00D42724"/>
    <w:rsid w:val="00D448FB"/>
    <w:rsid w:val="00D44C90"/>
    <w:rsid w:val="00D456D3"/>
    <w:rsid w:val="00D4613D"/>
    <w:rsid w:val="00D47B0E"/>
    <w:rsid w:val="00D47FC4"/>
    <w:rsid w:val="00D50163"/>
    <w:rsid w:val="00D50197"/>
    <w:rsid w:val="00D52228"/>
    <w:rsid w:val="00D542AE"/>
    <w:rsid w:val="00D542BA"/>
    <w:rsid w:val="00D54392"/>
    <w:rsid w:val="00D55986"/>
    <w:rsid w:val="00D564A9"/>
    <w:rsid w:val="00D60537"/>
    <w:rsid w:val="00D6344A"/>
    <w:rsid w:val="00D649AB"/>
    <w:rsid w:val="00D650F7"/>
    <w:rsid w:val="00D65230"/>
    <w:rsid w:val="00D65E6C"/>
    <w:rsid w:val="00D65F6B"/>
    <w:rsid w:val="00D70338"/>
    <w:rsid w:val="00D705CD"/>
    <w:rsid w:val="00D70D1D"/>
    <w:rsid w:val="00D7132D"/>
    <w:rsid w:val="00D7144C"/>
    <w:rsid w:val="00D71C2C"/>
    <w:rsid w:val="00D72ACC"/>
    <w:rsid w:val="00D74CE3"/>
    <w:rsid w:val="00D7526A"/>
    <w:rsid w:val="00D75348"/>
    <w:rsid w:val="00D75C28"/>
    <w:rsid w:val="00D75D5B"/>
    <w:rsid w:val="00D75E81"/>
    <w:rsid w:val="00D75FBB"/>
    <w:rsid w:val="00D760CE"/>
    <w:rsid w:val="00D76A90"/>
    <w:rsid w:val="00D7761B"/>
    <w:rsid w:val="00D77703"/>
    <w:rsid w:val="00D77724"/>
    <w:rsid w:val="00D77B42"/>
    <w:rsid w:val="00D77B66"/>
    <w:rsid w:val="00D801F2"/>
    <w:rsid w:val="00D807A1"/>
    <w:rsid w:val="00D81597"/>
    <w:rsid w:val="00D82863"/>
    <w:rsid w:val="00D82C05"/>
    <w:rsid w:val="00D83ACA"/>
    <w:rsid w:val="00D845FE"/>
    <w:rsid w:val="00D847AE"/>
    <w:rsid w:val="00D84C85"/>
    <w:rsid w:val="00D87464"/>
    <w:rsid w:val="00D876A0"/>
    <w:rsid w:val="00D90217"/>
    <w:rsid w:val="00D91694"/>
    <w:rsid w:val="00D919BC"/>
    <w:rsid w:val="00D92103"/>
    <w:rsid w:val="00D9235B"/>
    <w:rsid w:val="00D92753"/>
    <w:rsid w:val="00D9314F"/>
    <w:rsid w:val="00D935B9"/>
    <w:rsid w:val="00D938D2"/>
    <w:rsid w:val="00D93DF3"/>
    <w:rsid w:val="00D9402C"/>
    <w:rsid w:val="00D95232"/>
    <w:rsid w:val="00D9592D"/>
    <w:rsid w:val="00D959F1"/>
    <w:rsid w:val="00D96463"/>
    <w:rsid w:val="00D96DA6"/>
    <w:rsid w:val="00D97FA3"/>
    <w:rsid w:val="00D97FEC"/>
    <w:rsid w:val="00DA0B5E"/>
    <w:rsid w:val="00DA25D4"/>
    <w:rsid w:val="00DA2D64"/>
    <w:rsid w:val="00DA418C"/>
    <w:rsid w:val="00DA4D4A"/>
    <w:rsid w:val="00DA53FD"/>
    <w:rsid w:val="00DA5645"/>
    <w:rsid w:val="00DA5C99"/>
    <w:rsid w:val="00DA6464"/>
    <w:rsid w:val="00DA7029"/>
    <w:rsid w:val="00DA757C"/>
    <w:rsid w:val="00DA77E1"/>
    <w:rsid w:val="00DB0597"/>
    <w:rsid w:val="00DB0C1C"/>
    <w:rsid w:val="00DB0FAE"/>
    <w:rsid w:val="00DB1F1D"/>
    <w:rsid w:val="00DB237D"/>
    <w:rsid w:val="00DB2396"/>
    <w:rsid w:val="00DB25A3"/>
    <w:rsid w:val="00DB2C88"/>
    <w:rsid w:val="00DB316F"/>
    <w:rsid w:val="00DB31A2"/>
    <w:rsid w:val="00DB38EB"/>
    <w:rsid w:val="00DB44B9"/>
    <w:rsid w:val="00DB4643"/>
    <w:rsid w:val="00DB5EB8"/>
    <w:rsid w:val="00DB64CE"/>
    <w:rsid w:val="00DC081C"/>
    <w:rsid w:val="00DC0DC3"/>
    <w:rsid w:val="00DC1668"/>
    <w:rsid w:val="00DC17AB"/>
    <w:rsid w:val="00DC18F8"/>
    <w:rsid w:val="00DC1FD2"/>
    <w:rsid w:val="00DC71AA"/>
    <w:rsid w:val="00DD06DC"/>
    <w:rsid w:val="00DD0DD9"/>
    <w:rsid w:val="00DD281D"/>
    <w:rsid w:val="00DD28E3"/>
    <w:rsid w:val="00DD3500"/>
    <w:rsid w:val="00DD3FDD"/>
    <w:rsid w:val="00DD40C0"/>
    <w:rsid w:val="00DD4922"/>
    <w:rsid w:val="00DD4E04"/>
    <w:rsid w:val="00DD611A"/>
    <w:rsid w:val="00DD6937"/>
    <w:rsid w:val="00DD6C69"/>
    <w:rsid w:val="00DD6F28"/>
    <w:rsid w:val="00DD7ADB"/>
    <w:rsid w:val="00DE042A"/>
    <w:rsid w:val="00DE04A3"/>
    <w:rsid w:val="00DE05B5"/>
    <w:rsid w:val="00DE060B"/>
    <w:rsid w:val="00DE0B6E"/>
    <w:rsid w:val="00DE2639"/>
    <w:rsid w:val="00DE2975"/>
    <w:rsid w:val="00DE2B99"/>
    <w:rsid w:val="00DE4356"/>
    <w:rsid w:val="00DE4681"/>
    <w:rsid w:val="00DE4D19"/>
    <w:rsid w:val="00DE5BB4"/>
    <w:rsid w:val="00DE6760"/>
    <w:rsid w:val="00DE791C"/>
    <w:rsid w:val="00DF0861"/>
    <w:rsid w:val="00DF0A01"/>
    <w:rsid w:val="00DF23B4"/>
    <w:rsid w:val="00DF25C6"/>
    <w:rsid w:val="00DF25EE"/>
    <w:rsid w:val="00DF2B6C"/>
    <w:rsid w:val="00DF609A"/>
    <w:rsid w:val="00DF6302"/>
    <w:rsid w:val="00DF6511"/>
    <w:rsid w:val="00DF6E7D"/>
    <w:rsid w:val="00DF7BB9"/>
    <w:rsid w:val="00DF7CFC"/>
    <w:rsid w:val="00E00CA7"/>
    <w:rsid w:val="00E01790"/>
    <w:rsid w:val="00E038F0"/>
    <w:rsid w:val="00E04753"/>
    <w:rsid w:val="00E04974"/>
    <w:rsid w:val="00E05209"/>
    <w:rsid w:val="00E05825"/>
    <w:rsid w:val="00E0623C"/>
    <w:rsid w:val="00E06809"/>
    <w:rsid w:val="00E07B9B"/>
    <w:rsid w:val="00E07D47"/>
    <w:rsid w:val="00E10CC1"/>
    <w:rsid w:val="00E1139F"/>
    <w:rsid w:val="00E11F60"/>
    <w:rsid w:val="00E124E3"/>
    <w:rsid w:val="00E12744"/>
    <w:rsid w:val="00E140E9"/>
    <w:rsid w:val="00E1510E"/>
    <w:rsid w:val="00E16313"/>
    <w:rsid w:val="00E16654"/>
    <w:rsid w:val="00E17399"/>
    <w:rsid w:val="00E2077D"/>
    <w:rsid w:val="00E212C3"/>
    <w:rsid w:val="00E2146D"/>
    <w:rsid w:val="00E216CC"/>
    <w:rsid w:val="00E21D02"/>
    <w:rsid w:val="00E233D1"/>
    <w:rsid w:val="00E243BA"/>
    <w:rsid w:val="00E244BF"/>
    <w:rsid w:val="00E24A3A"/>
    <w:rsid w:val="00E25846"/>
    <w:rsid w:val="00E26A51"/>
    <w:rsid w:val="00E2756C"/>
    <w:rsid w:val="00E27703"/>
    <w:rsid w:val="00E2787B"/>
    <w:rsid w:val="00E30F78"/>
    <w:rsid w:val="00E313E5"/>
    <w:rsid w:val="00E31D46"/>
    <w:rsid w:val="00E323BB"/>
    <w:rsid w:val="00E33188"/>
    <w:rsid w:val="00E33F2E"/>
    <w:rsid w:val="00E33F56"/>
    <w:rsid w:val="00E34181"/>
    <w:rsid w:val="00E345EA"/>
    <w:rsid w:val="00E35041"/>
    <w:rsid w:val="00E36836"/>
    <w:rsid w:val="00E36B00"/>
    <w:rsid w:val="00E37A9A"/>
    <w:rsid w:val="00E406F6"/>
    <w:rsid w:val="00E40A97"/>
    <w:rsid w:val="00E41C8C"/>
    <w:rsid w:val="00E42DF9"/>
    <w:rsid w:val="00E4377B"/>
    <w:rsid w:val="00E44411"/>
    <w:rsid w:val="00E4443F"/>
    <w:rsid w:val="00E44ED6"/>
    <w:rsid w:val="00E459F0"/>
    <w:rsid w:val="00E45E5D"/>
    <w:rsid w:val="00E45F2F"/>
    <w:rsid w:val="00E4669A"/>
    <w:rsid w:val="00E467CA"/>
    <w:rsid w:val="00E46FE9"/>
    <w:rsid w:val="00E4715B"/>
    <w:rsid w:val="00E47BFA"/>
    <w:rsid w:val="00E50B21"/>
    <w:rsid w:val="00E50C39"/>
    <w:rsid w:val="00E51B26"/>
    <w:rsid w:val="00E51E16"/>
    <w:rsid w:val="00E51FA2"/>
    <w:rsid w:val="00E524C3"/>
    <w:rsid w:val="00E52634"/>
    <w:rsid w:val="00E527BA"/>
    <w:rsid w:val="00E52A73"/>
    <w:rsid w:val="00E531E7"/>
    <w:rsid w:val="00E53A83"/>
    <w:rsid w:val="00E53BEB"/>
    <w:rsid w:val="00E548AC"/>
    <w:rsid w:val="00E54A8E"/>
    <w:rsid w:val="00E5573B"/>
    <w:rsid w:val="00E56B8F"/>
    <w:rsid w:val="00E572EC"/>
    <w:rsid w:val="00E57FC7"/>
    <w:rsid w:val="00E6031C"/>
    <w:rsid w:val="00E60F81"/>
    <w:rsid w:val="00E60FB0"/>
    <w:rsid w:val="00E61385"/>
    <w:rsid w:val="00E61896"/>
    <w:rsid w:val="00E618D4"/>
    <w:rsid w:val="00E61F2E"/>
    <w:rsid w:val="00E62913"/>
    <w:rsid w:val="00E64103"/>
    <w:rsid w:val="00E644C1"/>
    <w:rsid w:val="00E64826"/>
    <w:rsid w:val="00E64860"/>
    <w:rsid w:val="00E65E4A"/>
    <w:rsid w:val="00E65F08"/>
    <w:rsid w:val="00E65FE3"/>
    <w:rsid w:val="00E66169"/>
    <w:rsid w:val="00E66760"/>
    <w:rsid w:val="00E67362"/>
    <w:rsid w:val="00E67AF3"/>
    <w:rsid w:val="00E67C3F"/>
    <w:rsid w:val="00E70524"/>
    <w:rsid w:val="00E70A21"/>
    <w:rsid w:val="00E71041"/>
    <w:rsid w:val="00E720A9"/>
    <w:rsid w:val="00E72700"/>
    <w:rsid w:val="00E72F4C"/>
    <w:rsid w:val="00E74051"/>
    <w:rsid w:val="00E7405B"/>
    <w:rsid w:val="00E741E9"/>
    <w:rsid w:val="00E74E31"/>
    <w:rsid w:val="00E76D1B"/>
    <w:rsid w:val="00E76F47"/>
    <w:rsid w:val="00E770FA"/>
    <w:rsid w:val="00E776F8"/>
    <w:rsid w:val="00E8004C"/>
    <w:rsid w:val="00E809C2"/>
    <w:rsid w:val="00E8162D"/>
    <w:rsid w:val="00E81808"/>
    <w:rsid w:val="00E82106"/>
    <w:rsid w:val="00E82490"/>
    <w:rsid w:val="00E828A4"/>
    <w:rsid w:val="00E82AEE"/>
    <w:rsid w:val="00E839A1"/>
    <w:rsid w:val="00E83F44"/>
    <w:rsid w:val="00E85859"/>
    <w:rsid w:val="00E85ACC"/>
    <w:rsid w:val="00E85EA8"/>
    <w:rsid w:val="00E864B9"/>
    <w:rsid w:val="00E87015"/>
    <w:rsid w:val="00E87E24"/>
    <w:rsid w:val="00E87E7A"/>
    <w:rsid w:val="00E905E6"/>
    <w:rsid w:val="00E9075C"/>
    <w:rsid w:val="00E91C45"/>
    <w:rsid w:val="00E92085"/>
    <w:rsid w:val="00E934A8"/>
    <w:rsid w:val="00E94A31"/>
    <w:rsid w:val="00E94D7D"/>
    <w:rsid w:val="00E95279"/>
    <w:rsid w:val="00E95DD5"/>
    <w:rsid w:val="00E970BA"/>
    <w:rsid w:val="00E9768A"/>
    <w:rsid w:val="00E97B49"/>
    <w:rsid w:val="00E97F5E"/>
    <w:rsid w:val="00EA1697"/>
    <w:rsid w:val="00EA1A54"/>
    <w:rsid w:val="00EA1A91"/>
    <w:rsid w:val="00EA26DC"/>
    <w:rsid w:val="00EA2F5B"/>
    <w:rsid w:val="00EA3F98"/>
    <w:rsid w:val="00EA4BC4"/>
    <w:rsid w:val="00EA6410"/>
    <w:rsid w:val="00EA7F65"/>
    <w:rsid w:val="00EB064C"/>
    <w:rsid w:val="00EB06B4"/>
    <w:rsid w:val="00EB073D"/>
    <w:rsid w:val="00EB0A44"/>
    <w:rsid w:val="00EB2664"/>
    <w:rsid w:val="00EB3CBB"/>
    <w:rsid w:val="00EB4A8A"/>
    <w:rsid w:val="00EB50D3"/>
    <w:rsid w:val="00EB6747"/>
    <w:rsid w:val="00EB6880"/>
    <w:rsid w:val="00EB6E76"/>
    <w:rsid w:val="00EC039F"/>
    <w:rsid w:val="00EC03D6"/>
    <w:rsid w:val="00EC1766"/>
    <w:rsid w:val="00EC1A18"/>
    <w:rsid w:val="00EC3436"/>
    <w:rsid w:val="00EC3B54"/>
    <w:rsid w:val="00EC3DB8"/>
    <w:rsid w:val="00EC4EFC"/>
    <w:rsid w:val="00EC52BE"/>
    <w:rsid w:val="00EC5DD3"/>
    <w:rsid w:val="00EC64F3"/>
    <w:rsid w:val="00EC662C"/>
    <w:rsid w:val="00EC78C0"/>
    <w:rsid w:val="00EC78E0"/>
    <w:rsid w:val="00ED0436"/>
    <w:rsid w:val="00ED09B4"/>
    <w:rsid w:val="00ED0C43"/>
    <w:rsid w:val="00ED0E67"/>
    <w:rsid w:val="00ED13AA"/>
    <w:rsid w:val="00ED251F"/>
    <w:rsid w:val="00ED2B23"/>
    <w:rsid w:val="00ED3C1B"/>
    <w:rsid w:val="00ED4D1E"/>
    <w:rsid w:val="00ED5349"/>
    <w:rsid w:val="00ED557E"/>
    <w:rsid w:val="00ED5709"/>
    <w:rsid w:val="00ED57CF"/>
    <w:rsid w:val="00ED597D"/>
    <w:rsid w:val="00ED5FE4"/>
    <w:rsid w:val="00ED643E"/>
    <w:rsid w:val="00ED6B56"/>
    <w:rsid w:val="00ED72FD"/>
    <w:rsid w:val="00EE02B6"/>
    <w:rsid w:val="00EE0ACB"/>
    <w:rsid w:val="00EE1A40"/>
    <w:rsid w:val="00EE20FB"/>
    <w:rsid w:val="00EE34D8"/>
    <w:rsid w:val="00EE386C"/>
    <w:rsid w:val="00EE3AA9"/>
    <w:rsid w:val="00EE3C4B"/>
    <w:rsid w:val="00EE4A93"/>
    <w:rsid w:val="00EE4F4D"/>
    <w:rsid w:val="00EE512C"/>
    <w:rsid w:val="00EE5ED3"/>
    <w:rsid w:val="00EE6AD5"/>
    <w:rsid w:val="00EE6CED"/>
    <w:rsid w:val="00EE7CAA"/>
    <w:rsid w:val="00EF07C0"/>
    <w:rsid w:val="00EF0852"/>
    <w:rsid w:val="00EF1ADC"/>
    <w:rsid w:val="00EF209B"/>
    <w:rsid w:val="00EF2ECD"/>
    <w:rsid w:val="00EF3222"/>
    <w:rsid w:val="00EF35C1"/>
    <w:rsid w:val="00EF3723"/>
    <w:rsid w:val="00EF4507"/>
    <w:rsid w:val="00EF4948"/>
    <w:rsid w:val="00EF4D2F"/>
    <w:rsid w:val="00EF7403"/>
    <w:rsid w:val="00EF7992"/>
    <w:rsid w:val="00F005F7"/>
    <w:rsid w:val="00F02163"/>
    <w:rsid w:val="00F0242E"/>
    <w:rsid w:val="00F02A6B"/>
    <w:rsid w:val="00F03C4F"/>
    <w:rsid w:val="00F04104"/>
    <w:rsid w:val="00F04C58"/>
    <w:rsid w:val="00F04E9D"/>
    <w:rsid w:val="00F05120"/>
    <w:rsid w:val="00F052B5"/>
    <w:rsid w:val="00F05574"/>
    <w:rsid w:val="00F0599D"/>
    <w:rsid w:val="00F069F7"/>
    <w:rsid w:val="00F078C0"/>
    <w:rsid w:val="00F107B3"/>
    <w:rsid w:val="00F11C1F"/>
    <w:rsid w:val="00F126EC"/>
    <w:rsid w:val="00F150DC"/>
    <w:rsid w:val="00F15381"/>
    <w:rsid w:val="00F16023"/>
    <w:rsid w:val="00F1700E"/>
    <w:rsid w:val="00F17268"/>
    <w:rsid w:val="00F205ED"/>
    <w:rsid w:val="00F207AA"/>
    <w:rsid w:val="00F210DD"/>
    <w:rsid w:val="00F214D9"/>
    <w:rsid w:val="00F22573"/>
    <w:rsid w:val="00F2298C"/>
    <w:rsid w:val="00F22B65"/>
    <w:rsid w:val="00F236B1"/>
    <w:rsid w:val="00F23785"/>
    <w:rsid w:val="00F245C4"/>
    <w:rsid w:val="00F272D5"/>
    <w:rsid w:val="00F30132"/>
    <w:rsid w:val="00F31D1B"/>
    <w:rsid w:val="00F3212C"/>
    <w:rsid w:val="00F323C7"/>
    <w:rsid w:val="00F33AE2"/>
    <w:rsid w:val="00F34098"/>
    <w:rsid w:val="00F34E27"/>
    <w:rsid w:val="00F3508B"/>
    <w:rsid w:val="00F3524F"/>
    <w:rsid w:val="00F35A3A"/>
    <w:rsid w:val="00F36223"/>
    <w:rsid w:val="00F36905"/>
    <w:rsid w:val="00F36E55"/>
    <w:rsid w:val="00F37DA9"/>
    <w:rsid w:val="00F40025"/>
    <w:rsid w:val="00F411E5"/>
    <w:rsid w:val="00F4153E"/>
    <w:rsid w:val="00F41840"/>
    <w:rsid w:val="00F41C56"/>
    <w:rsid w:val="00F41EDE"/>
    <w:rsid w:val="00F41FA1"/>
    <w:rsid w:val="00F43F0F"/>
    <w:rsid w:val="00F4475C"/>
    <w:rsid w:val="00F45219"/>
    <w:rsid w:val="00F45CCD"/>
    <w:rsid w:val="00F461DA"/>
    <w:rsid w:val="00F50173"/>
    <w:rsid w:val="00F503DB"/>
    <w:rsid w:val="00F50815"/>
    <w:rsid w:val="00F5096D"/>
    <w:rsid w:val="00F51BDF"/>
    <w:rsid w:val="00F51EE7"/>
    <w:rsid w:val="00F5453D"/>
    <w:rsid w:val="00F54758"/>
    <w:rsid w:val="00F54BF9"/>
    <w:rsid w:val="00F55290"/>
    <w:rsid w:val="00F553B6"/>
    <w:rsid w:val="00F55502"/>
    <w:rsid w:val="00F55B56"/>
    <w:rsid w:val="00F6066C"/>
    <w:rsid w:val="00F61606"/>
    <w:rsid w:val="00F631CB"/>
    <w:rsid w:val="00F63540"/>
    <w:rsid w:val="00F64F3A"/>
    <w:rsid w:val="00F67506"/>
    <w:rsid w:val="00F67547"/>
    <w:rsid w:val="00F67ECD"/>
    <w:rsid w:val="00F702DD"/>
    <w:rsid w:val="00F70494"/>
    <w:rsid w:val="00F705E3"/>
    <w:rsid w:val="00F70899"/>
    <w:rsid w:val="00F70975"/>
    <w:rsid w:val="00F70B3E"/>
    <w:rsid w:val="00F70CC6"/>
    <w:rsid w:val="00F71BDD"/>
    <w:rsid w:val="00F73FB4"/>
    <w:rsid w:val="00F7413E"/>
    <w:rsid w:val="00F75341"/>
    <w:rsid w:val="00F75962"/>
    <w:rsid w:val="00F77CF6"/>
    <w:rsid w:val="00F77D6D"/>
    <w:rsid w:val="00F77DF0"/>
    <w:rsid w:val="00F805B3"/>
    <w:rsid w:val="00F8085A"/>
    <w:rsid w:val="00F81B03"/>
    <w:rsid w:val="00F82019"/>
    <w:rsid w:val="00F82070"/>
    <w:rsid w:val="00F82C73"/>
    <w:rsid w:val="00F82D44"/>
    <w:rsid w:val="00F83DA5"/>
    <w:rsid w:val="00F846CF"/>
    <w:rsid w:val="00F848B0"/>
    <w:rsid w:val="00F84951"/>
    <w:rsid w:val="00F851F6"/>
    <w:rsid w:val="00F86CAB"/>
    <w:rsid w:val="00F87E41"/>
    <w:rsid w:val="00F904B9"/>
    <w:rsid w:val="00F90BC2"/>
    <w:rsid w:val="00F920BF"/>
    <w:rsid w:val="00F93223"/>
    <w:rsid w:val="00F93529"/>
    <w:rsid w:val="00F954CF"/>
    <w:rsid w:val="00F973ED"/>
    <w:rsid w:val="00FA0396"/>
    <w:rsid w:val="00FA06B1"/>
    <w:rsid w:val="00FA0A66"/>
    <w:rsid w:val="00FA0BF6"/>
    <w:rsid w:val="00FA1002"/>
    <w:rsid w:val="00FA104B"/>
    <w:rsid w:val="00FA1FE0"/>
    <w:rsid w:val="00FA22AA"/>
    <w:rsid w:val="00FA237F"/>
    <w:rsid w:val="00FA4295"/>
    <w:rsid w:val="00FA528E"/>
    <w:rsid w:val="00FA5DDB"/>
    <w:rsid w:val="00FB03AA"/>
    <w:rsid w:val="00FB0827"/>
    <w:rsid w:val="00FB18DC"/>
    <w:rsid w:val="00FB277F"/>
    <w:rsid w:val="00FB2D40"/>
    <w:rsid w:val="00FB3BA2"/>
    <w:rsid w:val="00FB4CE1"/>
    <w:rsid w:val="00FB5158"/>
    <w:rsid w:val="00FB539E"/>
    <w:rsid w:val="00FB5CD0"/>
    <w:rsid w:val="00FB79AF"/>
    <w:rsid w:val="00FC0FCA"/>
    <w:rsid w:val="00FC1BA3"/>
    <w:rsid w:val="00FC230F"/>
    <w:rsid w:val="00FC3297"/>
    <w:rsid w:val="00FC3D9A"/>
    <w:rsid w:val="00FC655E"/>
    <w:rsid w:val="00FC68DB"/>
    <w:rsid w:val="00FC70D1"/>
    <w:rsid w:val="00FD113C"/>
    <w:rsid w:val="00FD1232"/>
    <w:rsid w:val="00FD13E0"/>
    <w:rsid w:val="00FD204F"/>
    <w:rsid w:val="00FD22E8"/>
    <w:rsid w:val="00FD3C92"/>
    <w:rsid w:val="00FD4C1F"/>
    <w:rsid w:val="00FD4FAC"/>
    <w:rsid w:val="00FD4FD8"/>
    <w:rsid w:val="00FD6587"/>
    <w:rsid w:val="00FD7DD5"/>
    <w:rsid w:val="00FE0E63"/>
    <w:rsid w:val="00FE250D"/>
    <w:rsid w:val="00FE2875"/>
    <w:rsid w:val="00FE32D4"/>
    <w:rsid w:val="00FE3ADD"/>
    <w:rsid w:val="00FE4DD5"/>
    <w:rsid w:val="00FE5039"/>
    <w:rsid w:val="00FE5D1B"/>
    <w:rsid w:val="00FE6D1C"/>
    <w:rsid w:val="00FE6FA1"/>
    <w:rsid w:val="00FE7038"/>
    <w:rsid w:val="00FF00E4"/>
    <w:rsid w:val="00FF0644"/>
    <w:rsid w:val="00FF0D9D"/>
    <w:rsid w:val="00FF104F"/>
    <w:rsid w:val="00FF115B"/>
    <w:rsid w:val="00FF2390"/>
    <w:rsid w:val="00FF2770"/>
    <w:rsid w:val="00FF2F91"/>
    <w:rsid w:val="00FF32AC"/>
    <w:rsid w:val="00FF32FE"/>
    <w:rsid w:val="00FF3CA0"/>
    <w:rsid w:val="00FF50D0"/>
    <w:rsid w:val="00FF5968"/>
    <w:rsid w:val="00FF5CB8"/>
    <w:rsid w:val="00FF5EBF"/>
    <w:rsid w:val="00FF6188"/>
    <w:rsid w:val="00FF6C75"/>
    <w:rsid w:val="00FF6D94"/>
    <w:rsid w:val="00FF7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F2"/>
    <w:pPr>
      <w:spacing w:before="60" w:after="60" w:line="276" w:lineRule="auto"/>
      <w:jc w:val="both"/>
    </w:pPr>
    <w:rPr>
      <w:rFonts w:ascii="Univers for KPMG Light" w:eastAsia="Times New Roman" w:hAnsi="Univers for KPMG Light" w:cs="Times New Roman"/>
      <w:color w:val="000000"/>
      <w:sz w:val="24"/>
      <w:szCs w:val="24"/>
      <w:lang w:val="en-GB" w:eastAsia="lt-LT"/>
    </w:rPr>
  </w:style>
  <w:style w:type="paragraph" w:styleId="Heading1">
    <w:name w:val="heading 1"/>
    <w:basedOn w:val="Normal"/>
    <w:next w:val="Normal"/>
    <w:link w:val="Heading1Char"/>
    <w:uiPriority w:val="9"/>
    <w:qFormat/>
    <w:rsid w:val="00F954CF"/>
    <w:pPr>
      <w:keepNext/>
      <w:keepLines/>
      <w:pageBreakBefore/>
      <w:numPr>
        <w:numId w:val="2"/>
      </w:numPr>
      <w:spacing w:before="240" w:after="240"/>
      <w:outlineLvl w:val="0"/>
    </w:pPr>
    <w:rPr>
      <w:rFonts w:ascii="Univers for KPMG" w:eastAsiaTheme="majorEastAsia" w:hAnsi="Univers for KPMG"/>
      <w:b/>
      <w:caps/>
      <w:color w:val="00338D"/>
      <w:sz w:val="32"/>
      <w:szCs w:val="32"/>
    </w:rPr>
  </w:style>
  <w:style w:type="paragraph" w:styleId="Heading2">
    <w:name w:val="heading 2"/>
    <w:basedOn w:val="Heading1"/>
    <w:next w:val="Normal"/>
    <w:link w:val="Heading2Char"/>
    <w:uiPriority w:val="9"/>
    <w:unhideWhenUsed/>
    <w:qFormat/>
    <w:rsid w:val="00AF51D9"/>
    <w:pPr>
      <w:pageBreakBefore w:val="0"/>
      <w:numPr>
        <w:ilvl w:val="1"/>
      </w:numPr>
      <w:spacing w:before="60" w:after="120"/>
      <w:ind w:left="709" w:hanging="709"/>
      <w:outlineLvl w:val="1"/>
    </w:pPr>
    <w:rPr>
      <w:rFonts w:ascii="Arial" w:hAnsi="Arial" w:cs="Arial"/>
      <w:caps w:val="0"/>
      <w:sz w:val="26"/>
      <w:szCs w:val="26"/>
    </w:rPr>
  </w:style>
  <w:style w:type="paragraph" w:styleId="Heading3">
    <w:name w:val="heading 3"/>
    <w:basedOn w:val="Heading2"/>
    <w:next w:val="Normal"/>
    <w:link w:val="Heading3Char"/>
    <w:uiPriority w:val="9"/>
    <w:unhideWhenUsed/>
    <w:qFormat/>
    <w:rsid w:val="00AF51D9"/>
    <w:pPr>
      <w:numPr>
        <w:ilvl w:val="2"/>
      </w:numPr>
      <w:ind w:left="851" w:hanging="851"/>
      <w:outlineLvl w:val="2"/>
    </w:pPr>
    <w:rPr>
      <w:b w:val="0"/>
      <w:sz w:val="24"/>
    </w:rPr>
  </w:style>
  <w:style w:type="paragraph" w:styleId="Heading4">
    <w:name w:val="heading 4"/>
    <w:basedOn w:val="Normal"/>
    <w:next w:val="Normal"/>
    <w:link w:val="Heading4Char"/>
    <w:uiPriority w:val="9"/>
    <w:unhideWhenUsed/>
    <w:qFormat/>
    <w:rsid w:val="001F720F"/>
    <w:pPr>
      <w:keepNext/>
      <w:keepLines/>
      <w:spacing w:before="120"/>
      <w:outlineLvl w:val="3"/>
    </w:pPr>
    <w:rPr>
      <w:rFonts w:ascii="Arial" w:eastAsiaTheme="majorEastAsia" w:hAnsi="Arial" w:cs="Arial"/>
      <w:i/>
      <w:iCs/>
      <w:color w:val="2E74B5" w:themeColor="accent1" w:themeShade="BF"/>
    </w:rPr>
  </w:style>
  <w:style w:type="paragraph" w:styleId="Heading5">
    <w:name w:val="heading 5"/>
    <w:basedOn w:val="Normal"/>
    <w:next w:val="Normal"/>
    <w:link w:val="Heading5Char"/>
    <w:uiPriority w:val="9"/>
    <w:unhideWhenUsed/>
    <w:qFormat/>
    <w:rsid w:val="00C432A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unhideWhenUsed/>
    <w:qFormat/>
    <w:rsid w:val="002214F7"/>
    <w:pPr>
      <w:spacing w:before="0" w:after="200"/>
      <w:ind w:left="1786" w:hanging="357"/>
      <w:outlineLvl w:val="5"/>
    </w:pPr>
    <w:rPr>
      <w:rFonts w:ascii="Trebuchet MS" w:eastAsiaTheme="majorEastAsia" w:hAnsi="Trebuchet MS" w:cstheme="majorBidi"/>
      <w:iCs/>
      <w:color w:val="auto"/>
      <w:sz w:val="20"/>
      <w:szCs w:val="20"/>
    </w:rPr>
  </w:style>
  <w:style w:type="paragraph" w:styleId="Heading7">
    <w:name w:val="heading 7"/>
    <w:basedOn w:val="Normal"/>
    <w:link w:val="Heading7Char"/>
    <w:uiPriority w:val="9"/>
    <w:unhideWhenUsed/>
    <w:qFormat/>
    <w:rsid w:val="002214F7"/>
    <w:pPr>
      <w:spacing w:before="0" w:after="200"/>
      <w:ind w:left="2143" w:hanging="357"/>
      <w:outlineLvl w:val="6"/>
    </w:pPr>
    <w:rPr>
      <w:rFonts w:ascii="Trebuchet MS" w:eastAsiaTheme="majorEastAsia" w:hAnsi="Trebuchet MS" w:cstheme="majorBidi"/>
      <w:iCs/>
      <w:color w:val="auto"/>
      <w:sz w:val="20"/>
      <w:szCs w:val="20"/>
    </w:rPr>
  </w:style>
  <w:style w:type="paragraph" w:styleId="Heading8">
    <w:name w:val="heading 8"/>
    <w:basedOn w:val="Normal"/>
    <w:link w:val="Heading8Char"/>
    <w:uiPriority w:val="9"/>
    <w:unhideWhenUsed/>
    <w:qFormat/>
    <w:rsid w:val="002214F7"/>
    <w:pPr>
      <w:spacing w:before="0" w:after="200"/>
      <w:ind w:left="2500" w:hanging="357"/>
      <w:outlineLvl w:val="7"/>
    </w:pPr>
    <w:rPr>
      <w:rFonts w:ascii="Trebuchet MS" w:eastAsiaTheme="majorEastAsia" w:hAnsi="Trebuchet MS" w:cstheme="majorBidi"/>
      <w:color w:val="auto"/>
      <w:sz w:val="20"/>
      <w:szCs w:val="20"/>
    </w:rPr>
  </w:style>
  <w:style w:type="paragraph" w:styleId="Heading9">
    <w:name w:val="heading 9"/>
    <w:basedOn w:val="Normal"/>
    <w:link w:val="Heading9Char"/>
    <w:uiPriority w:val="9"/>
    <w:unhideWhenUsed/>
    <w:qFormat/>
    <w:rsid w:val="002214F7"/>
    <w:pPr>
      <w:spacing w:before="0" w:after="200"/>
      <w:ind w:left="2858" w:hanging="358"/>
      <w:outlineLvl w:val="8"/>
    </w:pPr>
    <w:rPr>
      <w:rFonts w:ascii="Trebuchet MS" w:eastAsiaTheme="majorEastAsia" w:hAnsi="Trebuchet MS" w:cstheme="majorBidi"/>
      <w:i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CF"/>
    <w:rPr>
      <w:rFonts w:ascii="Univers for KPMG" w:eastAsiaTheme="majorEastAsia" w:hAnsi="Univers for KPMG" w:cs="Times New Roman"/>
      <w:b/>
      <w:caps/>
      <w:noProof/>
      <w:color w:val="00338D"/>
      <w:sz w:val="32"/>
      <w:szCs w:val="32"/>
      <w:lang w:eastAsia="lt-LT"/>
    </w:rPr>
  </w:style>
  <w:style w:type="paragraph" w:styleId="Title">
    <w:name w:val="Title"/>
    <w:basedOn w:val="Normal"/>
    <w:next w:val="Normal"/>
    <w:link w:val="TitleChar"/>
    <w:uiPriority w:val="10"/>
    <w:qFormat/>
    <w:rsid w:val="006B62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27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F51D9"/>
    <w:rPr>
      <w:rFonts w:ascii="Arial" w:eastAsiaTheme="majorEastAsia" w:hAnsi="Arial" w:cs="Arial"/>
      <w:b/>
      <w:color w:val="00338D"/>
      <w:sz w:val="26"/>
      <w:szCs w:val="26"/>
      <w:lang w:eastAsia="lt-LT"/>
    </w:rPr>
  </w:style>
  <w:style w:type="paragraph" w:styleId="BodyText">
    <w:name w:val="Body Text"/>
    <w:basedOn w:val="Normal"/>
    <w:link w:val="BodyTextChar"/>
    <w:uiPriority w:val="99"/>
    <w:qFormat/>
    <w:rsid w:val="00281270"/>
    <w:pPr>
      <w:spacing w:after="240" w:line="280" w:lineRule="atLeast"/>
      <w:ind w:firstLine="567"/>
    </w:pPr>
    <w:rPr>
      <w:rFonts w:ascii="Times New Roman" w:hAnsi="Times New Roman"/>
    </w:rPr>
  </w:style>
  <w:style w:type="character" w:customStyle="1" w:styleId="BodyTextChar">
    <w:name w:val="Body Text Char"/>
    <w:basedOn w:val="DefaultParagraphFont"/>
    <w:link w:val="BodyText"/>
    <w:uiPriority w:val="99"/>
    <w:rsid w:val="00281270"/>
    <w:rPr>
      <w:rFonts w:ascii="Times New Roman" w:eastAsia="Times New Roman" w:hAnsi="Times New Roman" w:cs="Times New Roman"/>
      <w:color w:val="000000"/>
      <w:lang w:eastAsia="lt-LT"/>
    </w:rPr>
  </w:style>
  <w:style w:type="table" w:styleId="TableGrid">
    <w:name w:val="Table Grid"/>
    <w:aliases w:val="Standard,Table Heading Background"/>
    <w:basedOn w:val="TableNormal"/>
    <w:uiPriority w:val="59"/>
    <w:rsid w:val="00281270"/>
    <w:pPr>
      <w:spacing w:after="0" w:line="240" w:lineRule="auto"/>
    </w:pPr>
    <w:rPr>
      <w:rFonts w:ascii="Univers 45 Light" w:eastAsia="Times New Roman" w:hAnsi="Univers 45 Light" w:cs="Times New Roman"/>
      <w:sz w:val="20"/>
      <w:szCs w:val="20"/>
      <w:lang w:val="en-US"/>
    </w:rPr>
    <w:tblPr/>
  </w:style>
  <w:style w:type="paragraph" w:styleId="FootnoteText">
    <w:name w:val="footnote text"/>
    <w:aliases w:val="• Isnasos,Footnote Text Char Char,Fußnotentextf,stile 1,Footnote1,Footnote2,Footnote3,Footnote4,Footnote5,Footnote6,Footnote7,Footnote8,Footnote9,Footnote10,Footnote11,Footnote21,Footnote31,Footnote41,Footnote51,f,fn"/>
    <w:basedOn w:val="Normal"/>
    <w:link w:val="FootnoteTextChar"/>
    <w:uiPriority w:val="99"/>
    <w:qFormat/>
    <w:rsid w:val="00281270"/>
    <w:pPr>
      <w:spacing w:after="0" w:line="240" w:lineRule="auto"/>
    </w:pPr>
    <w:rPr>
      <w:sz w:val="18"/>
      <w:szCs w:val="20"/>
    </w:rPr>
  </w:style>
  <w:style w:type="character" w:customStyle="1" w:styleId="FootnoteTextChar">
    <w:name w:val="Footnote Text Char"/>
    <w:aliases w:val="• Isnasos Char,Footnote Text Char Char Char,Fußnotentextf Char,stile 1 Char,Footnote1 Char,Footnote2 Char,Footnote3 Char,Footnote4 Char,Footnote5 Char,Footnote6 Char,Footnote7 Char,Footnote8 Char,Footnote9 Char,Footnote10 Char,f Char"/>
    <w:basedOn w:val="DefaultParagraphFont"/>
    <w:link w:val="FootnoteText"/>
    <w:uiPriority w:val="99"/>
    <w:rsid w:val="00281270"/>
    <w:rPr>
      <w:rFonts w:ascii="Univers for KPMG Light" w:eastAsia="Times New Roman" w:hAnsi="Univers for KPMG Light" w:cs="Times New Roman"/>
      <w:sz w:val="18"/>
      <w:szCs w:val="20"/>
      <w:lang w:val="en-GB"/>
    </w:rPr>
  </w:style>
  <w:style w:type="character" w:styleId="FootnoteReference">
    <w:name w:val="footnote reference"/>
    <w:aliases w:val="Ref,de nota al pie,Ref1,de nota al pie1,Ref2,de nota al pie2,Ref11,de nota al pie11, BVI fnr,BVI fnr,Footnote symbol,Footnote reference number,Footnote,Times 10 Point,Exposant 3 Point,note TESI,SUPERS,EN Footnote text,number,E F"/>
    <w:basedOn w:val="DefaultParagraphFont"/>
    <w:link w:val="Isnasosnuoroda"/>
    <w:uiPriority w:val="99"/>
    <w:unhideWhenUsed/>
    <w:qFormat/>
    <w:rsid w:val="00281270"/>
    <w:rPr>
      <w:vertAlign w:val="superscript"/>
    </w:rPr>
  </w:style>
  <w:style w:type="character" w:styleId="CommentReference">
    <w:name w:val="annotation reference"/>
    <w:basedOn w:val="DefaultParagraphFont"/>
    <w:uiPriority w:val="99"/>
    <w:semiHidden/>
    <w:unhideWhenUsed/>
    <w:rsid w:val="008F0207"/>
    <w:rPr>
      <w:sz w:val="16"/>
      <w:szCs w:val="16"/>
    </w:rPr>
  </w:style>
  <w:style w:type="paragraph" w:styleId="CommentText">
    <w:name w:val="annotation text"/>
    <w:basedOn w:val="Normal"/>
    <w:link w:val="CommentTextChar"/>
    <w:uiPriority w:val="99"/>
    <w:unhideWhenUsed/>
    <w:rsid w:val="008F0207"/>
    <w:pPr>
      <w:spacing w:line="240" w:lineRule="auto"/>
    </w:pPr>
    <w:rPr>
      <w:sz w:val="20"/>
      <w:szCs w:val="20"/>
    </w:rPr>
  </w:style>
  <w:style w:type="character" w:customStyle="1" w:styleId="CommentTextChar">
    <w:name w:val="Comment Text Char"/>
    <w:basedOn w:val="DefaultParagraphFont"/>
    <w:link w:val="CommentText"/>
    <w:uiPriority w:val="99"/>
    <w:rsid w:val="008F0207"/>
    <w:rPr>
      <w:sz w:val="20"/>
      <w:szCs w:val="20"/>
    </w:rPr>
  </w:style>
  <w:style w:type="paragraph" w:styleId="CommentSubject">
    <w:name w:val="annotation subject"/>
    <w:basedOn w:val="CommentText"/>
    <w:next w:val="CommentText"/>
    <w:link w:val="CommentSubjectChar"/>
    <w:uiPriority w:val="99"/>
    <w:semiHidden/>
    <w:unhideWhenUsed/>
    <w:rsid w:val="008F0207"/>
    <w:rPr>
      <w:b/>
      <w:bCs/>
    </w:rPr>
  </w:style>
  <w:style w:type="character" w:customStyle="1" w:styleId="CommentSubjectChar">
    <w:name w:val="Comment Subject Char"/>
    <w:basedOn w:val="CommentTextChar"/>
    <w:link w:val="CommentSubject"/>
    <w:uiPriority w:val="99"/>
    <w:semiHidden/>
    <w:rsid w:val="008F0207"/>
    <w:rPr>
      <w:b/>
      <w:bCs/>
      <w:sz w:val="20"/>
      <w:szCs w:val="20"/>
    </w:rPr>
  </w:style>
  <w:style w:type="paragraph" w:styleId="BalloonText">
    <w:name w:val="Balloon Text"/>
    <w:basedOn w:val="Normal"/>
    <w:link w:val="BalloonTextChar"/>
    <w:uiPriority w:val="99"/>
    <w:semiHidden/>
    <w:unhideWhenUsed/>
    <w:rsid w:val="008F0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07"/>
    <w:rPr>
      <w:rFonts w:ascii="Segoe UI" w:hAnsi="Segoe UI" w:cs="Segoe UI"/>
      <w:sz w:val="18"/>
      <w:szCs w:val="18"/>
    </w:rPr>
  </w:style>
  <w:style w:type="paragraph" w:styleId="ListParagraph">
    <w:name w:val="List Paragraph"/>
    <w:basedOn w:val="Normal"/>
    <w:link w:val="ListParagraphChar"/>
    <w:uiPriority w:val="34"/>
    <w:qFormat/>
    <w:rsid w:val="00686D77"/>
    <w:pPr>
      <w:ind w:left="720"/>
      <w:contextualSpacing/>
    </w:pPr>
  </w:style>
  <w:style w:type="paragraph" w:styleId="TOCHeading">
    <w:name w:val="TOC Heading"/>
    <w:basedOn w:val="Heading1"/>
    <w:next w:val="Normal"/>
    <w:uiPriority w:val="39"/>
    <w:unhideWhenUsed/>
    <w:qFormat/>
    <w:rsid w:val="00301C60"/>
    <w:pPr>
      <w:outlineLvl w:val="9"/>
    </w:pPr>
    <w:rPr>
      <w:lang w:val="en-US"/>
    </w:rPr>
  </w:style>
  <w:style w:type="paragraph" w:styleId="TOC1">
    <w:name w:val="toc 1"/>
    <w:basedOn w:val="Normal"/>
    <w:next w:val="Normal"/>
    <w:autoRedefine/>
    <w:uiPriority w:val="39"/>
    <w:unhideWhenUsed/>
    <w:rsid w:val="00722D9D"/>
    <w:pPr>
      <w:tabs>
        <w:tab w:val="left" w:pos="440"/>
        <w:tab w:val="right" w:leader="dot" w:pos="9628"/>
      </w:tabs>
    </w:pPr>
    <w:rPr>
      <w:rFonts w:ascii="Arial" w:hAnsi="Arial"/>
      <w:b/>
      <w:caps/>
      <w:sz w:val="20"/>
    </w:rPr>
  </w:style>
  <w:style w:type="paragraph" w:styleId="TOC2">
    <w:name w:val="toc 2"/>
    <w:basedOn w:val="Normal"/>
    <w:next w:val="Normal"/>
    <w:autoRedefine/>
    <w:uiPriority w:val="39"/>
    <w:unhideWhenUsed/>
    <w:rsid w:val="00CC1EA5"/>
    <w:pPr>
      <w:tabs>
        <w:tab w:val="right" w:leader="dot" w:pos="9628"/>
      </w:tabs>
      <w:spacing w:before="20" w:after="20"/>
      <w:ind w:left="221"/>
    </w:pPr>
    <w:rPr>
      <w:rFonts w:ascii="Arial" w:hAnsi="Arial"/>
      <w:sz w:val="19"/>
    </w:rPr>
  </w:style>
  <w:style w:type="character" w:styleId="Hyperlink">
    <w:name w:val="Hyperlink"/>
    <w:basedOn w:val="DefaultParagraphFont"/>
    <w:uiPriority w:val="99"/>
    <w:unhideWhenUsed/>
    <w:rsid w:val="00301C60"/>
    <w:rPr>
      <w:color w:val="0563C1" w:themeColor="hyperlink"/>
      <w:u w:val="single"/>
    </w:rPr>
  </w:style>
  <w:style w:type="paragraph" w:customStyle="1" w:styleId="Default">
    <w:name w:val="Default"/>
    <w:rsid w:val="00C106E4"/>
    <w:pPr>
      <w:autoSpaceDE w:val="0"/>
      <w:autoSpaceDN w:val="0"/>
      <w:adjustRightInd w:val="0"/>
      <w:spacing w:after="0" w:line="240" w:lineRule="auto"/>
    </w:pPr>
    <w:rPr>
      <w:rFonts w:ascii="Georgia" w:hAnsi="Georgia" w:cs="Georgia"/>
      <w:color w:val="000000"/>
      <w:sz w:val="24"/>
      <w:szCs w:val="24"/>
    </w:rPr>
  </w:style>
  <w:style w:type="paragraph" w:styleId="Caption">
    <w:name w:val="caption"/>
    <w:basedOn w:val="Normal"/>
    <w:next w:val="Normal"/>
    <w:unhideWhenUsed/>
    <w:qFormat/>
    <w:rsid w:val="00264815"/>
    <w:pPr>
      <w:spacing w:after="200" w:line="240" w:lineRule="auto"/>
    </w:pPr>
    <w:rPr>
      <w:i/>
      <w:iCs/>
      <w:color w:val="44546A" w:themeColor="text2"/>
      <w:sz w:val="20"/>
      <w:szCs w:val="18"/>
    </w:rPr>
  </w:style>
  <w:style w:type="paragraph" w:customStyle="1" w:styleId="Tablebulletsub">
    <w:name w:val="Table bullet sub"/>
    <w:basedOn w:val="ListParagraph"/>
    <w:qFormat/>
    <w:rsid w:val="00B53A0A"/>
    <w:pPr>
      <w:numPr>
        <w:numId w:val="5"/>
      </w:numPr>
    </w:pPr>
  </w:style>
  <w:style w:type="table" w:customStyle="1" w:styleId="TableGrid1">
    <w:name w:val="Table Grid1"/>
    <w:uiPriority w:val="59"/>
    <w:rsid w:val="00E2146D"/>
    <w:pPr>
      <w:spacing w:after="0" w:line="240" w:lineRule="auto"/>
    </w:pPr>
    <w:rPr>
      <w:rFonts w:ascii="Trebuchet MS" w:eastAsia="Times New Roman" w:hAnsi="Trebuchet MS" w:cs="Times New Roman"/>
      <w:sz w:val="24"/>
      <w:szCs w:val="24"/>
      <w:lang w:val="cs-CZ" w:eastAsia="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F4E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E1D"/>
  </w:style>
  <w:style w:type="paragraph" w:styleId="Footer">
    <w:name w:val="footer"/>
    <w:basedOn w:val="Normal"/>
    <w:link w:val="FooterChar"/>
    <w:uiPriority w:val="99"/>
    <w:unhideWhenUsed/>
    <w:rsid w:val="007F4E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4E1D"/>
  </w:style>
  <w:style w:type="paragraph" w:styleId="Revision">
    <w:name w:val="Revision"/>
    <w:hidden/>
    <w:uiPriority w:val="99"/>
    <w:semiHidden/>
    <w:rsid w:val="00BC3091"/>
    <w:pPr>
      <w:spacing w:after="0" w:line="240" w:lineRule="auto"/>
    </w:pPr>
  </w:style>
  <w:style w:type="paragraph" w:customStyle="1" w:styleId="Bodytextnavyhighlight">
    <w:name w:val="Body text navy highlight"/>
    <w:basedOn w:val="Normal"/>
    <w:qFormat/>
    <w:rsid w:val="00AA1199"/>
    <w:pPr>
      <w:spacing w:before="140" w:after="280" w:line="240" w:lineRule="auto"/>
    </w:pPr>
    <w:rPr>
      <w:b/>
      <w:color w:val="00338D"/>
      <w:sz w:val="20"/>
    </w:rPr>
  </w:style>
  <w:style w:type="paragraph" w:customStyle="1" w:styleId="Contactname">
    <w:name w:val="Contact name"/>
    <w:basedOn w:val="Normal"/>
    <w:next w:val="Normal"/>
    <w:semiHidden/>
    <w:qFormat/>
    <w:rsid w:val="00AA1199"/>
    <w:pPr>
      <w:spacing w:before="240" w:after="0" w:line="240" w:lineRule="atLeast"/>
    </w:pPr>
    <w:rPr>
      <w:b/>
      <w:color w:val="00338D"/>
      <w:sz w:val="20"/>
    </w:rPr>
  </w:style>
  <w:style w:type="paragraph" w:customStyle="1" w:styleId="Contactemail">
    <w:name w:val="Contact email"/>
    <w:basedOn w:val="Normal"/>
    <w:next w:val="Contactname"/>
    <w:semiHidden/>
    <w:qFormat/>
    <w:rsid w:val="00AA1199"/>
    <w:pPr>
      <w:spacing w:after="0" w:line="240" w:lineRule="atLeast"/>
    </w:pPr>
    <w:rPr>
      <w:color w:val="000000" w:themeColor="text1"/>
      <w:sz w:val="20"/>
    </w:rPr>
  </w:style>
  <w:style w:type="paragraph" w:customStyle="1" w:styleId="Disclaimer">
    <w:name w:val="Disclaimer"/>
    <w:basedOn w:val="Normal"/>
    <w:unhideWhenUsed/>
    <w:qFormat/>
    <w:rsid w:val="00AA1199"/>
    <w:pPr>
      <w:framePr w:wrap="around" w:vAnchor="page" w:hAnchor="page" w:x="664" w:y="12003"/>
      <w:spacing w:before="120" w:after="0" w:line="240" w:lineRule="auto"/>
    </w:pPr>
    <w:rPr>
      <w:color w:val="000000" w:themeColor="text1"/>
      <w:sz w:val="16"/>
    </w:rPr>
  </w:style>
  <w:style w:type="character" w:customStyle="1" w:styleId="Contactbold">
    <w:name w:val="Contact bold"/>
    <w:basedOn w:val="DefaultParagraphFont"/>
    <w:semiHidden/>
    <w:qFormat/>
    <w:rsid w:val="00AA1199"/>
    <w:rPr>
      <w:rFonts w:ascii="Univers for KPMG" w:hAnsi="Univers for KPMG"/>
      <w:b/>
      <w:color w:val="000000" w:themeColor="text1"/>
    </w:rPr>
  </w:style>
  <w:style w:type="paragraph" w:customStyle="1" w:styleId="Contactname0">
    <w:name w:val="_Contact name"/>
    <w:basedOn w:val="Normal"/>
    <w:next w:val="Contactsectorname"/>
    <w:qFormat/>
    <w:rsid w:val="00AA1199"/>
    <w:pPr>
      <w:spacing w:before="240" w:after="0" w:line="240" w:lineRule="atLeast"/>
    </w:pPr>
    <w:rPr>
      <w:rFonts w:ascii="Arial" w:hAnsi="Arial"/>
      <w:b/>
      <w:color w:val="00338D"/>
      <w:sz w:val="20"/>
    </w:rPr>
  </w:style>
  <w:style w:type="paragraph" w:customStyle="1" w:styleId="Contactsectorname">
    <w:name w:val="_Contact sector name"/>
    <w:basedOn w:val="Normal"/>
    <w:next w:val="Contacttelephone"/>
    <w:qFormat/>
    <w:rsid w:val="00AA1199"/>
    <w:pPr>
      <w:spacing w:after="0" w:line="240" w:lineRule="atLeast"/>
    </w:pPr>
    <w:rPr>
      <w:rFonts w:ascii="Arial" w:hAnsi="Arial"/>
      <w:b/>
      <w:color w:val="000000" w:themeColor="text1"/>
      <w:sz w:val="20"/>
    </w:rPr>
  </w:style>
  <w:style w:type="paragraph" w:customStyle="1" w:styleId="Contacttelephone">
    <w:name w:val="_Contact telephone"/>
    <w:basedOn w:val="Normal"/>
    <w:next w:val="Normal"/>
    <w:qFormat/>
    <w:rsid w:val="00AA1199"/>
    <w:pPr>
      <w:spacing w:after="0" w:line="240" w:lineRule="atLeast"/>
    </w:pPr>
    <w:rPr>
      <w:rFonts w:ascii="Arial" w:hAnsi="Arial"/>
      <w:color w:val="000000" w:themeColor="text1"/>
      <w:sz w:val="20"/>
    </w:rPr>
  </w:style>
  <w:style w:type="character" w:customStyle="1" w:styleId="Contactbold0">
    <w:name w:val="_Contact bold"/>
    <w:basedOn w:val="DefaultParagraphFont"/>
    <w:uiPriority w:val="1"/>
    <w:qFormat/>
    <w:rsid w:val="00AA1199"/>
    <w:rPr>
      <w:rFonts w:ascii="Arial" w:hAnsi="Arial"/>
      <w:b/>
      <w:color w:val="000000" w:themeColor="text1"/>
      <w:sz w:val="20"/>
    </w:rPr>
  </w:style>
  <w:style w:type="character" w:customStyle="1" w:styleId="Heading3Char">
    <w:name w:val="Heading 3 Char"/>
    <w:basedOn w:val="DefaultParagraphFont"/>
    <w:link w:val="Heading3"/>
    <w:uiPriority w:val="9"/>
    <w:rsid w:val="00AF51D9"/>
    <w:rPr>
      <w:rFonts w:ascii="Arial" w:eastAsiaTheme="majorEastAsia" w:hAnsi="Arial" w:cs="Arial"/>
      <w:color w:val="00338D"/>
      <w:sz w:val="24"/>
      <w:szCs w:val="26"/>
      <w:lang w:eastAsia="lt-LT"/>
    </w:rPr>
  </w:style>
  <w:style w:type="paragraph" w:styleId="TOC3">
    <w:name w:val="toc 3"/>
    <w:basedOn w:val="Normal"/>
    <w:next w:val="Normal"/>
    <w:autoRedefine/>
    <w:uiPriority w:val="39"/>
    <w:unhideWhenUsed/>
    <w:rsid w:val="00722D9D"/>
    <w:pPr>
      <w:spacing w:before="20" w:after="20"/>
      <w:ind w:left="482"/>
    </w:pPr>
    <w:rPr>
      <w:rFonts w:ascii="Arial" w:hAnsi="Arial"/>
      <w:i/>
      <w:sz w:val="20"/>
    </w:rPr>
  </w:style>
  <w:style w:type="paragraph" w:styleId="NoSpacing">
    <w:name w:val="No Spacing"/>
    <w:uiPriority w:val="1"/>
    <w:qFormat/>
    <w:rsid w:val="0020544E"/>
    <w:pPr>
      <w:spacing w:after="0" w:line="240" w:lineRule="auto"/>
      <w:jc w:val="both"/>
    </w:pPr>
    <w:rPr>
      <w:rFonts w:ascii="Univers for KPMG Light" w:eastAsia="Times New Roman" w:hAnsi="Univers for KPMG Light" w:cs="Times New Roman"/>
      <w:noProof/>
      <w:color w:val="000000"/>
      <w:sz w:val="24"/>
      <w:szCs w:val="24"/>
      <w:lang w:eastAsia="lt-LT"/>
    </w:rPr>
  </w:style>
  <w:style w:type="paragraph" w:styleId="TableofFigures">
    <w:name w:val="table of figures"/>
    <w:basedOn w:val="Normal"/>
    <w:next w:val="Normal"/>
    <w:uiPriority w:val="99"/>
    <w:unhideWhenUsed/>
    <w:rsid w:val="00546ECC"/>
    <w:pPr>
      <w:spacing w:after="0"/>
    </w:pPr>
  </w:style>
  <w:style w:type="character" w:customStyle="1" w:styleId="Heading4Char">
    <w:name w:val="Heading 4 Char"/>
    <w:basedOn w:val="DefaultParagraphFont"/>
    <w:link w:val="Heading4"/>
    <w:uiPriority w:val="9"/>
    <w:rsid w:val="001F720F"/>
    <w:rPr>
      <w:rFonts w:ascii="Arial" w:eastAsiaTheme="majorEastAsia" w:hAnsi="Arial" w:cs="Arial"/>
      <w:i/>
      <w:iCs/>
      <w:color w:val="2E74B5" w:themeColor="accent1" w:themeShade="BF"/>
      <w:sz w:val="24"/>
      <w:szCs w:val="24"/>
      <w:lang w:eastAsia="lt-LT"/>
    </w:rPr>
  </w:style>
  <w:style w:type="character" w:customStyle="1" w:styleId="Heading5Char">
    <w:name w:val="Heading 5 Char"/>
    <w:basedOn w:val="DefaultParagraphFont"/>
    <w:link w:val="Heading5"/>
    <w:uiPriority w:val="9"/>
    <w:rsid w:val="00C432AE"/>
    <w:rPr>
      <w:rFonts w:asciiTheme="majorHAnsi" w:eastAsiaTheme="majorEastAsia" w:hAnsiTheme="majorHAnsi" w:cstheme="majorBidi"/>
      <w:noProof/>
      <w:color w:val="2E74B5" w:themeColor="accent1" w:themeShade="BF"/>
      <w:sz w:val="24"/>
      <w:szCs w:val="24"/>
      <w:lang w:eastAsia="lt-LT"/>
    </w:rPr>
  </w:style>
  <w:style w:type="paragraph" w:styleId="NormalWeb">
    <w:name w:val="Normal (Web)"/>
    <w:basedOn w:val="Normal"/>
    <w:uiPriority w:val="99"/>
    <w:unhideWhenUsed/>
    <w:rsid w:val="00640F86"/>
    <w:pPr>
      <w:spacing w:before="100" w:beforeAutospacing="1" w:after="100" w:afterAutospacing="1" w:line="240" w:lineRule="auto"/>
      <w:jc w:val="left"/>
    </w:pPr>
    <w:rPr>
      <w:rFonts w:ascii="Times New Roman" w:hAnsi="Times New Roman"/>
      <w:color w:val="auto"/>
    </w:rPr>
  </w:style>
  <w:style w:type="paragraph" w:customStyle="1" w:styleId="mazas">
    <w:name w:val="mazas"/>
    <w:basedOn w:val="Normal"/>
    <w:rsid w:val="00E81808"/>
    <w:pPr>
      <w:spacing w:before="100" w:beforeAutospacing="1" w:after="100" w:afterAutospacing="1" w:line="240" w:lineRule="auto"/>
      <w:jc w:val="left"/>
    </w:pPr>
    <w:rPr>
      <w:rFonts w:ascii="Times New Roman" w:hAnsi="Times New Roman"/>
      <w:color w:val="auto"/>
    </w:rPr>
  </w:style>
  <w:style w:type="character" w:customStyle="1" w:styleId="ListParagraphChar">
    <w:name w:val="List Paragraph Char"/>
    <w:link w:val="ListParagraph"/>
    <w:uiPriority w:val="34"/>
    <w:locked/>
    <w:rsid w:val="00A13689"/>
    <w:rPr>
      <w:rFonts w:ascii="Univers for KPMG Light" w:eastAsia="Times New Roman" w:hAnsi="Univers for KPMG Light" w:cs="Times New Roman"/>
      <w:noProof/>
      <w:color w:val="000000"/>
      <w:sz w:val="24"/>
      <w:szCs w:val="24"/>
      <w:lang w:eastAsia="lt-LT"/>
    </w:rPr>
  </w:style>
  <w:style w:type="character" w:styleId="FollowedHyperlink">
    <w:name w:val="FollowedHyperlink"/>
    <w:basedOn w:val="DefaultParagraphFont"/>
    <w:uiPriority w:val="99"/>
    <w:semiHidden/>
    <w:unhideWhenUsed/>
    <w:rsid w:val="00165597"/>
    <w:rPr>
      <w:color w:val="954F72" w:themeColor="followedHyperlink"/>
      <w:u w:val="single"/>
    </w:rPr>
  </w:style>
  <w:style w:type="paragraph" w:customStyle="1" w:styleId="Pagrindinispaprastastekstas">
    <w:name w:val="• Pagrindinis paprastas tekstas"/>
    <w:basedOn w:val="Normal"/>
    <w:link w:val="PagrindinispaprastastekstasChar"/>
    <w:qFormat/>
    <w:rsid w:val="00CB6CBE"/>
    <w:pPr>
      <w:spacing w:before="0" w:after="0" w:line="240" w:lineRule="auto"/>
    </w:pPr>
    <w:rPr>
      <w:rFonts w:ascii="Cambria" w:hAnsi="Cambria"/>
      <w:color w:val="auto"/>
      <w:sz w:val="20"/>
      <w:lang w:val="x-none" w:eastAsia="x-none"/>
    </w:rPr>
  </w:style>
  <w:style w:type="character" w:customStyle="1" w:styleId="PagrindinispaprastastekstasChar">
    <w:name w:val="• Pagrindinis paprastas tekstas Char"/>
    <w:link w:val="Pagrindinispaprastastekstas"/>
    <w:rsid w:val="00CB6CBE"/>
    <w:rPr>
      <w:rFonts w:ascii="Cambria" w:eastAsia="Times New Roman" w:hAnsi="Cambria" w:cs="Times New Roman"/>
      <w:sz w:val="20"/>
      <w:szCs w:val="24"/>
      <w:lang w:val="x-none" w:eastAsia="x-none"/>
    </w:rPr>
  </w:style>
  <w:style w:type="paragraph" w:customStyle="1" w:styleId="Isnasosnuoroda">
    <w:name w:val="• Isnasos nuoroda"/>
    <w:aliases w:val="Footnotes refss,Appel note de bas de p,Voetnootverwijzing,Footnote Reference Number,Footnote anchor,Footnote number,fr,FR"/>
    <w:basedOn w:val="Normal"/>
    <w:link w:val="FootnoteReference"/>
    <w:uiPriority w:val="99"/>
    <w:rsid w:val="00CB6CBE"/>
    <w:pPr>
      <w:spacing w:before="0" w:after="160" w:line="240" w:lineRule="exact"/>
      <w:jc w:val="left"/>
    </w:pPr>
    <w:rPr>
      <w:rFonts w:asciiTheme="minorHAnsi" w:eastAsiaTheme="minorHAnsi" w:hAnsiTheme="minorHAnsi" w:cstheme="minorBidi"/>
      <w:color w:val="auto"/>
      <w:sz w:val="22"/>
      <w:szCs w:val="22"/>
      <w:vertAlign w:val="superscript"/>
      <w:lang w:eastAsia="en-US"/>
    </w:rPr>
  </w:style>
  <w:style w:type="table" w:customStyle="1" w:styleId="TableHeadingBackground1">
    <w:name w:val="Table Heading Background1"/>
    <w:basedOn w:val="TableNormal"/>
    <w:next w:val="TableGrid"/>
    <w:uiPriority w:val="39"/>
    <w:rsid w:val="008D7733"/>
    <w:pPr>
      <w:spacing w:after="0" w:line="240" w:lineRule="auto"/>
    </w:pPr>
    <w:rPr>
      <w:rFonts w:ascii="Univers 45 Light" w:eastAsia="Times New Roman" w:hAnsi="Univers 45 Light" w:cs="Times New Roman"/>
      <w:sz w:val="20"/>
      <w:szCs w:val="20"/>
      <w:lang w:val="en-US"/>
    </w:rPr>
    <w:tblPr/>
  </w:style>
  <w:style w:type="character" w:styleId="PlaceholderText">
    <w:name w:val="Placeholder Text"/>
    <w:basedOn w:val="DefaultParagraphFont"/>
    <w:uiPriority w:val="99"/>
    <w:semiHidden/>
    <w:rsid w:val="00EB06B4"/>
    <w:rPr>
      <w:color w:val="808080"/>
    </w:rPr>
  </w:style>
  <w:style w:type="character" w:customStyle="1" w:styleId="apple-converted-space">
    <w:name w:val="apple-converted-space"/>
    <w:basedOn w:val="DefaultParagraphFont"/>
    <w:rsid w:val="008A66B9"/>
  </w:style>
  <w:style w:type="table" w:customStyle="1" w:styleId="TableHeadingBackground11">
    <w:name w:val="Table Heading Background11"/>
    <w:basedOn w:val="TableNormal"/>
    <w:next w:val="TableGrid"/>
    <w:uiPriority w:val="39"/>
    <w:rsid w:val="004819B0"/>
    <w:pPr>
      <w:spacing w:after="0" w:line="240" w:lineRule="auto"/>
    </w:pPr>
    <w:rPr>
      <w:rFonts w:ascii="Univers 45 Light" w:eastAsia="Times New Roman" w:hAnsi="Univers 45 Light" w:cs="Times New Roman"/>
      <w:sz w:val="20"/>
      <w:szCs w:val="20"/>
      <w:lang w:val="en-US"/>
    </w:rPr>
    <w:tblPr/>
  </w:style>
  <w:style w:type="table" w:customStyle="1" w:styleId="TableHeadingBackground2">
    <w:name w:val="Table Heading Background2"/>
    <w:basedOn w:val="TableNormal"/>
    <w:next w:val="TableGrid"/>
    <w:uiPriority w:val="39"/>
    <w:rsid w:val="004819B0"/>
    <w:pPr>
      <w:spacing w:after="0" w:line="240" w:lineRule="auto"/>
    </w:pPr>
    <w:rPr>
      <w:rFonts w:ascii="Univers 45 Light" w:eastAsia="Times New Roman" w:hAnsi="Univers 45 Light" w:cs="Times New Roman"/>
      <w:sz w:val="20"/>
      <w:szCs w:val="20"/>
      <w:lang w:val="en-US"/>
    </w:rPr>
    <w:tblPr/>
  </w:style>
  <w:style w:type="character" w:customStyle="1" w:styleId="Heading6Char">
    <w:name w:val="Heading 6 Char"/>
    <w:basedOn w:val="DefaultParagraphFont"/>
    <w:link w:val="Heading6"/>
    <w:uiPriority w:val="9"/>
    <w:rsid w:val="002214F7"/>
    <w:rPr>
      <w:rFonts w:ascii="Trebuchet MS" w:eastAsiaTheme="majorEastAsia" w:hAnsi="Trebuchet MS" w:cstheme="majorBidi"/>
      <w:iCs/>
      <w:sz w:val="20"/>
      <w:szCs w:val="20"/>
      <w:lang w:eastAsia="lt-LT"/>
    </w:rPr>
  </w:style>
  <w:style w:type="character" w:customStyle="1" w:styleId="Heading7Char">
    <w:name w:val="Heading 7 Char"/>
    <w:basedOn w:val="DefaultParagraphFont"/>
    <w:link w:val="Heading7"/>
    <w:uiPriority w:val="9"/>
    <w:rsid w:val="002214F7"/>
    <w:rPr>
      <w:rFonts w:ascii="Trebuchet MS" w:eastAsiaTheme="majorEastAsia" w:hAnsi="Trebuchet MS" w:cstheme="majorBidi"/>
      <w:iCs/>
      <w:sz w:val="20"/>
      <w:szCs w:val="20"/>
      <w:lang w:eastAsia="lt-LT"/>
    </w:rPr>
  </w:style>
  <w:style w:type="character" w:customStyle="1" w:styleId="Heading8Char">
    <w:name w:val="Heading 8 Char"/>
    <w:basedOn w:val="DefaultParagraphFont"/>
    <w:link w:val="Heading8"/>
    <w:uiPriority w:val="9"/>
    <w:rsid w:val="002214F7"/>
    <w:rPr>
      <w:rFonts w:ascii="Trebuchet MS" w:eastAsiaTheme="majorEastAsia" w:hAnsi="Trebuchet MS" w:cstheme="majorBidi"/>
      <w:sz w:val="20"/>
      <w:szCs w:val="20"/>
      <w:lang w:eastAsia="lt-LT"/>
    </w:rPr>
  </w:style>
  <w:style w:type="character" w:customStyle="1" w:styleId="Heading9Char">
    <w:name w:val="Heading 9 Char"/>
    <w:basedOn w:val="DefaultParagraphFont"/>
    <w:link w:val="Heading9"/>
    <w:uiPriority w:val="9"/>
    <w:rsid w:val="002214F7"/>
    <w:rPr>
      <w:rFonts w:ascii="Trebuchet MS" w:eastAsiaTheme="majorEastAsia" w:hAnsi="Trebuchet MS" w:cstheme="majorBidi"/>
      <w:iCs/>
      <w:sz w:val="20"/>
      <w:szCs w:val="20"/>
      <w:lang w:eastAsia="lt-LT"/>
    </w:rPr>
  </w:style>
  <w:style w:type="numbering" w:customStyle="1" w:styleId="Style1">
    <w:name w:val="Style1"/>
    <w:uiPriority w:val="99"/>
    <w:rsid w:val="006F5EFD"/>
    <w:pPr>
      <w:numPr>
        <w:numId w:val="3"/>
      </w:numPr>
    </w:pPr>
  </w:style>
  <w:style w:type="paragraph" w:styleId="TOC4">
    <w:name w:val="toc 4"/>
    <w:basedOn w:val="Normal"/>
    <w:next w:val="Normal"/>
    <w:autoRedefine/>
    <w:uiPriority w:val="39"/>
    <w:semiHidden/>
    <w:unhideWhenUsed/>
    <w:rsid w:val="00722D9D"/>
    <w:pPr>
      <w:spacing w:after="100"/>
      <w:ind w:left="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462">
      <w:bodyDiv w:val="1"/>
      <w:marLeft w:val="0"/>
      <w:marRight w:val="0"/>
      <w:marTop w:val="0"/>
      <w:marBottom w:val="0"/>
      <w:divBdr>
        <w:top w:val="none" w:sz="0" w:space="0" w:color="auto"/>
        <w:left w:val="none" w:sz="0" w:space="0" w:color="auto"/>
        <w:bottom w:val="none" w:sz="0" w:space="0" w:color="auto"/>
        <w:right w:val="none" w:sz="0" w:space="0" w:color="auto"/>
      </w:divBdr>
      <w:divsChild>
        <w:div w:id="417677658">
          <w:marLeft w:val="274"/>
          <w:marRight w:val="0"/>
          <w:marTop w:val="60"/>
          <w:marBottom w:val="60"/>
          <w:divBdr>
            <w:top w:val="none" w:sz="0" w:space="0" w:color="auto"/>
            <w:left w:val="none" w:sz="0" w:space="0" w:color="auto"/>
            <w:bottom w:val="none" w:sz="0" w:space="0" w:color="auto"/>
            <w:right w:val="none" w:sz="0" w:space="0" w:color="auto"/>
          </w:divBdr>
        </w:div>
        <w:div w:id="1218971371">
          <w:marLeft w:val="274"/>
          <w:marRight w:val="0"/>
          <w:marTop w:val="60"/>
          <w:marBottom w:val="60"/>
          <w:divBdr>
            <w:top w:val="none" w:sz="0" w:space="0" w:color="auto"/>
            <w:left w:val="none" w:sz="0" w:space="0" w:color="auto"/>
            <w:bottom w:val="none" w:sz="0" w:space="0" w:color="auto"/>
            <w:right w:val="none" w:sz="0" w:space="0" w:color="auto"/>
          </w:divBdr>
        </w:div>
        <w:div w:id="1778283168">
          <w:marLeft w:val="274"/>
          <w:marRight w:val="0"/>
          <w:marTop w:val="60"/>
          <w:marBottom w:val="60"/>
          <w:divBdr>
            <w:top w:val="none" w:sz="0" w:space="0" w:color="auto"/>
            <w:left w:val="none" w:sz="0" w:space="0" w:color="auto"/>
            <w:bottom w:val="none" w:sz="0" w:space="0" w:color="auto"/>
            <w:right w:val="none" w:sz="0" w:space="0" w:color="auto"/>
          </w:divBdr>
        </w:div>
      </w:divsChild>
    </w:div>
    <w:div w:id="56174614">
      <w:bodyDiv w:val="1"/>
      <w:marLeft w:val="0"/>
      <w:marRight w:val="0"/>
      <w:marTop w:val="0"/>
      <w:marBottom w:val="0"/>
      <w:divBdr>
        <w:top w:val="none" w:sz="0" w:space="0" w:color="auto"/>
        <w:left w:val="none" w:sz="0" w:space="0" w:color="auto"/>
        <w:bottom w:val="none" w:sz="0" w:space="0" w:color="auto"/>
        <w:right w:val="none" w:sz="0" w:space="0" w:color="auto"/>
      </w:divBdr>
      <w:divsChild>
        <w:div w:id="186331725">
          <w:marLeft w:val="950"/>
          <w:marRight w:val="0"/>
          <w:marTop w:val="0"/>
          <w:marBottom w:val="0"/>
          <w:divBdr>
            <w:top w:val="none" w:sz="0" w:space="0" w:color="auto"/>
            <w:left w:val="none" w:sz="0" w:space="0" w:color="auto"/>
            <w:bottom w:val="none" w:sz="0" w:space="0" w:color="auto"/>
            <w:right w:val="none" w:sz="0" w:space="0" w:color="auto"/>
          </w:divBdr>
        </w:div>
        <w:div w:id="473987455">
          <w:marLeft w:val="274"/>
          <w:marRight w:val="0"/>
          <w:marTop w:val="0"/>
          <w:marBottom w:val="0"/>
          <w:divBdr>
            <w:top w:val="none" w:sz="0" w:space="0" w:color="auto"/>
            <w:left w:val="none" w:sz="0" w:space="0" w:color="auto"/>
            <w:bottom w:val="none" w:sz="0" w:space="0" w:color="auto"/>
            <w:right w:val="none" w:sz="0" w:space="0" w:color="auto"/>
          </w:divBdr>
        </w:div>
        <w:div w:id="673142639">
          <w:marLeft w:val="950"/>
          <w:marRight w:val="0"/>
          <w:marTop w:val="0"/>
          <w:marBottom w:val="0"/>
          <w:divBdr>
            <w:top w:val="none" w:sz="0" w:space="0" w:color="auto"/>
            <w:left w:val="none" w:sz="0" w:space="0" w:color="auto"/>
            <w:bottom w:val="none" w:sz="0" w:space="0" w:color="auto"/>
            <w:right w:val="none" w:sz="0" w:space="0" w:color="auto"/>
          </w:divBdr>
        </w:div>
        <w:div w:id="726684091">
          <w:marLeft w:val="950"/>
          <w:marRight w:val="0"/>
          <w:marTop w:val="0"/>
          <w:marBottom w:val="0"/>
          <w:divBdr>
            <w:top w:val="none" w:sz="0" w:space="0" w:color="auto"/>
            <w:left w:val="none" w:sz="0" w:space="0" w:color="auto"/>
            <w:bottom w:val="none" w:sz="0" w:space="0" w:color="auto"/>
            <w:right w:val="none" w:sz="0" w:space="0" w:color="auto"/>
          </w:divBdr>
        </w:div>
        <w:div w:id="734355316">
          <w:marLeft w:val="950"/>
          <w:marRight w:val="0"/>
          <w:marTop w:val="0"/>
          <w:marBottom w:val="0"/>
          <w:divBdr>
            <w:top w:val="none" w:sz="0" w:space="0" w:color="auto"/>
            <w:left w:val="none" w:sz="0" w:space="0" w:color="auto"/>
            <w:bottom w:val="none" w:sz="0" w:space="0" w:color="auto"/>
            <w:right w:val="none" w:sz="0" w:space="0" w:color="auto"/>
          </w:divBdr>
        </w:div>
        <w:div w:id="790324931">
          <w:marLeft w:val="950"/>
          <w:marRight w:val="0"/>
          <w:marTop w:val="0"/>
          <w:marBottom w:val="0"/>
          <w:divBdr>
            <w:top w:val="none" w:sz="0" w:space="0" w:color="auto"/>
            <w:left w:val="none" w:sz="0" w:space="0" w:color="auto"/>
            <w:bottom w:val="none" w:sz="0" w:space="0" w:color="auto"/>
            <w:right w:val="none" w:sz="0" w:space="0" w:color="auto"/>
          </w:divBdr>
        </w:div>
        <w:div w:id="1251155374">
          <w:marLeft w:val="950"/>
          <w:marRight w:val="0"/>
          <w:marTop w:val="0"/>
          <w:marBottom w:val="0"/>
          <w:divBdr>
            <w:top w:val="none" w:sz="0" w:space="0" w:color="auto"/>
            <w:left w:val="none" w:sz="0" w:space="0" w:color="auto"/>
            <w:bottom w:val="none" w:sz="0" w:space="0" w:color="auto"/>
            <w:right w:val="none" w:sz="0" w:space="0" w:color="auto"/>
          </w:divBdr>
        </w:div>
        <w:div w:id="1366783437">
          <w:marLeft w:val="274"/>
          <w:marRight w:val="0"/>
          <w:marTop w:val="0"/>
          <w:marBottom w:val="0"/>
          <w:divBdr>
            <w:top w:val="none" w:sz="0" w:space="0" w:color="auto"/>
            <w:left w:val="none" w:sz="0" w:space="0" w:color="auto"/>
            <w:bottom w:val="none" w:sz="0" w:space="0" w:color="auto"/>
            <w:right w:val="none" w:sz="0" w:space="0" w:color="auto"/>
          </w:divBdr>
        </w:div>
        <w:div w:id="1989629437">
          <w:marLeft w:val="274"/>
          <w:marRight w:val="0"/>
          <w:marTop w:val="0"/>
          <w:marBottom w:val="0"/>
          <w:divBdr>
            <w:top w:val="none" w:sz="0" w:space="0" w:color="auto"/>
            <w:left w:val="none" w:sz="0" w:space="0" w:color="auto"/>
            <w:bottom w:val="none" w:sz="0" w:space="0" w:color="auto"/>
            <w:right w:val="none" w:sz="0" w:space="0" w:color="auto"/>
          </w:divBdr>
        </w:div>
        <w:div w:id="2048287878">
          <w:marLeft w:val="950"/>
          <w:marRight w:val="0"/>
          <w:marTop w:val="0"/>
          <w:marBottom w:val="0"/>
          <w:divBdr>
            <w:top w:val="none" w:sz="0" w:space="0" w:color="auto"/>
            <w:left w:val="none" w:sz="0" w:space="0" w:color="auto"/>
            <w:bottom w:val="none" w:sz="0" w:space="0" w:color="auto"/>
            <w:right w:val="none" w:sz="0" w:space="0" w:color="auto"/>
          </w:divBdr>
        </w:div>
      </w:divsChild>
    </w:div>
    <w:div w:id="102116663">
      <w:bodyDiv w:val="1"/>
      <w:marLeft w:val="0"/>
      <w:marRight w:val="0"/>
      <w:marTop w:val="0"/>
      <w:marBottom w:val="0"/>
      <w:divBdr>
        <w:top w:val="none" w:sz="0" w:space="0" w:color="auto"/>
        <w:left w:val="none" w:sz="0" w:space="0" w:color="auto"/>
        <w:bottom w:val="none" w:sz="0" w:space="0" w:color="auto"/>
        <w:right w:val="none" w:sz="0" w:space="0" w:color="auto"/>
      </w:divBdr>
      <w:divsChild>
        <w:div w:id="1117069084">
          <w:marLeft w:val="288"/>
          <w:marRight w:val="0"/>
          <w:marTop w:val="0"/>
          <w:marBottom w:val="60"/>
          <w:divBdr>
            <w:top w:val="none" w:sz="0" w:space="0" w:color="auto"/>
            <w:left w:val="none" w:sz="0" w:space="0" w:color="auto"/>
            <w:bottom w:val="none" w:sz="0" w:space="0" w:color="auto"/>
            <w:right w:val="none" w:sz="0" w:space="0" w:color="auto"/>
          </w:divBdr>
          <w:divsChild>
            <w:div w:id="349180310">
              <w:marLeft w:val="0"/>
              <w:marRight w:val="0"/>
              <w:marTop w:val="0"/>
              <w:marBottom w:val="0"/>
              <w:divBdr>
                <w:top w:val="none" w:sz="0" w:space="0" w:color="auto"/>
                <w:left w:val="none" w:sz="0" w:space="0" w:color="auto"/>
                <w:bottom w:val="none" w:sz="0" w:space="0" w:color="auto"/>
                <w:right w:val="none" w:sz="0" w:space="0" w:color="auto"/>
              </w:divBdr>
              <w:divsChild>
                <w:div w:id="575820043">
                  <w:marLeft w:val="288"/>
                  <w:marRight w:val="0"/>
                  <w:marTop w:val="0"/>
                  <w:marBottom w:val="60"/>
                  <w:divBdr>
                    <w:top w:val="none" w:sz="0" w:space="0" w:color="auto"/>
                    <w:left w:val="none" w:sz="0" w:space="0" w:color="auto"/>
                    <w:bottom w:val="none" w:sz="0" w:space="0" w:color="auto"/>
                    <w:right w:val="none" w:sz="0" w:space="0" w:color="auto"/>
                  </w:divBdr>
                </w:div>
                <w:div w:id="832523349">
                  <w:marLeft w:val="288"/>
                  <w:marRight w:val="0"/>
                  <w:marTop w:val="0"/>
                  <w:marBottom w:val="60"/>
                  <w:divBdr>
                    <w:top w:val="none" w:sz="0" w:space="0" w:color="auto"/>
                    <w:left w:val="none" w:sz="0" w:space="0" w:color="auto"/>
                    <w:bottom w:val="none" w:sz="0" w:space="0" w:color="auto"/>
                    <w:right w:val="none" w:sz="0" w:space="0" w:color="auto"/>
                  </w:divBdr>
                </w:div>
              </w:divsChild>
            </w:div>
            <w:div w:id="364984506">
              <w:marLeft w:val="0"/>
              <w:marRight w:val="0"/>
              <w:marTop w:val="0"/>
              <w:marBottom w:val="0"/>
              <w:divBdr>
                <w:top w:val="none" w:sz="0" w:space="0" w:color="auto"/>
                <w:left w:val="none" w:sz="0" w:space="0" w:color="auto"/>
                <w:bottom w:val="none" w:sz="0" w:space="0" w:color="auto"/>
                <w:right w:val="none" w:sz="0" w:space="0" w:color="auto"/>
              </w:divBdr>
              <w:divsChild>
                <w:div w:id="6375302">
                  <w:marLeft w:val="288"/>
                  <w:marRight w:val="0"/>
                  <w:marTop w:val="0"/>
                  <w:marBottom w:val="60"/>
                  <w:divBdr>
                    <w:top w:val="none" w:sz="0" w:space="0" w:color="auto"/>
                    <w:left w:val="none" w:sz="0" w:space="0" w:color="auto"/>
                    <w:bottom w:val="none" w:sz="0" w:space="0" w:color="auto"/>
                    <w:right w:val="none" w:sz="0" w:space="0" w:color="auto"/>
                  </w:divBdr>
                </w:div>
                <w:div w:id="1688366970">
                  <w:marLeft w:val="288"/>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3351230">
      <w:bodyDiv w:val="1"/>
      <w:marLeft w:val="0"/>
      <w:marRight w:val="0"/>
      <w:marTop w:val="0"/>
      <w:marBottom w:val="0"/>
      <w:divBdr>
        <w:top w:val="none" w:sz="0" w:space="0" w:color="auto"/>
        <w:left w:val="none" w:sz="0" w:space="0" w:color="auto"/>
        <w:bottom w:val="none" w:sz="0" w:space="0" w:color="auto"/>
        <w:right w:val="none" w:sz="0" w:space="0" w:color="auto"/>
      </w:divBdr>
    </w:div>
    <w:div w:id="130483323">
      <w:bodyDiv w:val="1"/>
      <w:marLeft w:val="0"/>
      <w:marRight w:val="0"/>
      <w:marTop w:val="0"/>
      <w:marBottom w:val="0"/>
      <w:divBdr>
        <w:top w:val="none" w:sz="0" w:space="0" w:color="auto"/>
        <w:left w:val="none" w:sz="0" w:space="0" w:color="auto"/>
        <w:bottom w:val="none" w:sz="0" w:space="0" w:color="auto"/>
        <w:right w:val="none" w:sz="0" w:space="0" w:color="auto"/>
      </w:divBdr>
      <w:divsChild>
        <w:div w:id="551158255">
          <w:marLeft w:val="360"/>
          <w:marRight w:val="0"/>
          <w:marTop w:val="0"/>
          <w:marBottom w:val="0"/>
          <w:divBdr>
            <w:top w:val="none" w:sz="0" w:space="0" w:color="auto"/>
            <w:left w:val="none" w:sz="0" w:space="0" w:color="auto"/>
            <w:bottom w:val="none" w:sz="0" w:space="0" w:color="auto"/>
            <w:right w:val="none" w:sz="0" w:space="0" w:color="auto"/>
          </w:divBdr>
        </w:div>
        <w:div w:id="574047483">
          <w:marLeft w:val="706"/>
          <w:marRight w:val="0"/>
          <w:marTop w:val="0"/>
          <w:marBottom w:val="60"/>
          <w:divBdr>
            <w:top w:val="none" w:sz="0" w:space="0" w:color="auto"/>
            <w:left w:val="none" w:sz="0" w:space="0" w:color="auto"/>
            <w:bottom w:val="none" w:sz="0" w:space="0" w:color="auto"/>
            <w:right w:val="none" w:sz="0" w:space="0" w:color="auto"/>
          </w:divBdr>
        </w:div>
        <w:div w:id="916592543">
          <w:marLeft w:val="360"/>
          <w:marRight w:val="0"/>
          <w:marTop w:val="0"/>
          <w:marBottom w:val="0"/>
          <w:divBdr>
            <w:top w:val="none" w:sz="0" w:space="0" w:color="auto"/>
            <w:left w:val="none" w:sz="0" w:space="0" w:color="auto"/>
            <w:bottom w:val="none" w:sz="0" w:space="0" w:color="auto"/>
            <w:right w:val="none" w:sz="0" w:space="0" w:color="auto"/>
          </w:divBdr>
        </w:div>
        <w:div w:id="1661422921">
          <w:marLeft w:val="360"/>
          <w:marRight w:val="0"/>
          <w:marTop w:val="0"/>
          <w:marBottom w:val="0"/>
          <w:divBdr>
            <w:top w:val="none" w:sz="0" w:space="0" w:color="auto"/>
            <w:left w:val="none" w:sz="0" w:space="0" w:color="auto"/>
            <w:bottom w:val="none" w:sz="0" w:space="0" w:color="auto"/>
            <w:right w:val="none" w:sz="0" w:space="0" w:color="auto"/>
          </w:divBdr>
        </w:div>
        <w:div w:id="1933589878">
          <w:marLeft w:val="360"/>
          <w:marRight w:val="0"/>
          <w:marTop w:val="0"/>
          <w:marBottom w:val="0"/>
          <w:divBdr>
            <w:top w:val="none" w:sz="0" w:space="0" w:color="auto"/>
            <w:left w:val="none" w:sz="0" w:space="0" w:color="auto"/>
            <w:bottom w:val="none" w:sz="0" w:space="0" w:color="auto"/>
            <w:right w:val="none" w:sz="0" w:space="0" w:color="auto"/>
          </w:divBdr>
        </w:div>
        <w:div w:id="2028021696">
          <w:marLeft w:val="706"/>
          <w:marRight w:val="0"/>
          <w:marTop w:val="0"/>
          <w:marBottom w:val="60"/>
          <w:divBdr>
            <w:top w:val="none" w:sz="0" w:space="0" w:color="auto"/>
            <w:left w:val="none" w:sz="0" w:space="0" w:color="auto"/>
            <w:bottom w:val="none" w:sz="0" w:space="0" w:color="auto"/>
            <w:right w:val="none" w:sz="0" w:space="0" w:color="auto"/>
          </w:divBdr>
        </w:div>
      </w:divsChild>
    </w:div>
    <w:div w:id="147208369">
      <w:bodyDiv w:val="1"/>
      <w:marLeft w:val="0"/>
      <w:marRight w:val="0"/>
      <w:marTop w:val="0"/>
      <w:marBottom w:val="0"/>
      <w:divBdr>
        <w:top w:val="none" w:sz="0" w:space="0" w:color="auto"/>
        <w:left w:val="none" w:sz="0" w:space="0" w:color="auto"/>
        <w:bottom w:val="none" w:sz="0" w:space="0" w:color="auto"/>
        <w:right w:val="none" w:sz="0" w:space="0" w:color="auto"/>
      </w:divBdr>
      <w:divsChild>
        <w:div w:id="1031686473">
          <w:marLeft w:val="979"/>
          <w:marRight w:val="0"/>
          <w:marTop w:val="0"/>
          <w:marBottom w:val="60"/>
          <w:divBdr>
            <w:top w:val="none" w:sz="0" w:space="0" w:color="auto"/>
            <w:left w:val="none" w:sz="0" w:space="0" w:color="auto"/>
            <w:bottom w:val="none" w:sz="0" w:space="0" w:color="auto"/>
            <w:right w:val="none" w:sz="0" w:space="0" w:color="auto"/>
          </w:divBdr>
        </w:div>
      </w:divsChild>
    </w:div>
    <w:div w:id="147524345">
      <w:bodyDiv w:val="1"/>
      <w:marLeft w:val="0"/>
      <w:marRight w:val="0"/>
      <w:marTop w:val="0"/>
      <w:marBottom w:val="0"/>
      <w:divBdr>
        <w:top w:val="none" w:sz="0" w:space="0" w:color="auto"/>
        <w:left w:val="none" w:sz="0" w:space="0" w:color="auto"/>
        <w:bottom w:val="none" w:sz="0" w:space="0" w:color="auto"/>
        <w:right w:val="none" w:sz="0" w:space="0" w:color="auto"/>
      </w:divBdr>
      <w:divsChild>
        <w:div w:id="1312176796">
          <w:marLeft w:val="0"/>
          <w:marRight w:val="0"/>
          <w:marTop w:val="0"/>
          <w:marBottom w:val="0"/>
          <w:divBdr>
            <w:top w:val="none" w:sz="0" w:space="0" w:color="auto"/>
            <w:left w:val="none" w:sz="0" w:space="0" w:color="auto"/>
            <w:bottom w:val="none" w:sz="0" w:space="0" w:color="auto"/>
            <w:right w:val="none" w:sz="0" w:space="0" w:color="auto"/>
          </w:divBdr>
          <w:divsChild>
            <w:div w:id="26638099">
              <w:marLeft w:val="2970"/>
              <w:marRight w:val="0"/>
              <w:marTop w:val="0"/>
              <w:marBottom w:val="0"/>
              <w:divBdr>
                <w:top w:val="none" w:sz="0" w:space="0" w:color="auto"/>
                <w:left w:val="none" w:sz="0" w:space="0" w:color="auto"/>
                <w:bottom w:val="none" w:sz="0" w:space="0" w:color="auto"/>
                <w:right w:val="none" w:sz="0" w:space="0" w:color="auto"/>
              </w:divBdr>
              <w:divsChild>
                <w:div w:id="1330254159">
                  <w:marLeft w:val="0"/>
                  <w:marRight w:val="0"/>
                  <w:marTop w:val="0"/>
                  <w:marBottom w:val="0"/>
                  <w:divBdr>
                    <w:top w:val="none" w:sz="0" w:space="0" w:color="auto"/>
                    <w:left w:val="none" w:sz="0" w:space="0" w:color="auto"/>
                    <w:bottom w:val="none" w:sz="0" w:space="0" w:color="auto"/>
                    <w:right w:val="none" w:sz="0" w:space="0" w:color="auto"/>
                  </w:divBdr>
                  <w:divsChild>
                    <w:div w:id="1816559397">
                      <w:marLeft w:val="0"/>
                      <w:marRight w:val="0"/>
                      <w:marTop w:val="0"/>
                      <w:marBottom w:val="0"/>
                      <w:divBdr>
                        <w:top w:val="none" w:sz="0" w:space="0" w:color="auto"/>
                        <w:left w:val="none" w:sz="0" w:space="0" w:color="auto"/>
                        <w:bottom w:val="none" w:sz="0" w:space="0" w:color="auto"/>
                        <w:right w:val="none" w:sz="0" w:space="0" w:color="auto"/>
                      </w:divBdr>
                      <w:divsChild>
                        <w:div w:id="427577322">
                          <w:marLeft w:val="0"/>
                          <w:marRight w:val="0"/>
                          <w:marTop w:val="0"/>
                          <w:marBottom w:val="0"/>
                          <w:divBdr>
                            <w:top w:val="none" w:sz="0" w:space="0" w:color="auto"/>
                            <w:left w:val="none" w:sz="0" w:space="0" w:color="auto"/>
                            <w:bottom w:val="none" w:sz="0" w:space="0" w:color="auto"/>
                            <w:right w:val="none" w:sz="0" w:space="0" w:color="auto"/>
                          </w:divBdr>
                          <w:divsChild>
                            <w:div w:id="219364033">
                              <w:marLeft w:val="0"/>
                              <w:marRight w:val="0"/>
                              <w:marTop w:val="0"/>
                              <w:marBottom w:val="0"/>
                              <w:divBdr>
                                <w:top w:val="none" w:sz="0" w:space="0" w:color="auto"/>
                                <w:left w:val="none" w:sz="0" w:space="0" w:color="auto"/>
                                <w:bottom w:val="none" w:sz="0" w:space="0" w:color="auto"/>
                                <w:right w:val="none" w:sz="0" w:space="0" w:color="auto"/>
                              </w:divBdr>
                              <w:divsChild>
                                <w:div w:id="4763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12832">
      <w:bodyDiv w:val="1"/>
      <w:marLeft w:val="0"/>
      <w:marRight w:val="0"/>
      <w:marTop w:val="0"/>
      <w:marBottom w:val="0"/>
      <w:divBdr>
        <w:top w:val="none" w:sz="0" w:space="0" w:color="auto"/>
        <w:left w:val="none" w:sz="0" w:space="0" w:color="auto"/>
        <w:bottom w:val="none" w:sz="0" w:space="0" w:color="auto"/>
        <w:right w:val="none" w:sz="0" w:space="0" w:color="auto"/>
      </w:divBdr>
    </w:div>
    <w:div w:id="215119692">
      <w:bodyDiv w:val="1"/>
      <w:marLeft w:val="0"/>
      <w:marRight w:val="0"/>
      <w:marTop w:val="0"/>
      <w:marBottom w:val="0"/>
      <w:divBdr>
        <w:top w:val="none" w:sz="0" w:space="0" w:color="auto"/>
        <w:left w:val="none" w:sz="0" w:space="0" w:color="auto"/>
        <w:bottom w:val="none" w:sz="0" w:space="0" w:color="auto"/>
        <w:right w:val="none" w:sz="0" w:space="0" w:color="auto"/>
      </w:divBdr>
    </w:div>
    <w:div w:id="221988999">
      <w:bodyDiv w:val="1"/>
      <w:marLeft w:val="0"/>
      <w:marRight w:val="0"/>
      <w:marTop w:val="0"/>
      <w:marBottom w:val="0"/>
      <w:divBdr>
        <w:top w:val="none" w:sz="0" w:space="0" w:color="auto"/>
        <w:left w:val="none" w:sz="0" w:space="0" w:color="auto"/>
        <w:bottom w:val="none" w:sz="0" w:space="0" w:color="auto"/>
        <w:right w:val="none" w:sz="0" w:space="0" w:color="auto"/>
      </w:divBdr>
    </w:div>
    <w:div w:id="272982904">
      <w:bodyDiv w:val="1"/>
      <w:marLeft w:val="0"/>
      <w:marRight w:val="0"/>
      <w:marTop w:val="0"/>
      <w:marBottom w:val="0"/>
      <w:divBdr>
        <w:top w:val="none" w:sz="0" w:space="0" w:color="auto"/>
        <w:left w:val="none" w:sz="0" w:space="0" w:color="auto"/>
        <w:bottom w:val="none" w:sz="0" w:space="0" w:color="auto"/>
        <w:right w:val="none" w:sz="0" w:space="0" w:color="auto"/>
      </w:divBdr>
    </w:div>
    <w:div w:id="294726565">
      <w:bodyDiv w:val="1"/>
      <w:marLeft w:val="0"/>
      <w:marRight w:val="0"/>
      <w:marTop w:val="0"/>
      <w:marBottom w:val="0"/>
      <w:divBdr>
        <w:top w:val="none" w:sz="0" w:space="0" w:color="auto"/>
        <w:left w:val="none" w:sz="0" w:space="0" w:color="auto"/>
        <w:bottom w:val="none" w:sz="0" w:space="0" w:color="auto"/>
        <w:right w:val="none" w:sz="0" w:space="0" w:color="auto"/>
      </w:divBdr>
    </w:div>
    <w:div w:id="421337626">
      <w:bodyDiv w:val="1"/>
      <w:marLeft w:val="0"/>
      <w:marRight w:val="0"/>
      <w:marTop w:val="0"/>
      <w:marBottom w:val="0"/>
      <w:divBdr>
        <w:top w:val="none" w:sz="0" w:space="0" w:color="auto"/>
        <w:left w:val="none" w:sz="0" w:space="0" w:color="auto"/>
        <w:bottom w:val="none" w:sz="0" w:space="0" w:color="auto"/>
        <w:right w:val="none" w:sz="0" w:space="0" w:color="auto"/>
      </w:divBdr>
    </w:div>
    <w:div w:id="443571876">
      <w:bodyDiv w:val="1"/>
      <w:marLeft w:val="0"/>
      <w:marRight w:val="0"/>
      <w:marTop w:val="0"/>
      <w:marBottom w:val="0"/>
      <w:divBdr>
        <w:top w:val="none" w:sz="0" w:space="0" w:color="auto"/>
        <w:left w:val="none" w:sz="0" w:space="0" w:color="auto"/>
        <w:bottom w:val="none" w:sz="0" w:space="0" w:color="auto"/>
        <w:right w:val="none" w:sz="0" w:space="0" w:color="auto"/>
      </w:divBdr>
      <w:divsChild>
        <w:div w:id="7416375">
          <w:marLeft w:val="562"/>
          <w:marRight w:val="0"/>
          <w:marTop w:val="120"/>
          <w:marBottom w:val="0"/>
          <w:divBdr>
            <w:top w:val="none" w:sz="0" w:space="0" w:color="auto"/>
            <w:left w:val="none" w:sz="0" w:space="0" w:color="auto"/>
            <w:bottom w:val="none" w:sz="0" w:space="0" w:color="auto"/>
            <w:right w:val="none" w:sz="0" w:space="0" w:color="auto"/>
          </w:divBdr>
        </w:div>
        <w:div w:id="897863099">
          <w:marLeft w:val="562"/>
          <w:marRight w:val="0"/>
          <w:marTop w:val="120"/>
          <w:marBottom w:val="0"/>
          <w:divBdr>
            <w:top w:val="none" w:sz="0" w:space="0" w:color="auto"/>
            <w:left w:val="none" w:sz="0" w:space="0" w:color="auto"/>
            <w:bottom w:val="none" w:sz="0" w:space="0" w:color="auto"/>
            <w:right w:val="none" w:sz="0" w:space="0" w:color="auto"/>
          </w:divBdr>
        </w:div>
      </w:divsChild>
    </w:div>
    <w:div w:id="447431757">
      <w:bodyDiv w:val="1"/>
      <w:marLeft w:val="0"/>
      <w:marRight w:val="0"/>
      <w:marTop w:val="0"/>
      <w:marBottom w:val="0"/>
      <w:divBdr>
        <w:top w:val="none" w:sz="0" w:space="0" w:color="auto"/>
        <w:left w:val="none" w:sz="0" w:space="0" w:color="auto"/>
        <w:bottom w:val="none" w:sz="0" w:space="0" w:color="auto"/>
        <w:right w:val="none" w:sz="0" w:space="0" w:color="auto"/>
      </w:divBdr>
      <w:divsChild>
        <w:div w:id="241566264">
          <w:marLeft w:val="144"/>
          <w:marRight w:val="0"/>
          <w:marTop w:val="0"/>
          <w:marBottom w:val="60"/>
          <w:divBdr>
            <w:top w:val="none" w:sz="0" w:space="0" w:color="auto"/>
            <w:left w:val="none" w:sz="0" w:space="0" w:color="auto"/>
            <w:bottom w:val="none" w:sz="0" w:space="0" w:color="auto"/>
            <w:right w:val="none" w:sz="0" w:space="0" w:color="auto"/>
          </w:divBdr>
        </w:div>
        <w:div w:id="270864677">
          <w:marLeft w:val="144"/>
          <w:marRight w:val="0"/>
          <w:marTop w:val="0"/>
          <w:marBottom w:val="60"/>
          <w:divBdr>
            <w:top w:val="none" w:sz="0" w:space="0" w:color="auto"/>
            <w:left w:val="none" w:sz="0" w:space="0" w:color="auto"/>
            <w:bottom w:val="none" w:sz="0" w:space="0" w:color="auto"/>
            <w:right w:val="none" w:sz="0" w:space="0" w:color="auto"/>
          </w:divBdr>
        </w:div>
        <w:div w:id="575674875">
          <w:marLeft w:val="144"/>
          <w:marRight w:val="0"/>
          <w:marTop w:val="0"/>
          <w:marBottom w:val="60"/>
          <w:divBdr>
            <w:top w:val="none" w:sz="0" w:space="0" w:color="auto"/>
            <w:left w:val="none" w:sz="0" w:space="0" w:color="auto"/>
            <w:bottom w:val="none" w:sz="0" w:space="0" w:color="auto"/>
            <w:right w:val="none" w:sz="0" w:space="0" w:color="auto"/>
          </w:divBdr>
        </w:div>
        <w:div w:id="988706360">
          <w:marLeft w:val="562"/>
          <w:marRight w:val="0"/>
          <w:marTop w:val="0"/>
          <w:marBottom w:val="60"/>
          <w:divBdr>
            <w:top w:val="none" w:sz="0" w:space="0" w:color="auto"/>
            <w:left w:val="none" w:sz="0" w:space="0" w:color="auto"/>
            <w:bottom w:val="none" w:sz="0" w:space="0" w:color="auto"/>
            <w:right w:val="none" w:sz="0" w:space="0" w:color="auto"/>
          </w:divBdr>
        </w:div>
        <w:div w:id="1434936062">
          <w:marLeft w:val="144"/>
          <w:marRight w:val="0"/>
          <w:marTop w:val="0"/>
          <w:marBottom w:val="60"/>
          <w:divBdr>
            <w:top w:val="none" w:sz="0" w:space="0" w:color="auto"/>
            <w:left w:val="none" w:sz="0" w:space="0" w:color="auto"/>
            <w:bottom w:val="none" w:sz="0" w:space="0" w:color="auto"/>
            <w:right w:val="none" w:sz="0" w:space="0" w:color="auto"/>
          </w:divBdr>
        </w:div>
        <w:div w:id="1636134970">
          <w:marLeft w:val="562"/>
          <w:marRight w:val="0"/>
          <w:marTop w:val="0"/>
          <w:marBottom w:val="60"/>
          <w:divBdr>
            <w:top w:val="none" w:sz="0" w:space="0" w:color="auto"/>
            <w:left w:val="none" w:sz="0" w:space="0" w:color="auto"/>
            <w:bottom w:val="none" w:sz="0" w:space="0" w:color="auto"/>
            <w:right w:val="none" w:sz="0" w:space="0" w:color="auto"/>
          </w:divBdr>
        </w:div>
        <w:div w:id="2078702001">
          <w:marLeft w:val="144"/>
          <w:marRight w:val="0"/>
          <w:marTop w:val="0"/>
          <w:marBottom w:val="60"/>
          <w:divBdr>
            <w:top w:val="none" w:sz="0" w:space="0" w:color="auto"/>
            <w:left w:val="none" w:sz="0" w:space="0" w:color="auto"/>
            <w:bottom w:val="none" w:sz="0" w:space="0" w:color="auto"/>
            <w:right w:val="none" w:sz="0" w:space="0" w:color="auto"/>
          </w:divBdr>
        </w:div>
      </w:divsChild>
    </w:div>
    <w:div w:id="468670140">
      <w:bodyDiv w:val="1"/>
      <w:marLeft w:val="0"/>
      <w:marRight w:val="0"/>
      <w:marTop w:val="0"/>
      <w:marBottom w:val="0"/>
      <w:divBdr>
        <w:top w:val="none" w:sz="0" w:space="0" w:color="auto"/>
        <w:left w:val="none" w:sz="0" w:space="0" w:color="auto"/>
        <w:bottom w:val="none" w:sz="0" w:space="0" w:color="auto"/>
        <w:right w:val="none" w:sz="0" w:space="0" w:color="auto"/>
      </w:divBdr>
      <w:divsChild>
        <w:div w:id="1828671231">
          <w:marLeft w:val="274"/>
          <w:marRight w:val="0"/>
          <w:marTop w:val="60"/>
          <w:marBottom w:val="60"/>
          <w:divBdr>
            <w:top w:val="none" w:sz="0" w:space="0" w:color="auto"/>
            <w:left w:val="none" w:sz="0" w:space="0" w:color="auto"/>
            <w:bottom w:val="none" w:sz="0" w:space="0" w:color="auto"/>
            <w:right w:val="none" w:sz="0" w:space="0" w:color="auto"/>
          </w:divBdr>
        </w:div>
        <w:div w:id="2147312843">
          <w:marLeft w:val="274"/>
          <w:marRight w:val="0"/>
          <w:marTop w:val="60"/>
          <w:marBottom w:val="60"/>
          <w:divBdr>
            <w:top w:val="none" w:sz="0" w:space="0" w:color="auto"/>
            <w:left w:val="none" w:sz="0" w:space="0" w:color="auto"/>
            <w:bottom w:val="none" w:sz="0" w:space="0" w:color="auto"/>
            <w:right w:val="none" w:sz="0" w:space="0" w:color="auto"/>
          </w:divBdr>
        </w:div>
      </w:divsChild>
    </w:div>
    <w:div w:id="492182724">
      <w:bodyDiv w:val="1"/>
      <w:marLeft w:val="0"/>
      <w:marRight w:val="0"/>
      <w:marTop w:val="0"/>
      <w:marBottom w:val="0"/>
      <w:divBdr>
        <w:top w:val="none" w:sz="0" w:space="0" w:color="auto"/>
        <w:left w:val="none" w:sz="0" w:space="0" w:color="auto"/>
        <w:bottom w:val="none" w:sz="0" w:space="0" w:color="auto"/>
        <w:right w:val="none" w:sz="0" w:space="0" w:color="auto"/>
      </w:divBdr>
    </w:div>
    <w:div w:id="650137205">
      <w:bodyDiv w:val="1"/>
      <w:marLeft w:val="0"/>
      <w:marRight w:val="0"/>
      <w:marTop w:val="0"/>
      <w:marBottom w:val="0"/>
      <w:divBdr>
        <w:top w:val="none" w:sz="0" w:space="0" w:color="auto"/>
        <w:left w:val="none" w:sz="0" w:space="0" w:color="auto"/>
        <w:bottom w:val="none" w:sz="0" w:space="0" w:color="auto"/>
        <w:right w:val="none" w:sz="0" w:space="0" w:color="auto"/>
      </w:divBdr>
    </w:div>
    <w:div w:id="654065612">
      <w:bodyDiv w:val="1"/>
      <w:marLeft w:val="0"/>
      <w:marRight w:val="0"/>
      <w:marTop w:val="0"/>
      <w:marBottom w:val="0"/>
      <w:divBdr>
        <w:top w:val="none" w:sz="0" w:space="0" w:color="auto"/>
        <w:left w:val="none" w:sz="0" w:space="0" w:color="auto"/>
        <w:bottom w:val="none" w:sz="0" w:space="0" w:color="auto"/>
        <w:right w:val="none" w:sz="0" w:space="0" w:color="auto"/>
      </w:divBdr>
    </w:div>
    <w:div w:id="680548625">
      <w:bodyDiv w:val="1"/>
      <w:marLeft w:val="0"/>
      <w:marRight w:val="0"/>
      <w:marTop w:val="0"/>
      <w:marBottom w:val="0"/>
      <w:divBdr>
        <w:top w:val="none" w:sz="0" w:space="0" w:color="auto"/>
        <w:left w:val="none" w:sz="0" w:space="0" w:color="auto"/>
        <w:bottom w:val="none" w:sz="0" w:space="0" w:color="auto"/>
        <w:right w:val="none" w:sz="0" w:space="0" w:color="auto"/>
      </w:divBdr>
    </w:div>
    <w:div w:id="681664884">
      <w:bodyDiv w:val="1"/>
      <w:marLeft w:val="0"/>
      <w:marRight w:val="0"/>
      <w:marTop w:val="0"/>
      <w:marBottom w:val="0"/>
      <w:divBdr>
        <w:top w:val="none" w:sz="0" w:space="0" w:color="auto"/>
        <w:left w:val="none" w:sz="0" w:space="0" w:color="auto"/>
        <w:bottom w:val="none" w:sz="0" w:space="0" w:color="auto"/>
        <w:right w:val="none" w:sz="0" w:space="0" w:color="auto"/>
      </w:divBdr>
      <w:divsChild>
        <w:div w:id="24642770">
          <w:marLeft w:val="144"/>
          <w:marRight w:val="0"/>
          <w:marTop w:val="0"/>
          <w:marBottom w:val="60"/>
          <w:divBdr>
            <w:top w:val="none" w:sz="0" w:space="0" w:color="auto"/>
            <w:left w:val="none" w:sz="0" w:space="0" w:color="auto"/>
            <w:bottom w:val="none" w:sz="0" w:space="0" w:color="auto"/>
            <w:right w:val="none" w:sz="0" w:space="0" w:color="auto"/>
          </w:divBdr>
        </w:div>
        <w:div w:id="599680050">
          <w:marLeft w:val="144"/>
          <w:marRight w:val="0"/>
          <w:marTop w:val="0"/>
          <w:marBottom w:val="60"/>
          <w:divBdr>
            <w:top w:val="none" w:sz="0" w:space="0" w:color="auto"/>
            <w:left w:val="none" w:sz="0" w:space="0" w:color="auto"/>
            <w:bottom w:val="none" w:sz="0" w:space="0" w:color="auto"/>
            <w:right w:val="none" w:sz="0" w:space="0" w:color="auto"/>
          </w:divBdr>
        </w:div>
        <w:div w:id="1400325764">
          <w:marLeft w:val="144"/>
          <w:marRight w:val="0"/>
          <w:marTop w:val="0"/>
          <w:marBottom w:val="60"/>
          <w:divBdr>
            <w:top w:val="none" w:sz="0" w:space="0" w:color="auto"/>
            <w:left w:val="none" w:sz="0" w:space="0" w:color="auto"/>
            <w:bottom w:val="none" w:sz="0" w:space="0" w:color="auto"/>
            <w:right w:val="none" w:sz="0" w:space="0" w:color="auto"/>
          </w:divBdr>
        </w:div>
        <w:div w:id="1441149684">
          <w:marLeft w:val="562"/>
          <w:marRight w:val="0"/>
          <w:marTop w:val="0"/>
          <w:marBottom w:val="60"/>
          <w:divBdr>
            <w:top w:val="none" w:sz="0" w:space="0" w:color="auto"/>
            <w:left w:val="none" w:sz="0" w:space="0" w:color="auto"/>
            <w:bottom w:val="none" w:sz="0" w:space="0" w:color="auto"/>
            <w:right w:val="none" w:sz="0" w:space="0" w:color="auto"/>
          </w:divBdr>
        </w:div>
        <w:div w:id="1618636188">
          <w:marLeft w:val="562"/>
          <w:marRight w:val="0"/>
          <w:marTop w:val="0"/>
          <w:marBottom w:val="60"/>
          <w:divBdr>
            <w:top w:val="none" w:sz="0" w:space="0" w:color="auto"/>
            <w:left w:val="none" w:sz="0" w:space="0" w:color="auto"/>
            <w:bottom w:val="none" w:sz="0" w:space="0" w:color="auto"/>
            <w:right w:val="none" w:sz="0" w:space="0" w:color="auto"/>
          </w:divBdr>
        </w:div>
        <w:div w:id="1647929852">
          <w:marLeft w:val="144"/>
          <w:marRight w:val="0"/>
          <w:marTop w:val="0"/>
          <w:marBottom w:val="60"/>
          <w:divBdr>
            <w:top w:val="none" w:sz="0" w:space="0" w:color="auto"/>
            <w:left w:val="none" w:sz="0" w:space="0" w:color="auto"/>
            <w:bottom w:val="none" w:sz="0" w:space="0" w:color="auto"/>
            <w:right w:val="none" w:sz="0" w:space="0" w:color="auto"/>
          </w:divBdr>
        </w:div>
        <w:div w:id="1671449658">
          <w:marLeft w:val="562"/>
          <w:marRight w:val="0"/>
          <w:marTop w:val="0"/>
          <w:marBottom w:val="60"/>
          <w:divBdr>
            <w:top w:val="none" w:sz="0" w:space="0" w:color="auto"/>
            <w:left w:val="none" w:sz="0" w:space="0" w:color="auto"/>
            <w:bottom w:val="none" w:sz="0" w:space="0" w:color="auto"/>
            <w:right w:val="none" w:sz="0" w:space="0" w:color="auto"/>
          </w:divBdr>
        </w:div>
        <w:div w:id="1720785645">
          <w:marLeft w:val="144"/>
          <w:marRight w:val="0"/>
          <w:marTop w:val="0"/>
          <w:marBottom w:val="60"/>
          <w:divBdr>
            <w:top w:val="none" w:sz="0" w:space="0" w:color="auto"/>
            <w:left w:val="none" w:sz="0" w:space="0" w:color="auto"/>
            <w:bottom w:val="none" w:sz="0" w:space="0" w:color="auto"/>
            <w:right w:val="none" w:sz="0" w:space="0" w:color="auto"/>
          </w:divBdr>
        </w:div>
        <w:div w:id="1722249952">
          <w:marLeft w:val="562"/>
          <w:marRight w:val="0"/>
          <w:marTop w:val="0"/>
          <w:marBottom w:val="60"/>
          <w:divBdr>
            <w:top w:val="none" w:sz="0" w:space="0" w:color="auto"/>
            <w:left w:val="none" w:sz="0" w:space="0" w:color="auto"/>
            <w:bottom w:val="none" w:sz="0" w:space="0" w:color="auto"/>
            <w:right w:val="none" w:sz="0" w:space="0" w:color="auto"/>
          </w:divBdr>
        </w:div>
      </w:divsChild>
    </w:div>
    <w:div w:id="683937593">
      <w:bodyDiv w:val="1"/>
      <w:marLeft w:val="0"/>
      <w:marRight w:val="0"/>
      <w:marTop w:val="0"/>
      <w:marBottom w:val="0"/>
      <w:divBdr>
        <w:top w:val="none" w:sz="0" w:space="0" w:color="auto"/>
        <w:left w:val="none" w:sz="0" w:space="0" w:color="auto"/>
        <w:bottom w:val="none" w:sz="0" w:space="0" w:color="auto"/>
        <w:right w:val="none" w:sz="0" w:space="0" w:color="auto"/>
      </w:divBdr>
      <w:divsChild>
        <w:div w:id="75130154">
          <w:marLeft w:val="274"/>
          <w:marRight w:val="0"/>
          <w:marTop w:val="0"/>
          <w:marBottom w:val="60"/>
          <w:divBdr>
            <w:top w:val="none" w:sz="0" w:space="0" w:color="auto"/>
            <w:left w:val="none" w:sz="0" w:space="0" w:color="auto"/>
            <w:bottom w:val="none" w:sz="0" w:space="0" w:color="auto"/>
            <w:right w:val="none" w:sz="0" w:space="0" w:color="auto"/>
          </w:divBdr>
        </w:div>
        <w:div w:id="2113427714">
          <w:marLeft w:val="274"/>
          <w:marRight w:val="0"/>
          <w:marTop w:val="0"/>
          <w:marBottom w:val="60"/>
          <w:divBdr>
            <w:top w:val="none" w:sz="0" w:space="0" w:color="auto"/>
            <w:left w:val="none" w:sz="0" w:space="0" w:color="auto"/>
            <w:bottom w:val="none" w:sz="0" w:space="0" w:color="auto"/>
            <w:right w:val="none" w:sz="0" w:space="0" w:color="auto"/>
          </w:divBdr>
        </w:div>
      </w:divsChild>
    </w:div>
    <w:div w:id="849102990">
      <w:bodyDiv w:val="1"/>
      <w:marLeft w:val="0"/>
      <w:marRight w:val="0"/>
      <w:marTop w:val="0"/>
      <w:marBottom w:val="0"/>
      <w:divBdr>
        <w:top w:val="none" w:sz="0" w:space="0" w:color="auto"/>
        <w:left w:val="none" w:sz="0" w:space="0" w:color="auto"/>
        <w:bottom w:val="none" w:sz="0" w:space="0" w:color="auto"/>
        <w:right w:val="none" w:sz="0" w:space="0" w:color="auto"/>
      </w:divBdr>
      <w:divsChild>
        <w:div w:id="254557478">
          <w:marLeft w:val="850"/>
          <w:marRight w:val="0"/>
          <w:marTop w:val="0"/>
          <w:marBottom w:val="0"/>
          <w:divBdr>
            <w:top w:val="none" w:sz="0" w:space="0" w:color="auto"/>
            <w:left w:val="none" w:sz="0" w:space="0" w:color="auto"/>
            <w:bottom w:val="none" w:sz="0" w:space="0" w:color="auto"/>
            <w:right w:val="none" w:sz="0" w:space="0" w:color="auto"/>
          </w:divBdr>
        </w:div>
        <w:div w:id="539829519">
          <w:marLeft w:val="850"/>
          <w:marRight w:val="0"/>
          <w:marTop w:val="0"/>
          <w:marBottom w:val="0"/>
          <w:divBdr>
            <w:top w:val="none" w:sz="0" w:space="0" w:color="auto"/>
            <w:left w:val="none" w:sz="0" w:space="0" w:color="auto"/>
            <w:bottom w:val="none" w:sz="0" w:space="0" w:color="auto"/>
            <w:right w:val="none" w:sz="0" w:space="0" w:color="auto"/>
          </w:divBdr>
        </w:div>
        <w:div w:id="1735615859">
          <w:marLeft w:val="850"/>
          <w:marRight w:val="0"/>
          <w:marTop w:val="0"/>
          <w:marBottom w:val="0"/>
          <w:divBdr>
            <w:top w:val="none" w:sz="0" w:space="0" w:color="auto"/>
            <w:left w:val="none" w:sz="0" w:space="0" w:color="auto"/>
            <w:bottom w:val="none" w:sz="0" w:space="0" w:color="auto"/>
            <w:right w:val="none" w:sz="0" w:space="0" w:color="auto"/>
          </w:divBdr>
        </w:div>
      </w:divsChild>
    </w:div>
    <w:div w:id="888803944">
      <w:bodyDiv w:val="1"/>
      <w:marLeft w:val="0"/>
      <w:marRight w:val="0"/>
      <w:marTop w:val="0"/>
      <w:marBottom w:val="0"/>
      <w:divBdr>
        <w:top w:val="none" w:sz="0" w:space="0" w:color="auto"/>
        <w:left w:val="none" w:sz="0" w:space="0" w:color="auto"/>
        <w:bottom w:val="none" w:sz="0" w:space="0" w:color="auto"/>
        <w:right w:val="none" w:sz="0" w:space="0" w:color="auto"/>
      </w:divBdr>
    </w:div>
    <w:div w:id="893739518">
      <w:bodyDiv w:val="1"/>
      <w:marLeft w:val="0"/>
      <w:marRight w:val="0"/>
      <w:marTop w:val="0"/>
      <w:marBottom w:val="0"/>
      <w:divBdr>
        <w:top w:val="none" w:sz="0" w:space="0" w:color="auto"/>
        <w:left w:val="none" w:sz="0" w:space="0" w:color="auto"/>
        <w:bottom w:val="none" w:sz="0" w:space="0" w:color="auto"/>
        <w:right w:val="none" w:sz="0" w:space="0" w:color="auto"/>
      </w:divBdr>
      <w:divsChild>
        <w:div w:id="214128078">
          <w:marLeft w:val="274"/>
          <w:marRight w:val="0"/>
          <w:marTop w:val="60"/>
          <w:marBottom w:val="60"/>
          <w:divBdr>
            <w:top w:val="none" w:sz="0" w:space="0" w:color="auto"/>
            <w:left w:val="none" w:sz="0" w:space="0" w:color="auto"/>
            <w:bottom w:val="none" w:sz="0" w:space="0" w:color="auto"/>
            <w:right w:val="none" w:sz="0" w:space="0" w:color="auto"/>
          </w:divBdr>
        </w:div>
        <w:div w:id="422534955">
          <w:marLeft w:val="274"/>
          <w:marRight w:val="0"/>
          <w:marTop w:val="60"/>
          <w:marBottom w:val="60"/>
          <w:divBdr>
            <w:top w:val="none" w:sz="0" w:space="0" w:color="auto"/>
            <w:left w:val="none" w:sz="0" w:space="0" w:color="auto"/>
            <w:bottom w:val="none" w:sz="0" w:space="0" w:color="auto"/>
            <w:right w:val="none" w:sz="0" w:space="0" w:color="auto"/>
          </w:divBdr>
        </w:div>
        <w:div w:id="2108036305">
          <w:marLeft w:val="274"/>
          <w:marRight w:val="0"/>
          <w:marTop w:val="60"/>
          <w:marBottom w:val="60"/>
          <w:divBdr>
            <w:top w:val="none" w:sz="0" w:space="0" w:color="auto"/>
            <w:left w:val="none" w:sz="0" w:space="0" w:color="auto"/>
            <w:bottom w:val="none" w:sz="0" w:space="0" w:color="auto"/>
            <w:right w:val="none" w:sz="0" w:space="0" w:color="auto"/>
          </w:divBdr>
        </w:div>
      </w:divsChild>
    </w:div>
    <w:div w:id="915627523">
      <w:bodyDiv w:val="1"/>
      <w:marLeft w:val="0"/>
      <w:marRight w:val="0"/>
      <w:marTop w:val="0"/>
      <w:marBottom w:val="0"/>
      <w:divBdr>
        <w:top w:val="none" w:sz="0" w:space="0" w:color="auto"/>
        <w:left w:val="none" w:sz="0" w:space="0" w:color="auto"/>
        <w:bottom w:val="none" w:sz="0" w:space="0" w:color="auto"/>
        <w:right w:val="none" w:sz="0" w:space="0" w:color="auto"/>
      </w:divBdr>
    </w:div>
    <w:div w:id="924267032">
      <w:bodyDiv w:val="1"/>
      <w:marLeft w:val="0"/>
      <w:marRight w:val="0"/>
      <w:marTop w:val="0"/>
      <w:marBottom w:val="0"/>
      <w:divBdr>
        <w:top w:val="none" w:sz="0" w:space="0" w:color="auto"/>
        <w:left w:val="none" w:sz="0" w:space="0" w:color="auto"/>
        <w:bottom w:val="none" w:sz="0" w:space="0" w:color="auto"/>
        <w:right w:val="none" w:sz="0" w:space="0" w:color="auto"/>
      </w:divBdr>
    </w:div>
    <w:div w:id="930820709">
      <w:bodyDiv w:val="1"/>
      <w:marLeft w:val="0"/>
      <w:marRight w:val="0"/>
      <w:marTop w:val="0"/>
      <w:marBottom w:val="0"/>
      <w:divBdr>
        <w:top w:val="none" w:sz="0" w:space="0" w:color="auto"/>
        <w:left w:val="none" w:sz="0" w:space="0" w:color="auto"/>
        <w:bottom w:val="none" w:sz="0" w:space="0" w:color="auto"/>
        <w:right w:val="none" w:sz="0" w:space="0" w:color="auto"/>
      </w:divBdr>
    </w:div>
    <w:div w:id="931934109">
      <w:bodyDiv w:val="1"/>
      <w:marLeft w:val="0"/>
      <w:marRight w:val="0"/>
      <w:marTop w:val="0"/>
      <w:marBottom w:val="0"/>
      <w:divBdr>
        <w:top w:val="none" w:sz="0" w:space="0" w:color="auto"/>
        <w:left w:val="none" w:sz="0" w:space="0" w:color="auto"/>
        <w:bottom w:val="none" w:sz="0" w:space="0" w:color="auto"/>
        <w:right w:val="none" w:sz="0" w:space="0" w:color="auto"/>
      </w:divBdr>
    </w:div>
    <w:div w:id="932323288">
      <w:bodyDiv w:val="1"/>
      <w:marLeft w:val="0"/>
      <w:marRight w:val="0"/>
      <w:marTop w:val="0"/>
      <w:marBottom w:val="0"/>
      <w:divBdr>
        <w:top w:val="none" w:sz="0" w:space="0" w:color="auto"/>
        <w:left w:val="none" w:sz="0" w:space="0" w:color="auto"/>
        <w:bottom w:val="none" w:sz="0" w:space="0" w:color="auto"/>
        <w:right w:val="none" w:sz="0" w:space="0" w:color="auto"/>
      </w:divBdr>
    </w:div>
    <w:div w:id="999888468">
      <w:bodyDiv w:val="1"/>
      <w:marLeft w:val="0"/>
      <w:marRight w:val="0"/>
      <w:marTop w:val="0"/>
      <w:marBottom w:val="0"/>
      <w:divBdr>
        <w:top w:val="none" w:sz="0" w:space="0" w:color="auto"/>
        <w:left w:val="none" w:sz="0" w:space="0" w:color="auto"/>
        <w:bottom w:val="none" w:sz="0" w:space="0" w:color="auto"/>
        <w:right w:val="none" w:sz="0" w:space="0" w:color="auto"/>
      </w:divBdr>
    </w:div>
    <w:div w:id="1013531082">
      <w:bodyDiv w:val="1"/>
      <w:marLeft w:val="0"/>
      <w:marRight w:val="0"/>
      <w:marTop w:val="0"/>
      <w:marBottom w:val="0"/>
      <w:divBdr>
        <w:top w:val="none" w:sz="0" w:space="0" w:color="auto"/>
        <w:left w:val="none" w:sz="0" w:space="0" w:color="auto"/>
        <w:bottom w:val="none" w:sz="0" w:space="0" w:color="auto"/>
        <w:right w:val="none" w:sz="0" w:space="0" w:color="auto"/>
      </w:divBdr>
    </w:div>
    <w:div w:id="1029450623">
      <w:bodyDiv w:val="1"/>
      <w:marLeft w:val="0"/>
      <w:marRight w:val="0"/>
      <w:marTop w:val="0"/>
      <w:marBottom w:val="0"/>
      <w:divBdr>
        <w:top w:val="none" w:sz="0" w:space="0" w:color="auto"/>
        <w:left w:val="none" w:sz="0" w:space="0" w:color="auto"/>
        <w:bottom w:val="none" w:sz="0" w:space="0" w:color="auto"/>
        <w:right w:val="none" w:sz="0" w:space="0" w:color="auto"/>
      </w:divBdr>
    </w:div>
    <w:div w:id="1143086857">
      <w:bodyDiv w:val="1"/>
      <w:marLeft w:val="0"/>
      <w:marRight w:val="0"/>
      <w:marTop w:val="0"/>
      <w:marBottom w:val="0"/>
      <w:divBdr>
        <w:top w:val="none" w:sz="0" w:space="0" w:color="auto"/>
        <w:left w:val="none" w:sz="0" w:space="0" w:color="auto"/>
        <w:bottom w:val="none" w:sz="0" w:space="0" w:color="auto"/>
        <w:right w:val="none" w:sz="0" w:space="0" w:color="auto"/>
      </w:divBdr>
    </w:div>
    <w:div w:id="1152209194">
      <w:bodyDiv w:val="1"/>
      <w:marLeft w:val="0"/>
      <w:marRight w:val="0"/>
      <w:marTop w:val="0"/>
      <w:marBottom w:val="0"/>
      <w:divBdr>
        <w:top w:val="none" w:sz="0" w:space="0" w:color="auto"/>
        <w:left w:val="none" w:sz="0" w:space="0" w:color="auto"/>
        <w:bottom w:val="none" w:sz="0" w:space="0" w:color="auto"/>
        <w:right w:val="none" w:sz="0" w:space="0" w:color="auto"/>
      </w:divBdr>
    </w:div>
    <w:div w:id="1152214726">
      <w:bodyDiv w:val="1"/>
      <w:marLeft w:val="0"/>
      <w:marRight w:val="0"/>
      <w:marTop w:val="0"/>
      <w:marBottom w:val="0"/>
      <w:divBdr>
        <w:top w:val="none" w:sz="0" w:space="0" w:color="auto"/>
        <w:left w:val="none" w:sz="0" w:space="0" w:color="auto"/>
        <w:bottom w:val="none" w:sz="0" w:space="0" w:color="auto"/>
        <w:right w:val="none" w:sz="0" w:space="0" w:color="auto"/>
      </w:divBdr>
    </w:div>
    <w:div w:id="1192066221">
      <w:bodyDiv w:val="1"/>
      <w:marLeft w:val="0"/>
      <w:marRight w:val="0"/>
      <w:marTop w:val="0"/>
      <w:marBottom w:val="0"/>
      <w:divBdr>
        <w:top w:val="none" w:sz="0" w:space="0" w:color="auto"/>
        <w:left w:val="none" w:sz="0" w:space="0" w:color="auto"/>
        <w:bottom w:val="none" w:sz="0" w:space="0" w:color="auto"/>
        <w:right w:val="none" w:sz="0" w:space="0" w:color="auto"/>
      </w:divBdr>
      <w:divsChild>
        <w:div w:id="338701149">
          <w:marLeft w:val="950"/>
          <w:marRight w:val="0"/>
          <w:marTop w:val="0"/>
          <w:marBottom w:val="0"/>
          <w:divBdr>
            <w:top w:val="none" w:sz="0" w:space="0" w:color="auto"/>
            <w:left w:val="none" w:sz="0" w:space="0" w:color="auto"/>
            <w:bottom w:val="none" w:sz="0" w:space="0" w:color="auto"/>
            <w:right w:val="none" w:sz="0" w:space="0" w:color="auto"/>
          </w:divBdr>
        </w:div>
        <w:div w:id="486634924">
          <w:marLeft w:val="274"/>
          <w:marRight w:val="0"/>
          <w:marTop w:val="0"/>
          <w:marBottom w:val="0"/>
          <w:divBdr>
            <w:top w:val="none" w:sz="0" w:space="0" w:color="auto"/>
            <w:left w:val="none" w:sz="0" w:space="0" w:color="auto"/>
            <w:bottom w:val="none" w:sz="0" w:space="0" w:color="auto"/>
            <w:right w:val="none" w:sz="0" w:space="0" w:color="auto"/>
          </w:divBdr>
        </w:div>
        <w:div w:id="514811676">
          <w:marLeft w:val="950"/>
          <w:marRight w:val="0"/>
          <w:marTop w:val="0"/>
          <w:marBottom w:val="0"/>
          <w:divBdr>
            <w:top w:val="none" w:sz="0" w:space="0" w:color="auto"/>
            <w:left w:val="none" w:sz="0" w:space="0" w:color="auto"/>
            <w:bottom w:val="none" w:sz="0" w:space="0" w:color="auto"/>
            <w:right w:val="none" w:sz="0" w:space="0" w:color="auto"/>
          </w:divBdr>
        </w:div>
        <w:div w:id="523174853">
          <w:marLeft w:val="950"/>
          <w:marRight w:val="0"/>
          <w:marTop w:val="0"/>
          <w:marBottom w:val="0"/>
          <w:divBdr>
            <w:top w:val="none" w:sz="0" w:space="0" w:color="auto"/>
            <w:left w:val="none" w:sz="0" w:space="0" w:color="auto"/>
            <w:bottom w:val="none" w:sz="0" w:space="0" w:color="auto"/>
            <w:right w:val="none" w:sz="0" w:space="0" w:color="auto"/>
          </w:divBdr>
        </w:div>
        <w:div w:id="1155295053">
          <w:marLeft w:val="274"/>
          <w:marRight w:val="0"/>
          <w:marTop w:val="0"/>
          <w:marBottom w:val="0"/>
          <w:divBdr>
            <w:top w:val="none" w:sz="0" w:space="0" w:color="auto"/>
            <w:left w:val="none" w:sz="0" w:space="0" w:color="auto"/>
            <w:bottom w:val="none" w:sz="0" w:space="0" w:color="auto"/>
            <w:right w:val="none" w:sz="0" w:space="0" w:color="auto"/>
          </w:divBdr>
        </w:div>
        <w:div w:id="1243100722">
          <w:marLeft w:val="950"/>
          <w:marRight w:val="0"/>
          <w:marTop w:val="0"/>
          <w:marBottom w:val="0"/>
          <w:divBdr>
            <w:top w:val="none" w:sz="0" w:space="0" w:color="auto"/>
            <w:left w:val="none" w:sz="0" w:space="0" w:color="auto"/>
            <w:bottom w:val="none" w:sz="0" w:space="0" w:color="auto"/>
            <w:right w:val="none" w:sz="0" w:space="0" w:color="auto"/>
          </w:divBdr>
        </w:div>
        <w:div w:id="1267272233">
          <w:marLeft w:val="950"/>
          <w:marRight w:val="0"/>
          <w:marTop w:val="0"/>
          <w:marBottom w:val="0"/>
          <w:divBdr>
            <w:top w:val="none" w:sz="0" w:space="0" w:color="auto"/>
            <w:left w:val="none" w:sz="0" w:space="0" w:color="auto"/>
            <w:bottom w:val="none" w:sz="0" w:space="0" w:color="auto"/>
            <w:right w:val="none" w:sz="0" w:space="0" w:color="auto"/>
          </w:divBdr>
        </w:div>
        <w:div w:id="1330212710">
          <w:marLeft w:val="950"/>
          <w:marRight w:val="0"/>
          <w:marTop w:val="0"/>
          <w:marBottom w:val="0"/>
          <w:divBdr>
            <w:top w:val="none" w:sz="0" w:space="0" w:color="auto"/>
            <w:left w:val="none" w:sz="0" w:space="0" w:color="auto"/>
            <w:bottom w:val="none" w:sz="0" w:space="0" w:color="auto"/>
            <w:right w:val="none" w:sz="0" w:space="0" w:color="auto"/>
          </w:divBdr>
        </w:div>
        <w:div w:id="1601796941">
          <w:marLeft w:val="950"/>
          <w:marRight w:val="0"/>
          <w:marTop w:val="0"/>
          <w:marBottom w:val="0"/>
          <w:divBdr>
            <w:top w:val="none" w:sz="0" w:space="0" w:color="auto"/>
            <w:left w:val="none" w:sz="0" w:space="0" w:color="auto"/>
            <w:bottom w:val="none" w:sz="0" w:space="0" w:color="auto"/>
            <w:right w:val="none" w:sz="0" w:space="0" w:color="auto"/>
          </w:divBdr>
        </w:div>
        <w:div w:id="1708992055">
          <w:marLeft w:val="274"/>
          <w:marRight w:val="0"/>
          <w:marTop w:val="0"/>
          <w:marBottom w:val="0"/>
          <w:divBdr>
            <w:top w:val="none" w:sz="0" w:space="0" w:color="auto"/>
            <w:left w:val="none" w:sz="0" w:space="0" w:color="auto"/>
            <w:bottom w:val="none" w:sz="0" w:space="0" w:color="auto"/>
            <w:right w:val="none" w:sz="0" w:space="0" w:color="auto"/>
          </w:divBdr>
        </w:div>
      </w:divsChild>
    </w:div>
    <w:div w:id="1231579874">
      <w:bodyDiv w:val="1"/>
      <w:marLeft w:val="0"/>
      <w:marRight w:val="0"/>
      <w:marTop w:val="0"/>
      <w:marBottom w:val="0"/>
      <w:divBdr>
        <w:top w:val="none" w:sz="0" w:space="0" w:color="auto"/>
        <w:left w:val="none" w:sz="0" w:space="0" w:color="auto"/>
        <w:bottom w:val="none" w:sz="0" w:space="0" w:color="auto"/>
        <w:right w:val="none" w:sz="0" w:space="0" w:color="auto"/>
      </w:divBdr>
    </w:div>
    <w:div w:id="1241645616">
      <w:bodyDiv w:val="1"/>
      <w:marLeft w:val="0"/>
      <w:marRight w:val="0"/>
      <w:marTop w:val="0"/>
      <w:marBottom w:val="0"/>
      <w:divBdr>
        <w:top w:val="none" w:sz="0" w:space="0" w:color="auto"/>
        <w:left w:val="none" w:sz="0" w:space="0" w:color="auto"/>
        <w:bottom w:val="none" w:sz="0" w:space="0" w:color="auto"/>
        <w:right w:val="none" w:sz="0" w:space="0" w:color="auto"/>
      </w:divBdr>
    </w:div>
    <w:div w:id="1310011476">
      <w:bodyDiv w:val="1"/>
      <w:marLeft w:val="0"/>
      <w:marRight w:val="0"/>
      <w:marTop w:val="0"/>
      <w:marBottom w:val="0"/>
      <w:divBdr>
        <w:top w:val="none" w:sz="0" w:space="0" w:color="auto"/>
        <w:left w:val="none" w:sz="0" w:space="0" w:color="auto"/>
        <w:bottom w:val="none" w:sz="0" w:space="0" w:color="auto"/>
        <w:right w:val="none" w:sz="0" w:space="0" w:color="auto"/>
      </w:divBdr>
    </w:div>
    <w:div w:id="1339888254">
      <w:bodyDiv w:val="1"/>
      <w:marLeft w:val="0"/>
      <w:marRight w:val="0"/>
      <w:marTop w:val="0"/>
      <w:marBottom w:val="0"/>
      <w:divBdr>
        <w:top w:val="none" w:sz="0" w:space="0" w:color="auto"/>
        <w:left w:val="none" w:sz="0" w:space="0" w:color="auto"/>
        <w:bottom w:val="none" w:sz="0" w:space="0" w:color="auto"/>
        <w:right w:val="none" w:sz="0" w:space="0" w:color="auto"/>
      </w:divBdr>
    </w:div>
    <w:div w:id="1427187205">
      <w:bodyDiv w:val="1"/>
      <w:marLeft w:val="0"/>
      <w:marRight w:val="0"/>
      <w:marTop w:val="0"/>
      <w:marBottom w:val="0"/>
      <w:divBdr>
        <w:top w:val="none" w:sz="0" w:space="0" w:color="auto"/>
        <w:left w:val="none" w:sz="0" w:space="0" w:color="auto"/>
        <w:bottom w:val="none" w:sz="0" w:space="0" w:color="auto"/>
        <w:right w:val="none" w:sz="0" w:space="0" w:color="auto"/>
      </w:divBdr>
    </w:div>
    <w:div w:id="1599942801">
      <w:bodyDiv w:val="1"/>
      <w:marLeft w:val="0"/>
      <w:marRight w:val="0"/>
      <w:marTop w:val="0"/>
      <w:marBottom w:val="0"/>
      <w:divBdr>
        <w:top w:val="none" w:sz="0" w:space="0" w:color="auto"/>
        <w:left w:val="none" w:sz="0" w:space="0" w:color="auto"/>
        <w:bottom w:val="none" w:sz="0" w:space="0" w:color="auto"/>
        <w:right w:val="none" w:sz="0" w:space="0" w:color="auto"/>
      </w:divBdr>
    </w:div>
    <w:div w:id="1645887705">
      <w:bodyDiv w:val="1"/>
      <w:marLeft w:val="0"/>
      <w:marRight w:val="0"/>
      <w:marTop w:val="0"/>
      <w:marBottom w:val="0"/>
      <w:divBdr>
        <w:top w:val="none" w:sz="0" w:space="0" w:color="auto"/>
        <w:left w:val="none" w:sz="0" w:space="0" w:color="auto"/>
        <w:bottom w:val="none" w:sz="0" w:space="0" w:color="auto"/>
        <w:right w:val="none" w:sz="0" w:space="0" w:color="auto"/>
      </w:divBdr>
      <w:divsChild>
        <w:div w:id="631255029">
          <w:marLeft w:val="576"/>
          <w:marRight w:val="0"/>
          <w:marTop w:val="60"/>
          <w:marBottom w:val="60"/>
          <w:divBdr>
            <w:top w:val="none" w:sz="0" w:space="0" w:color="auto"/>
            <w:left w:val="none" w:sz="0" w:space="0" w:color="auto"/>
            <w:bottom w:val="none" w:sz="0" w:space="0" w:color="auto"/>
            <w:right w:val="none" w:sz="0" w:space="0" w:color="auto"/>
          </w:divBdr>
        </w:div>
        <w:div w:id="795608211">
          <w:marLeft w:val="576"/>
          <w:marRight w:val="0"/>
          <w:marTop w:val="60"/>
          <w:marBottom w:val="60"/>
          <w:divBdr>
            <w:top w:val="none" w:sz="0" w:space="0" w:color="auto"/>
            <w:left w:val="none" w:sz="0" w:space="0" w:color="auto"/>
            <w:bottom w:val="none" w:sz="0" w:space="0" w:color="auto"/>
            <w:right w:val="none" w:sz="0" w:space="0" w:color="auto"/>
          </w:divBdr>
        </w:div>
        <w:div w:id="1219054218">
          <w:marLeft w:val="576"/>
          <w:marRight w:val="0"/>
          <w:marTop w:val="60"/>
          <w:marBottom w:val="60"/>
          <w:divBdr>
            <w:top w:val="none" w:sz="0" w:space="0" w:color="auto"/>
            <w:left w:val="none" w:sz="0" w:space="0" w:color="auto"/>
            <w:bottom w:val="none" w:sz="0" w:space="0" w:color="auto"/>
            <w:right w:val="none" w:sz="0" w:space="0" w:color="auto"/>
          </w:divBdr>
        </w:div>
        <w:div w:id="1779447324">
          <w:marLeft w:val="576"/>
          <w:marRight w:val="0"/>
          <w:marTop w:val="60"/>
          <w:marBottom w:val="60"/>
          <w:divBdr>
            <w:top w:val="none" w:sz="0" w:space="0" w:color="auto"/>
            <w:left w:val="none" w:sz="0" w:space="0" w:color="auto"/>
            <w:bottom w:val="none" w:sz="0" w:space="0" w:color="auto"/>
            <w:right w:val="none" w:sz="0" w:space="0" w:color="auto"/>
          </w:divBdr>
        </w:div>
        <w:div w:id="1952318779">
          <w:marLeft w:val="576"/>
          <w:marRight w:val="0"/>
          <w:marTop w:val="60"/>
          <w:marBottom w:val="60"/>
          <w:divBdr>
            <w:top w:val="none" w:sz="0" w:space="0" w:color="auto"/>
            <w:left w:val="none" w:sz="0" w:space="0" w:color="auto"/>
            <w:bottom w:val="none" w:sz="0" w:space="0" w:color="auto"/>
            <w:right w:val="none" w:sz="0" w:space="0" w:color="auto"/>
          </w:divBdr>
        </w:div>
      </w:divsChild>
    </w:div>
    <w:div w:id="1652442541">
      <w:bodyDiv w:val="1"/>
      <w:marLeft w:val="0"/>
      <w:marRight w:val="0"/>
      <w:marTop w:val="0"/>
      <w:marBottom w:val="0"/>
      <w:divBdr>
        <w:top w:val="none" w:sz="0" w:space="0" w:color="auto"/>
        <w:left w:val="none" w:sz="0" w:space="0" w:color="auto"/>
        <w:bottom w:val="none" w:sz="0" w:space="0" w:color="auto"/>
        <w:right w:val="none" w:sz="0" w:space="0" w:color="auto"/>
      </w:divBdr>
    </w:div>
    <w:div w:id="1743332212">
      <w:bodyDiv w:val="1"/>
      <w:marLeft w:val="0"/>
      <w:marRight w:val="0"/>
      <w:marTop w:val="0"/>
      <w:marBottom w:val="0"/>
      <w:divBdr>
        <w:top w:val="none" w:sz="0" w:space="0" w:color="auto"/>
        <w:left w:val="none" w:sz="0" w:space="0" w:color="auto"/>
        <w:bottom w:val="none" w:sz="0" w:space="0" w:color="auto"/>
        <w:right w:val="none" w:sz="0" w:space="0" w:color="auto"/>
      </w:divBdr>
    </w:div>
    <w:div w:id="1787389014">
      <w:bodyDiv w:val="1"/>
      <w:marLeft w:val="0"/>
      <w:marRight w:val="0"/>
      <w:marTop w:val="0"/>
      <w:marBottom w:val="0"/>
      <w:divBdr>
        <w:top w:val="none" w:sz="0" w:space="0" w:color="auto"/>
        <w:left w:val="none" w:sz="0" w:space="0" w:color="auto"/>
        <w:bottom w:val="none" w:sz="0" w:space="0" w:color="auto"/>
        <w:right w:val="none" w:sz="0" w:space="0" w:color="auto"/>
      </w:divBdr>
      <w:divsChild>
        <w:div w:id="356927642">
          <w:marLeft w:val="562"/>
          <w:marRight w:val="0"/>
          <w:marTop w:val="120"/>
          <w:marBottom w:val="0"/>
          <w:divBdr>
            <w:top w:val="none" w:sz="0" w:space="0" w:color="auto"/>
            <w:left w:val="none" w:sz="0" w:space="0" w:color="auto"/>
            <w:bottom w:val="none" w:sz="0" w:space="0" w:color="auto"/>
            <w:right w:val="none" w:sz="0" w:space="0" w:color="auto"/>
          </w:divBdr>
        </w:div>
        <w:div w:id="1428695721">
          <w:marLeft w:val="562"/>
          <w:marRight w:val="0"/>
          <w:marTop w:val="120"/>
          <w:marBottom w:val="0"/>
          <w:divBdr>
            <w:top w:val="none" w:sz="0" w:space="0" w:color="auto"/>
            <w:left w:val="none" w:sz="0" w:space="0" w:color="auto"/>
            <w:bottom w:val="none" w:sz="0" w:space="0" w:color="auto"/>
            <w:right w:val="none" w:sz="0" w:space="0" w:color="auto"/>
          </w:divBdr>
        </w:div>
      </w:divsChild>
    </w:div>
    <w:div w:id="1792675201">
      <w:bodyDiv w:val="1"/>
      <w:marLeft w:val="0"/>
      <w:marRight w:val="0"/>
      <w:marTop w:val="0"/>
      <w:marBottom w:val="0"/>
      <w:divBdr>
        <w:top w:val="none" w:sz="0" w:space="0" w:color="auto"/>
        <w:left w:val="none" w:sz="0" w:space="0" w:color="auto"/>
        <w:bottom w:val="none" w:sz="0" w:space="0" w:color="auto"/>
        <w:right w:val="none" w:sz="0" w:space="0" w:color="auto"/>
      </w:divBdr>
      <w:divsChild>
        <w:div w:id="852114600">
          <w:marLeft w:val="850"/>
          <w:marRight w:val="0"/>
          <w:marTop w:val="0"/>
          <w:marBottom w:val="0"/>
          <w:divBdr>
            <w:top w:val="none" w:sz="0" w:space="0" w:color="auto"/>
            <w:left w:val="none" w:sz="0" w:space="0" w:color="auto"/>
            <w:bottom w:val="none" w:sz="0" w:space="0" w:color="auto"/>
            <w:right w:val="none" w:sz="0" w:space="0" w:color="auto"/>
          </w:divBdr>
        </w:div>
        <w:div w:id="1043217859">
          <w:marLeft w:val="850"/>
          <w:marRight w:val="0"/>
          <w:marTop w:val="0"/>
          <w:marBottom w:val="0"/>
          <w:divBdr>
            <w:top w:val="none" w:sz="0" w:space="0" w:color="auto"/>
            <w:left w:val="none" w:sz="0" w:space="0" w:color="auto"/>
            <w:bottom w:val="none" w:sz="0" w:space="0" w:color="auto"/>
            <w:right w:val="none" w:sz="0" w:space="0" w:color="auto"/>
          </w:divBdr>
        </w:div>
        <w:div w:id="1245840266">
          <w:marLeft w:val="850"/>
          <w:marRight w:val="0"/>
          <w:marTop w:val="0"/>
          <w:marBottom w:val="0"/>
          <w:divBdr>
            <w:top w:val="none" w:sz="0" w:space="0" w:color="auto"/>
            <w:left w:val="none" w:sz="0" w:space="0" w:color="auto"/>
            <w:bottom w:val="none" w:sz="0" w:space="0" w:color="auto"/>
            <w:right w:val="none" w:sz="0" w:space="0" w:color="auto"/>
          </w:divBdr>
        </w:div>
      </w:divsChild>
    </w:div>
    <w:div w:id="1799032072">
      <w:bodyDiv w:val="1"/>
      <w:marLeft w:val="0"/>
      <w:marRight w:val="0"/>
      <w:marTop w:val="0"/>
      <w:marBottom w:val="0"/>
      <w:divBdr>
        <w:top w:val="none" w:sz="0" w:space="0" w:color="auto"/>
        <w:left w:val="none" w:sz="0" w:space="0" w:color="auto"/>
        <w:bottom w:val="none" w:sz="0" w:space="0" w:color="auto"/>
        <w:right w:val="none" w:sz="0" w:space="0" w:color="auto"/>
      </w:divBdr>
    </w:div>
    <w:div w:id="1829437478">
      <w:bodyDiv w:val="1"/>
      <w:marLeft w:val="0"/>
      <w:marRight w:val="0"/>
      <w:marTop w:val="0"/>
      <w:marBottom w:val="0"/>
      <w:divBdr>
        <w:top w:val="none" w:sz="0" w:space="0" w:color="auto"/>
        <w:left w:val="none" w:sz="0" w:space="0" w:color="auto"/>
        <w:bottom w:val="none" w:sz="0" w:space="0" w:color="auto"/>
        <w:right w:val="none" w:sz="0" w:space="0" w:color="auto"/>
      </w:divBdr>
      <w:divsChild>
        <w:div w:id="88937818">
          <w:marLeft w:val="950"/>
          <w:marRight w:val="0"/>
          <w:marTop w:val="0"/>
          <w:marBottom w:val="0"/>
          <w:divBdr>
            <w:top w:val="none" w:sz="0" w:space="0" w:color="auto"/>
            <w:left w:val="none" w:sz="0" w:space="0" w:color="auto"/>
            <w:bottom w:val="none" w:sz="0" w:space="0" w:color="auto"/>
            <w:right w:val="none" w:sz="0" w:space="0" w:color="auto"/>
          </w:divBdr>
        </w:div>
        <w:div w:id="298148451">
          <w:marLeft w:val="950"/>
          <w:marRight w:val="0"/>
          <w:marTop w:val="0"/>
          <w:marBottom w:val="0"/>
          <w:divBdr>
            <w:top w:val="none" w:sz="0" w:space="0" w:color="auto"/>
            <w:left w:val="none" w:sz="0" w:space="0" w:color="auto"/>
            <w:bottom w:val="none" w:sz="0" w:space="0" w:color="auto"/>
            <w:right w:val="none" w:sz="0" w:space="0" w:color="auto"/>
          </w:divBdr>
        </w:div>
        <w:div w:id="721640656">
          <w:marLeft w:val="950"/>
          <w:marRight w:val="0"/>
          <w:marTop w:val="0"/>
          <w:marBottom w:val="0"/>
          <w:divBdr>
            <w:top w:val="none" w:sz="0" w:space="0" w:color="auto"/>
            <w:left w:val="none" w:sz="0" w:space="0" w:color="auto"/>
            <w:bottom w:val="none" w:sz="0" w:space="0" w:color="auto"/>
            <w:right w:val="none" w:sz="0" w:space="0" w:color="auto"/>
          </w:divBdr>
        </w:div>
        <w:div w:id="796262899">
          <w:marLeft w:val="274"/>
          <w:marRight w:val="0"/>
          <w:marTop w:val="0"/>
          <w:marBottom w:val="0"/>
          <w:divBdr>
            <w:top w:val="none" w:sz="0" w:space="0" w:color="auto"/>
            <w:left w:val="none" w:sz="0" w:space="0" w:color="auto"/>
            <w:bottom w:val="none" w:sz="0" w:space="0" w:color="auto"/>
            <w:right w:val="none" w:sz="0" w:space="0" w:color="auto"/>
          </w:divBdr>
        </w:div>
        <w:div w:id="887107430">
          <w:marLeft w:val="950"/>
          <w:marRight w:val="0"/>
          <w:marTop w:val="0"/>
          <w:marBottom w:val="0"/>
          <w:divBdr>
            <w:top w:val="none" w:sz="0" w:space="0" w:color="auto"/>
            <w:left w:val="none" w:sz="0" w:space="0" w:color="auto"/>
            <w:bottom w:val="none" w:sz="0" w:space="0" w:color="auto"/>
            <w:right w:val="none" w:sz="0" w:space="0" w:color="auto"/>
          </w:divBdr>
        </w:div>
        <w:div w:id="1060176041">
          <w:marLeft w:val="950"/>
          <w:marRight w:val="0"/>
          <w:marTop w:val="0"/>
          <w:marBottom w:val="0"/>
          <w:divBdr>
            <w:top w:val="none" w:sz="0" w:space="0" w:color="auto"/>
            <w:left w:val="none" w:sz="0" w:space="0" w:color="auto"/>
            <w:bottom w:val="none" w:sz="0" w:space="0" w:color="auto"/>
            <w:right w:val="none" w:sz="0" w:space="0" w:color="auto"/>
          </w:divBdr>
        </w:div>
        <w:div w:id="1167745096">
          <w:marLeft w:val="950"/>
          <w:marRight w:val="0"/>
          <w:marTop w:val="0"/>
          <w:marBottom w:val="0"/>
          <w:divBdr>
            <w:top w:val="none" w:sz="0" w:space="0" w:color="auto"/>
            <w:left w:val="none" w:sz="0" w:space="0" w:color="auto"/>
            <w:bottom w:val="none" w:sz="0" w:space="0" w:color="auto"/>
            <w:right w:val="none" w:sz="0" w:space="0" w:color="auto"/>
          </w:divBdr>
        </w:div>
        <w:div w:id="1431245087">
          <w:marLeft w:val="274"/>
          <w:marRight w:val="0"/>
          <w:marTop w:val="0"/>
          <w:marBottom w:val="0"/>
          <w:divBdr>
            <w:top w:val="none" w:sz="0" w:space="0" w:color="auto"/>
            <w:left w:val="none" w:sz="0" w:space="0" w:color="auto"/>
            <w:bottom w:val="none" w:sz="0" w:space="0" w:color="auto"/>
            <w:right w:val="none" w:sz="0" w:space="0" w:color="auto"/>
          </w:divBdr>
        </w:div>
        <w:div w:id="1686863058">
          <w:marLeft w:val="950"/>
          <w:marRight w:val="0"/>
          <w:marTop w:val="0"/>
          <w:marBottom w:val="0"/>
          <w:divBdr>
            <w:top w:val="none" w:sz="0" w:space="0" w:color="auto"/>
            <w:left w:val="none" w:sz="0" w:space="0" w:color="auto"/>
            <w:bottom w:val="none" w:sz="0" w:space="0" w:color="auto"/>
            <w:right w:val="none" w:sz="0" w:space="0" w:color="auto"/>
          </w:divBdr>
        </w:div>
        <w:div w:id="1744404003">
          <w:marLeft w:val="274"/>
          <w:marRight w:val="0"/>
          <w:marTop w:val="0"/>
          <w:marBottom w:val="0"/>
          <w:divBdr>
            <w:top w:val="none" w:sz="0" w:space="0" w:color="auto"/>
            <w:left w:val="none" w:sz="0" w:space="0" w:color="auto"/>
            <w:bottom w:val="none" w:sz="0" w:space="0" w:color="auto"/>
            <w:right w:val="none" w:sz="0" w:space="0" w:color="auto"/>
          </w:divBdr>
        </w:div>
      </w:divsChild>
    </w:div>
    <w:div w:id="1867014647">
      <w:bodyDiv w:val="1"/>
      <w:marLeft w:val="0"/>
      <w:marRight w:val="0"/>
      <w:marTop w:val="0"/>
      <w:marBottom w:val="0"/>
      <w:divBdr>
        <w:top w:val="none" w:sz="0" w:space="0" w:color="auto"/>
        <w:left w:val="none" w:sz="0" w:space="0" w:color="auto"/>
        <w:bottom w:val="none" w:sz="0" w:space="0" w:color="auto"/>
        <w:right w:val="none" w:sz="0" w:space="0" w:color="auto"/>
      </w:divBdr>
    </w:div>
    <w:div w:id="1903249474">
      <w:bodyDiv w:val="1"/>
      <w:marLeft w:val="0"/>
      <w:marRight w:val="0"/>
      <w:marTop w:val="0"/>
      <w:marBottom w:val="0"/>
      <w:divBdr>
        <w:top w:val="none" w:sz="0" w:space="0" w:color="auto"/>
        <w:left w:val="none" w:sz="0" w:space="0" w:color="auto"/>
        <w:bottom w:val="none" w:sz="0" w:space="0" w:color="auto"/>
        <w:right w:val="none" w:sz="0" w:space="0" w:color="auto"/>
      </w:divBdr>
    </w:div>
    <w:div w:id="1974943239">
      <w:bodyDiv w:val="1"/>
      <w:marLeft w:val="0"/>
      <w:marRight w:val="0"/>
      <w:marTop w:val="0"/>
      <w:marBottom w:val="0"/>
      <w:divBdr>
        <w:top w:val="none" w:sz="0" w:space="0" w:color="auto"/>
        <w:left w:val="none" w:sz="0" w:space="0" w:color="auto"/>
        <w:bottom w:val="none" w:sz="0" w:space="0" w:color="auto"/>
        <w:right w:val="none" w:sz="0" w:space="0" w:color="auto"/>
      </w:divBdr>
      <w:divsChild>
        <w:div w:id="114829967">
          <w:marLeft w:val="1238"/>
          <w:marRight w:val="0"/>
          <w:marTop w:val="60"/>
          <w:marBottom w:val="60"/>
          <w:divBdr>
            <w:top w:val="none" w:sz="0" w:space="0" w:color="auto"/>
            <w:left w:val="none" w:sz="0" w:space="0" w:color="auto"/>
            <w:bottom w:val="none" w:sz="0" w:space="0" w:color="auto"/>
            <w:right w:val="none" w:sz="0" w:space="0" w:color="auto"/>
          </w:divBdr>
        </w:div>
        <w:div w:id="634407627">
          <w:marLeft w:val="547"/>
          <w:marRight w:val="0"/>
          <w:marTop w:val="60"/>
          <w:marBottom w:val="60"/>
          <w:divBdr>
            <w:top w:val="none" w:sz="0" w:space="0" w:color="auto"/>
            <w:left w:val="none" w:sz="0" w:space="0" w:color="auto"/>
            <w:bottom w:val="none" w:sz="0" w:space="0" w:color="auto"/>
            <w:right w:val="none" w:sz="0" w:space="0" w:color="auto"/>
          </w:divBdr>
        </w:div>
        <w:div w:id="1179077131">
          <w:marLeft w:val="547"/>
          <w:marRight w:val="0"/>
          <w:marTop w:val="60"/>
          <w:marBottom w:val="60"/>
          <w:divBdr>
            <w:top w:val="none" w:sz="0" w:space="0" w:color="auto"/>
            <w:left w:val="none" w:sz="0" w:space="0" w:color="auto"/>
            <w:bottom w:val="none" w:sz="0" w:space="0" w:color="auto"/>
            <w:right w:val="none" w:sz="0" w:space="0" w:color="auto"/>
          </w:divBdr>
        </w:div>
        <w:div w:id="1228415189">
          <w:marLeft w:val="547"/>
          <w:marRight w:val="0"/>
          <w:marTop w:val="60"/>
          <w:marBottom w:val="60"/>
          <w:divBdr>
            <w:top w:val="none" w:sz="0" w:space="0" w:color="auto"/>
            <w:left w:val="none" w:sz="0" w:space="0" w:color="auto"/>
            <w:bottom w:val="none" w:sz="0" w:space="0" w:color="auto"/>
            <w:right w:val="none" w:sz="0" w:space="0" w:color="auto"/>
          </w:divBdr>
        </w:div>
        <w:div w:id="1330518141">
          <w:marLeft w:val="1238"/>
          <w:marRight w:val="0"/>
          <w:marTop w:val="60"/>
          <w:marBottom w:val="60"/>
          <w:divBdr>
            <w:top w:val="none" w:sz="0" w:space="0" w:color="auto"/>
            <w:left w:val="none" w:sz="0" w:space="0" w:color="auto"/>
            <w:bottom w:val="none" w:sz="0" w:space="0" w:color="auto"/>
            <w:right w:val="none" w:sz="0" w:space="0" w:color="auto"/>
          </w:divBdr>
        </w:div>
        <w:div w:id="1492595297">
          <w:marLeft w:val="1238"/>
          <w:marRight w:val="0"/>
          <w:marTop w:val="60"/>
          <w:marBottom w:val="60"/>
          <w:divBdr>
            <w:top w:val="none" w:sz="0" w:space="0" w:color="auto"/>
            <w:left w:val="none" w:sz="0" w:space="0" w:color="auto"/>
            <w:bottom w:val="none" w:sz="0" w:space="0" w:color="auto"/>
            <w:right w:val="none" w:sz="0" w:space="0" w:color="auto"/>
          </w:divBdr>
        </w:div>
        <w:div w:id="1723409785">
          <w:marLeft w:val="547"/>
          <w:marRight w:val="0"/>
          <w:marTop w:val="60"/>
          <w:marBottom w:val="60"/>
          <w:divBdr>
            <w:top w:val="none" w:sz="0" w:space="0" w:color="auto"/>
            <w:left w:val="none" w:sz="0" w:space="0" w:color="auto"/>
            <w:bottom w:val="none" w:sz="0" w:space="0" w:color="auto"/>
            <w:right w:val="none" w:sz="0" w:space="0" w:color="auto"/>
          </w:divBdr>
        </w:div>
      </w:divsChild>
    </w:div>
    <w:div w:id="1988168957">
      <w:bodyDiv w:val="1"/>
      <w:marLeft w:val="0"/>
      <w:marRight w:val="0"/>
      <w:marTop w:val="0"/>
      <w:marBottom w:val="0"/>
      <w:divBdr>
        <w:top w:val="none" w:sz="0" w:space="0" w:color="auto"/>
        <w:left w:val="none" w:sz="0" w:space="0" w:color="auto"/>
        <w:bottom w:val="none" w:sz="0" w:space="0" w:color="auto"/>
        <w:right w:val="none" w:sz="0" w:space="0" w:color="auto"/>
      </w:divBdr>
      <w:divsChild>
        <w:div w:id="982126365">
          <w:marLeft w:val="288"/>
          <w:marRight w:val="0"/>
          <w:marTop w:val="0"/>
          <w:marBottom w:val="60"/>
          <w:divBdr>
            <w:top w:val="none" w:sz="0" w:space="0" w:color="auto"/>
            <w:left w:val="none" w:sz="0" w:space="0" w:color="auto"/>
            <w:bottom w:val="none" w:sz="0" w:space="0" w:color="auto"/>
            <w:right w:val="none" w:sz="0" w:space="0" w:color="auto"/>
          </w:divBdr>
        </w:div>
        <w:div w:id="1143620239">
          <w:marLeft w:val="288"/>
          <w:marRight w:val="0"/>
          <w:marTop w:val="0"/>
          <w:marBottom w:val="60"/>
          <w:divBdr>
            <w:top w:val="none" w:sz="0" w:space="0" w:color="auto"/>
            <w:left w:val="none" w:sz="0" w:space="0" w:color="auto"/>
            <w:bottom w:val="none" w:sz="0" w:space="0" w:color="auto"/>
            <w:right w:val="none" w:sz="0" w:space="0" w:color="auto"/>
          </w:divBdr>
        </w:div>
      </w:divsChild>
    </w:div>
    <w:div w:id="2015381371">
      <w:bodyDiv w:val="1"/>
      <w:marLeft w:val="0"/>
      <w:marRight w:val="0"/>
      <w:marTop w:val="0"/>
      <w:marBottom w:val="0"/>
      <w:divBdr>
        <w:top w:val="none" w:sz="0" w:space="0" w:color="auto"/>
        <w:left w:val="none" w:sz="0" w:space="0" w:color="auto"/>
        <w:bottom w:val="none" w:sz="0" w:space="0" w:color="auto"/>
        <w:right w:val="none" w:sz="0" w:space="0" w:color="auto"/>
      </w:divBdr>
    </w:div>
    <w:div w:id="2027246880">
      <w:bodyDiv w:val="1"/>
      <w:marLeft w:val="0"/>
      <w:marRight w:val="0"/>
      <w:marTop w:val="0"/>
      <w:marBottom w:val="0"/>
      <w:divBdr>
        <w:top w:val="none" w:sz="0" w:space="0" w:color="auto"/>
        <w:left w:val="none" w:sz="0" w:space="0" w:color="auto"/>
        <w:bottom w:val="none" w:sz="0" w:space="0" w:color="auto"/>
        <w:right w:val="none" w:sz="0" w:space="0" w:color="auto"/>
      </w:divBdr>
      <w:divsChild>
        <w:div w:id="35862942">
          <w:marLeft w:val="1238"/>
          <w:marRight w:val="0"/>
          <w:marTop w:val="60"/>
          <w:marBottom w:val="60"/>
          <w:divBdr>
            <w:top w:val="none" w:sz="0" w:space="0" w:color="auto"/>
            <w:left w:val="none" w:sz="0" w:space="0" w:color="auto"/>
            <w:bottom w:val="none" w:sz="0" w:space="0" w:color="auto"/>
            <w:right w:val="none" w:sz="0" w:space="0" w:color="auto"/>
          </w:divBdr>
        </w:div>
        <w:div w:id="69429485">
          <w:marLeft w:val="1238"/>
          <w:marRight w:val="0"/>
          <w:marTop w:val="60"/>
          <w:marBottom w:val="60"/>
          <w:divBdr>
            <w:top w:val="none" w:sz="0" w:space="0" w:color="auto"/>
            <w:left w:val="none" w:sz="0" w:space="0" w:color="auto"/>
            <w:bottom w:val="none" w:sz="0" w:space="0" w:color="auto"/>
            <w:right w:val="none" w:sz="0" w:space="0" w:color="auto"/>
          </w:divBdr>
        </w:div>
        <w:div w:id="678583687">
          <w:marLeft w:val="274"/>
          <w:marRight w:val="0"/>
          <w:marTop w:val="60"/>
          <w:marBottom w:val="60"/>
          <w:divBdr>
            <w:top w:val="none" w:sz="0" w:space="0" w:color="auto"/>
            <w:left w:val="none" w:sz="0" w:space="0" w:color="auto"/>
            <w:bottom w:val="none" w:sz="0" w:space="0" w:color="auto"/>
            <w:right w:val="none" w:sz="0" w:space="0" w:color="auto"/>
          </w:divBdr>
        </w:div>
        <w:div w:id="1743528189">
          <w:marLeft w:val="274"/>
          <w:marRight w:val="0"/>
          <w:marTop w:val="60"/>
          <w:marBottom w:val="60"/>
          <w:divBdr>
            <w:top w:val="none" w:sz="0" w:space="0" w:color="auto"/>
            <w:left w:val="none" w:sz="0" w:space="0" w:color="auto"/>
            <w:bottom w:val="none" w:sz="0" w:space="0" w:color="auto"/>
            <w:right w:val="none" w:sz="0" w:space="0" w:color="auto"/>
          </w:divBdr>
        </w:div>
      </w:divsChild>
    </w:div>
    <w:div w:id="2074115868">
      <w:bodyDiv w:val="1"/>
      <w:marLeft w:val="0"/>
      <w:marRight w:val="0"/>
      <w:marTop w:val="0"/>
      <w:marBottom w:val="0"/>
      <w:divBdr>
        <w:top w:val="none" w:sz="0" w:space="0" w:color="auto"/>
        <w:left w:val="none" w:sz="0" w:space="0" w:color="auto"/>
        <w:bottom w:val="none" w:sz="0" w:space="0" w:color="auto"/>
        <w:right w:val="none" w:sz="0" w:space="0" w:color="auto"/>
      </w:divBdr>
    </w:div>
    <w:div w:id="2086949648">
      <w:bodyDiv w:val="1"/>
      <w:marLeft w:val="0"/>
      <w:marRight w:val="0"/>
      <w:marTop w:val="0"/>
      <w:marBottom w:val="0"/>
      <w:divBdr>
        <w:top w:val="none" w:sz="0" w:space="0" w:color="auto"/>
        <w:left w:val="none" w:sz="0" w:space="0" w:color="auto"/>
        <w:bottom w:val="none" w:sz="0" w:space="0" w:color="auto"/>
        <w:right w:val="none" w:sz="0" w:space="0" w:color="auto"/>
      </w:divBdr>
    </w:div>
    <w:div w:id="2087267211">
      <w:bodyDiv w:val="1"/>
      <w:marLeft w:val="0"/>
      <w:marRight w:val="0"/>
      <w:marTop w:val="0"/>
      <w:marBottom w:val="0"/>
      <w:divBdr>
        <w:top w:val="none" w:sz="0" w:space="0" w:color="auto"/>
        <w:left w:val="none" w:sz="0" w:space="0" w:color="auto"/>
        <w:bottom w:val="none" w:sz="0" w:space="0" w:color="auto"/>
        <w:right w:val="none" w:sz="0" w:space="0" w:color="auto"/>
      </w:divBdr>
      <w:divsChild>
        <w:div w:id="573786460">
          <w:marLeft w:val="360"/>
          <w:marRight w:val="0"/>
          <w:marTop w:val="60"/>
          <w:marBottom w:val="60"/>
          <w:divBdr>
            <w:top w:val="none" w:sz="0" w:space="0" w:color="auto"/>
            <w:left w:val="none" w:sz="0" w:space="0" w:color="auto"/>
            <w:bottom w:val="none" w:sz="0" w:space="0" w:color="auto"/>
            <w:right w:val="none" w:sz="0" w:space="0" w:color="auto"/>
          </w:divBdr>
        </w:div>
      </w:divsChild>
    </w:div>
    <w:div w:id="2096629516">
      <w:bodyDiv w:val="1"/>
      <w:marLeft w:val="0"/>
      <w:marRight w:val="0"/>
      <w:marTop w:val="0"/>
      <w:marBottom w:val="0"/>
      <w:divBdr>
        <w:top w:val="none" w:sz="0" w:space="0" w:color="auto"/>
        <w:left w:val="none" w:sz="0" w:space="0" w:color="auto"/>
        <w:bottom w:val="none" w:sz="0" w:space="0" w:color="auto"/>
        <w:right w:val="none" w:sz="0" w:space="0" w:color="auto"/>
      </w:divBdr>
    </w:div>
    <w:div w:id="2117940801">
      <w:bodyDiv w:val="1"/>
      <w:marLeft w:val="0"/>
      <w:marRight w:val="0"/>
      <w:marTop w:val="0"/>
      <w:marBottom w:val="0"/>
      <w:divBdr>
        <w:top w:val="none" w:sz="0" w:space="0" w:color="auto"/>
        <w:left w:val="none" w:sz="0" w:space="0" w:color="auto"/>
        <w:bottom w:val="none" w:sz="0" w:space="0" w:color="auto"/>
        <w:right w:val="none" w:sz="0" w:space="0" w:color="auto"/>
      </w:divBdr>
      <w:divsChild>
        <w:div w:id="625816763">
          <w:marLeft w:val="576"/>
          <w:marRight w:val="0"/>
          <w:marTop w:val="60"/>
          <w:marBottom w:val="60"/>
          <w:divBdr>
            <w:top w:val="none" w:sz="0" w:space="0" w:color="auto"/>
            <w:left w:val="none" w:sz="0" w:space="0" w:color="auto"/>
            <w:bottom w:val="none" w:sz="0" w:space="0" w:color="auto"/>
            <w:right w:val="none" w:sz="0" w:space="0" w:color="auto"/>
          </w:divBdr>
        </w:div>
        <w:div w:id="917204098">
          <w:marLeft w:val="576"/>
          <w:marRight w:val="0"/>
          <w:marTop w:val="60"/>
          <w:marBottom w:val="60"/>
          <w:divBdr>
            <w:top w:val="none" w:sz="0" w:space="0" w:color="auto"/>
            <w:left w:val="none" w:sz="0" w:space="0" w:color="auto"/>
            <w:bottom w:val="none" w:sz="0" w:space="0" w:color="auto"/>
            <w:right w:val="none" w:sz="0" w:space="0" w:color="auto"/>
          </w:divBdr>
        </w:div>
        <w:div w:id="1439132886">
          <w:marLeft w:val="576"/>
          <w:marRight w:val="0"/>
          <w:marTop w:val="60"/>
          <w:marBottom w:val="60"/>
          <w:divBdr>
            <w:top w:val="none" w:sz="0" w:space="0" w:color="auto"/>
            <w:left w:val="none" w:sz="0" w:space="0" w:color="auto"/>
            <w:bottom w:val="none" w:sz="0" w:space="0" w:color="auto"/>
            <w:right w:val="none" w:sz="0" w:space="0" w:color="auto"/>
          </w:divBdr>
        </w:div>
        <w:div w:id="1459686608">
          <w:marLeft w:val="576"/>
          <w:marRight w:val="0"/>
          <w:marTop w:val="60"/>
          <w:marBottom w:val="60"/>
          <w:divBdr>
            <w:top w:val="none" w:sz="0" w:space="0" w:color="auto"/>
            <w:left w:val="none" w:sz="0" w:space="0" w:color="auto"/>
            <w:bottom w:val="none" w:sz="0" w:space="0" w:color="auto"/>
            <w:right w:val="none" w:sz="0" w:space="0" w:color="auto"/>
          </w:divBdr>
        </w:div>
        <w:div w:id="1556889161">
          <w:marLeft w:val="576"/>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pmg.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C2F16-DD50-4237-ACD8-999812FD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26140</Words>
  <Characters>14900</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2017-05-08T13:36:00Z</dcterms:created>
  <dcterms:modified xsi:type="dcterms:W3CDTF">2017-05-09T13:05:00Z</dcterms:modified>
</cp:coreProperties>
</file>