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D81577" w:rsidRDefault="00F04A04" w:rsidP="00D81577">
      <w:pPr>
        <w:tabs>
          <w:tab w:val="center" w:pos="3544"/>
          <w:tab w:val="left" w:pos="4962"/>
          <w:tab w:val="right" w:pos="9638"/>
        </w:tabs>
        <w:spacing w:after="0" w:line="240" w:lineRule="auto"/>
        <w:jc w:val="center"/>
        <w:rPr>
          <w:rFonts w:ascii="Times New Roman" w:eastAsia="Times New Roman" w:hAnsi="Times New Roman" w:cs="Times New Roman"/>
          <w:b/>
          <w:bCs/>
          <w:sz w:val="24"/>
          <w:szCs w:val="24"/>
          <w:lang w:val="lt-LT" w:eastAsia="lt-LT"/>
        </w:rPr>
      </w:pPr>
      <w:r w:rsidRPr="00F04A04">
        <w:rPr>
          <w:rFonts w:ascii="TimesLT" w:hAnsi="TimesLT" w:cs="TimesLT"/>
          <w:b/>
          <w:bCs/>
          <w:sz w:val="24"/>
          <w:szCs w:val="24"/>
          <w:lang w:val="lt-LT" w:eastAsia="lt-LT"/>
        </w:rPr>
        <w:t>PARTNERI</w:t>
      </w:r>
      <w:r>
        <w:rPr>
          <w:rFonts w:ascii="TimesLT" w:hAnsi="TimesLT" w:cs="TimesLT"/>
          <w:b/>
          <w:bCs/>
          <w:sz w:val="24"/>
          <w:szCs w:val="24"/>
          <w:lang w:val="lt-LT" w:eastAsia="lt-LT"/>
        </w:rPr>
        <w:t xml:space="preserve">Ų PATEIKTŲ PASTABŲ </w:t>
      </w:r>
      <w:r w:rsidRPr="00F04A04">
        <w:rPr>
          <w:rFonts w:ascii="Times New Roman" w:eastAsia="Times New Roman" w:hAnsi="Times New Roman" w:cs="Times New Roman"/>
          <w:b/>
          <w:bCs/>
          <w:sz w:val="24"/>
          <w:szCs w:val="24"/>
          <w:lang w:val="lt-LT" w:eastAsia="lt-LT"/>
        </w:rPr>
        <w:t xml:space="preserve">DĖL </w:t>
      </w:r>
      <w:r w:rsidR="00D03657">
        <w:rPr>
          <w:rFonts w:ascii="Times New Roman" w:eastAsia="Times New Roman" w:hAnsi="Times New Roman" w:cs="Times New Roman"/>
          <w:b/>
          <w:bCs/>
          <w:sz w:val="24"/>
          <w:szCs w:val="24"/>
          <w:lang w:val="lt-LT" w:eastAsia="lt-LT"/>
        </w:rPr>
        <w:t xml:space="preserve">PASIŪLYMŲ DĖL </w:t>
      </w:r>
      <w:r w:rsidRPr="00F04A04">
        <w:rPr>
          <w:rFonts w:ascii="Times New Roman" w:eastAsia="Times New Roman" w:hAnsi="Times New Roman" w:cs="Times New Roman"/>
          <w:b/>
          <w:bCs/>
          <w:sz w:val="24"/>
          <w:szCs w:val="24"/>
          <w:lang w:val="lt-LT" w:eastAsia="lt-LT"/>
        </w:rPr>
        <w:t>PROJEKTŲ ATRANKOS KRITERIJŲ NUSTATYMO IR KEITIMO PROJEKTO PAGAL 2014–2020 METŲ EUROPOS SĄJUNGOS FONDŲ INVESTICIJŲ VEIKSMŲ PROGRAMOS</w:t>
      </w:r>
      <w:r>
        <w:rPr>
          <w:rFonts w:ascii="Times New Roman" w:eastAsia="Times New Roman" w:hAnsi="Times New Roman" w:cs="Times New Roman"/>
          <w:b/>
          <w:bCs/>
          <w:sz w:val="24"/>
          <w:szCs w:val="24"/>
          <w:lang w:val="lt-LT" w:eastAsia="lt-LT"/>
        </w:rPr>
        <w:t xml:space="preserve"> </w:t>
      </w:r>
      <w:r w:rsidR="00D81577">
        <w:rPr>
          <w:rFonts w:ascii="Times New Roman" w:eastAsia="Times New Roman" w:hAnsi="Times New Roman" w:cs="Times New Roman"/>
          <w:b/>
          <w:bCs/>
          <w:sz w:val="24"/>
          <w:szCs w:val="24"/>
          <w:lang w:val="lt-LT" w:eastAsia="lt-LT"/>
        </w:rPr>
        <w:t>PRIORITETO</w:t>
      </w:r>
    </w:p>
    <w:p w:rsidR="00D81577" w:rsidRDefault="00F04A04" w:rsidP="00D81577">
      <w:pPr>
        <w:tabs>
          <w:tab w:val="center" w:pos="3544"/>
          <w:tab w:val="left" w:pos="4962"/>
          <w:tab w:val="right" w:pos="9638"/>
        </w:tabs>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ĮGYVENDINIMO </w:t>
      </w:r>
      <w:r w:rsidRPr="00F04A04">
        <w:rPr>
          <w:rFonts w:ascii="Times New Roman" w:eastAsia="Times New Roman" w:hAnsi="Times New Roman" w:cs="Times New Roman"/>
          <w:b/>
          <w:bCs/>
          <w:sz w:val="24"/>
          <w:szCs w:val="24"/>
          <w:lang w:val="lt-LT" w:eastAsia="lt-LT"/>
        </w:rPr>
        <w:t>PRIEMON</w:t>
      </w:r>
      <w:r w:rsidR="00D81577">
        <w:rPr>
          <w:rFonts w:ascii="Times New Roman" w:eastAsia="Times New Roman" w:hAnsi="Times New Roman" w:cs="Times New Roman"/>
          <w:b/>
          <w:bCs/>
          <w:sz w:val="24"/>
          <w:szCs w:val="24"/>
          <w:lang w:val="lt-LT" w:eastAsia="lt-LT"/>
        </w:rPr>
        <w:t xml:space="preserve">Ę </w:t>
      </w:r>
      <w:r w:rsidRPr="00F04A04">
        <w:rPr>
          <w:rFonts w:ascii="Times New Roman" w:eastAsia="Times New Roman" w:hAnsi="Times New Roman" w:cs="Times New Roman"/>
          <w:b/>
          <w:bCs/>
          <w:sz w:val="24"/>
          <w:szCs w:val="24"/>
          <w:lang w:val="lt-LT" w:eastAsia="lt-LT"/>
        </w:rPr>
        <w:t>04.3.2-LVPA-K-102 „ŠILUMOS TIEKIMO T</w:t>
      </w:r>
      <w:r>
        <w:rPr>
          <w:rFonts w:ascii="Times New Roman" w:eastAsia="Times New Roman" w:hAnsi="Times New Roman" w:cs="Times New Roman"/>
          <w:b/>
          <w:bCs/>
          <w:sz w:val="24"/>
          <w:szCs w:val="24"/>
          <w:lang w:val="lt-LT" w:eastAsia="lt-LT"/>
        </w:rPr>
        <w:t>INKLŲ MODERNIZAVIMAS</w:t>
      </w:r>
    </w:p>
    <w:p w:rsidR="00F04A04" w:rsidRPr="00D03657" w:rsidRDefault="00F04A04" w:rsidP="00D81577">
      <w:pPr>
        <w:tabs>
          <w:tab w:val="center" w:pos="3544"/>
          <w:tab w:val="left" w:pos="4962"/>
          <w:tab w:val="right" w:pos="9638"/>
        </w:tabs>
        <w:spacing w:after="0" w:line="240" w:lineRule="auto"/>
        <w:jc w:val="center"/>
        <w:rPr>
          <w:rFonts w:ascii="Times New Roman" w:eastAsia="Times New Roman" w:hAnsi="Times New Roman" w:cs="Times New Roman"/>
          <w:b/>
          <w:bCs/>
          <w:sz w:val="24"/>
          <w:szCs w:val="24"/>
          <w:lang w:val="lt-LT" w:eastAsia="lt-LT"/>
        </w:rPr>
      </w:pPr>
      <w:r>
        <w:rPr>
          <w:rFonts w:ascii="Times New Roman" w:eastAsia="Times New Roman" w:hAnsi="Times New Roman" w:cs="Times New Roman"/>
          <w:b/>
          <w:bCs/>
          <w:sz w:val="24"/>
          <w:szCs w:val="24"/>
          <w:lang w:val="lt-LT" w:eastAsia="lt-LT"/>
        </w:rPr>
        <w:t xml:space="preserve"> IR PLĖTRA“ </w:t>
      </w:r>
      <w:r w:rsidR="00D81577">
        <w:rPr>
          <w:rFonts w:ascii="Times New Roman" w:eastAsia="Times New Roman" w:hAnsi="Times New Roman" w:cs="Times New Roman"/>
          <w:b/>
          <w:bCs/>
          <w:sz w:val="24"/>
          <w:szCs w:val="24"/>
          <w:lang w:val="lt-LT" w:eastAsia="lt-LT"/>
        </w:rPr>
        <w:t xml:space="preserve">(TOLIAU – PRIEMONĖ) </w:t>
      </w:r>
      <w:r w:rsidRPr="00F04A04">
        <w:rPr>
          <w:rFonts w:ascii="TimesLT" w:hAnsi="TimesLT" w:cs="TimesLT"/>
          <w:b/>
          <w:bCs/>
          <w:sz w:val="24"/>
          <w:szCs w:val="24"/>
          <w:lang w:val="lt-LT" w:eastAsia="lt-LT"/>
        </w:rPr>
        <w:t>DERINIMO LENTELĖ</w:t>
      </w:r>
    </w:p>
    <w:p w:rsidR="009527C3" w:rsidRPr="005C5220" w:rsidRDefault="009527C3" w:rsidP="00A837E2">
      <w:pPr>
        <w:tabs>
          <w:tab w:val="center" w:pos="3544"/>
          <w:tab w:val="left" w:pos="4962"/>
          <w:tab w:val="right" w:pos="9638"/>
        </w:tabs>
        <w:spacing w:after="0" w:line="240" w:lineRule="auto"/>
        <w:jc w:val="center"/>
        <w:rPr>
          <w:rFonts w:ascii="TimesLT" w:hAnsi="TimesLT" w:cs="TimesLT"/>
          <w:b/>
          <w:bCs/>
          <w:sz w:val="24"/>
          <w:szCs w:val="24"/>
          <w:lang w:val="lt-LT" w:eastAsia="lt-LT"/>
        </w:rPr>
      </w:pPr>
    </w:p>
    <w:p w:rsidR="009527C3" w:rsidRPr="005C5220" w:rsidRDefault="009527C3" w:rsidP="00456395">
      <w:pPr>
        <w:tabs>
          <w:tab w:val="center" w:pos="3544"/>
          <w:tab w:val="left" w:pos="4962"/>
          <w:tab w:val="right" w:pos="9638"/>
        </w:tabs>
        <w:spacing w:after="0" w:line="240" w:lineRule="auto"/>
        <w:rPr>
          <w:rFonts w:ascii="TimesLT" w:hAnsi="TimesLT" w:cs="TimesLT"/>
          <w:b/>
          <w:bCs/>
          <w:sz w:val="24"/>
          <w:szCs w:val="24"/>
          <w:lang w:val="lt-LT" w:eastAsia="lt-LT"/>
        </w:rPr>
      </w:pPr>
    </w:p>
    <w:tbl>
      <w:tblPr>
        <w:tblW w:w="15334" w:type="dxa"/>
        <w:tblInd w:w="-1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
        <w:gridCol w:w="704"/>
        <w:gridCol w:w="7188"/>
        <w:gridCol w:w="7436"/>
      </w:tblGrid>
      <w:tr w:rsidR="009527C3" w:rsidRPr="005C5220" w:rsidTr="00073865">
        <w:tc>
          <w:tcPr>
            <w:tcW w:w="710" w:type="dxa"/>
            <w:gridSpan w:val="2"/>
          </w:tcPr>
          <w:p w:rsidR="009527C3" w:rsidRPr="005C5220" w:rsidRDefault="009527C3" w:rsidP="00A837E2">
            <w:pPr>
              <w:spacing w:after="0" w:line="240" w:lineRule="auto"/>
              <w:rPr>
                <w:rFonts w:ascii="Times New Roman" w:hAnsi="Times New Roman" w:cs="Times New Roman"/>
                <w:b/>
                <w:bCs/>
                <w:sz w:val="24"/>
                <w:szCs w:val="24"/>
                <w:lang w:val="lt-LT" w:eastAsia="lt-LT"/>
              </w:rPr>
            </w:pPr>
            <w:r w:rsidRPr="005C5220">
              <w:rPr>
                <w:rFonts w:ascii="Times New Roman" w:hAnsi="Times New Roman" w:cs="Times New Roman"/>
                <w:b/>
                <w:bCs/>
                <w:sz w:val="24"/>
                <w:szCs w:val="24"/>
                <w:lang w:val="lt-LT" w:eastAsia="lt-LT"/>
              </w:rPr>
              <w:t xml:space="preserve">Eil. Nr. </w:t>
            </w:r>
          </w:p>
        </w:tc>
        <w:tc>
          <w:tcPr>
            <w:tcW w:w="7188" w:type="dxa"/>
            <w:shd w:val="clear" w:color="auto" w:fill="D9D9D9"/>
            <w:vAlign w:val="center"/>
          </w:tcPr>
          <w:p w:rsidR="009527C3" w:rsidRPr="005C5220" w:rsidRDefault="009527C3" w:rsidP="00A837E2">
            <w:pPr>
              <w:spacing w:after="0" w:line="240" w:lineRule="auto"/>
              <w:jc w:val="center"/>
              <w:rPr>
                <w:rFonts w:ascii="TimesLT" w:hAnsi="TimesLT" w:cs="TimesLT"/>
                <w:sz w:val="24"/>
                <w:szCs w:val="24"/>
                <w:lang w:val="lt-LT" w:eastAsia="lt-LT"/>
              </w:rPr>
            </w:pPr>
            <w:r w:rsidRPr="005C5220">
              <w:rPr>
                <w:rFonts w:ascii="TimesLT" w:hAnsi="TimesLT" w:cs="TimesLT"/>
                <w:sz w:val="24"/>
                <w:szCs w:val="24"/>
                <w:lang w:val="lt-LT" w:eastAsia="lt-LT"/>
              </w:rPr>
              <w:t>Pateiktos pastabos ir pasiūlymai</w:t>
            </w:r>
          </w:p>
        </w:tc>
        <w:tc>
          <w:tcPr>
            <w:tcW w:w="7436" w:type="dxa"/>
            <w:shd w:val="clear" w:color="auto" w:fill="D9D9D9"/>
            <w:vAlign w:val="center"/>
          </w:tcPr>
          <w:p w:rsidR="009527C3" w:rsidRPr="005C5220" w:rsidRDefault="009527C3" w:rsidP="00A837E2">
            <w:pPr>
              <w:spacing w:after="0" w:line="240" w:lineRule="auto"/>
              <w:jc w:val="center"/>
              <w:rPr>
                <w:rFonts w:ascii="TimesLT" w:hAnsi="TimesLT" w:cs="TimesLT"/>
                <w:sz w:val="24"/>
                <w:szCs w:val="24"/>
                <w:lang w:val="lt-LT" w:eastAsia="lt-LT"/>
              </w:rPr>
            </w:pPr>
            <w:r w:rsidRPr="005C5220">
              <w:rPr>
                <w:rFonts w:ascii="TimesLT" w:hAnsi="TimesLT" w:cs="TimesLT"/>
                <w:sz w:val="24"/>
                <w:szCs w:val="24"/>
                <w:lang w:val="lt-LT" w:eastAsia="lt-LT"/>
              </w:rPr>
              <w:t>Išvadų, pasiūlymų ir pastabų vertinimai bei komentarai</w:t>
            </w:r>
          </w:p>
        </w:tc>
      </w:tr>
      <w:tr w:rsidR="009527C3" w:rsidRPr="005C5220" w:rsidTr="00A257F8">
        <w:trPr>
          <w:trHeight w:val="429"/>
        </w:trPr>
        <w:tc>
          <w:tcPr>
            <w:tcW w:w="710" w:type="dxa"/>
            <w:gridSpan w:val="2"/>
          </w:tcPr>
          <w:p w:rsidR="009527C3" w:rsidRPr="005C5220" w:rsidRDefault="00F04A04" w:rsidP="00A837E2">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1</w:t>
            </w:r>
            <w:r w:rsidR="009527C3" w:rsidRPr="005C5220">
              <w:rPr>
                <w:rFonts w:ascii="Times New Roman" w:hAnsi="Times New Roman" w:cs="Times New Roman"/>
                <w:b/>
                <w:bCs/>
                <w:sz w:val="24"/>
                <w:szCs w:val="24"/>
                <w:lang w:val="lt-LT" w:eastAsia="lt-LT"/>
              </w:rPr>
              <w:t>.</w:t>
            </w:r>
          </w:p>
        </w:tc>
        <w:tc>
          <w:tcPr>
            <w:tcW w:w="14624" w:type="dxa"/>
            <w:gridSpan w:val="2"/>
          </w:tcPr>
          <w:p w:rsidR="009527C3" w:rsidRPr="005C5220" w:rsidRDefault="009527C3" w:rsidP="00A837E2">
            <w:pPr>
              <w:widowControl w:val="0"/>
              <w:tabs>
                <w:tab w:val="left" w:pos="2428"/>
                <w:tab w:val="center" w:pos="7135"/>
              </w:tabs>
              <w:suppressAutoHyphens/>
              <w:spacing w:after="0" w:line="240" w:lineRule="auto"/>
              <w:jc w:val="center"/>
              <w:rPr>
                <w:rFonts w:ascii="Times New Roman" w:hAnsi="Times New Roman" w:cs="Times New Roman"/>
                <w:b/>
                <w:bCs/>
                <w:sz w:val="24"/>
                <w:szCs w:val="24"/>
                <w:lang w:val="lt-LT"/>
              </w:rPr>
            </w:pPr>
          </w:p>
          <w:p w:rsidR="009527C3" w:rsidRPr="005C5220" w:rsidRDefault="009527C3" w:rsidP="00A837E2">
            <w:pPr>
              <w:widowControl w:val="0"/>
              <w:tabs>
                <w:tab w:val="left" w:pos="2428"/>
                <w:tab w:val="center" w:pos="7135"/>
              </w:tabs>
              <w:suppressAutoHyphens/>
              <w:spacing w:after="0" w:line="240" w:lineRule="auto"/>
              <w:jc w:val="center"/>
              <w:rPr>
                <w:rFonts w:ascii="Times New Roman" w:hAnsi="Times New Roman" w:cs="Times New Roman"/>
                <w:b/>
                <w:bCs/>
                <w:sz w:val="24"/>
                <w:szCs w:val="24"/>
                <w:lang w:val="lt-LT"/>
              </w:rPr>
            </w:pPr>
            <w:r w:rsidRPr="005C5220">
              <w:rPr>
                <w:rFonts w:ascii="Times New Roman" w:hAnsi="Times New Roman" w:cs="Times New Roman"/>
                <w:b/>
                <w:bCs/>
                <w:sz w:val="24"/>
                <w:szCs w:val="24"/>
                <w:lang w:val="lt-LT"/>
              </w:rPr>
              <w:t xml:space="preserve">Lietuvos </w:t>
            </w:r>
            <w:r w:rsidR="00F04A04">
              <w:rPr>
                <w:rFonts w:ascii="Times New Roman" w:hAnsi="Times New Roman" w:cs="Times New Roman"/>
                <w:b/>
                <w:bCs/>
                <w:sz w:val="24"/>
                <w:szCs w:val="24"/>
                <w:lang w:val="lt-LT"/>
              </w:rPr>
              <w:t>šilumos tiekėjų asociacijos 2017</w:t>
            </w:r>
            <w:r w:rsidRPr="005C5220">
              <w:rPr>
                <w:rFonts w:ascii="Times New Roman" w:hAnsi="Times New Roman" w:cs="Times New Roman"/>
                <w:b/>
                <w:bCs/>
                <w:sz w:val="24"/>
                <w:szCs w:val="24"/>
                <w:lang w:val="lt-LT"/>
              </w:rPr>
              <w:t xml:space="preserve"> m. </w:t>
            </w:r>
            <w:r w:rsidR="00F04A04">
              <w:rPr>
                <w:rFonts w:ascii="Times New Roman" w:hAnsi="Times New Roman" w:cs="Times New Roman"/>
                <w:b/>
                <w:bCs/>
                <w:sz w:val="24"/>
                <w:szCs w:val="24"/>
                <w:lang w:val="lt-LT"/>
              </w:rPr>
              <w:t>gegužės 18</w:t>
            </w:r>
            <w:r w:rsidRPr="005C5220">
              <w:rPr>
                <w:rFonts w:ascii="Times New Roman" w:hAnsi="Times New Roman" w:cs="Times New Roman"/>
                <w:b/>
                <w:bCs/>
                <w:sz w:val="24"/>
                <w:szCs w:val="24"/>
                <w:lang w:val="lt-LT"/>
              </w:rPr>
              <w:t xml:space="preserve"> d. raštu Nr. </w:t>
            </w:r>
            <w:r w:rsidR="00F04A04">
              <w:rPr>
                <w:rFonts w:ascii="Times New Roman" w:hAnsi="Times New Roman" w:cs="Times New Roman"/>
                <w:b/>
                <w:bCs/>
                <w:sz w:val="24"/>
                <w:szCs w:val="24"/>
                <w:lang w:val="lt-LT"/>
              </w:rPr>
              <w:t xml:space="preserve">43 </w:t>
            </w:r>
            <w:r w:rsidRPr="005C5220">
              <w:rPr>
                <w:rFonts w:ascii="Times New Roman" w:hAnsi="Times New Roman" w:cs="Times New Roman"/>
                <w:b/>
                <w:bCs/>
                <w:sz w:val="24"/>
                <w:szCs w:val="24"/>
                <w:lang w:val="lt-LT"/>
              </w:rPr>
              <w:t>pateiktas</w:t>
            </w:r>
          </w:p>
          <w:p w:rsidR="009527C3" w:rsidRPr="005C5220" w:rsidRDefault="00F04A04" w:rsidP="00A837E2">
            <w:pPr>
              <w:widowControl w:val="0"/>
              <w:tabs>
                <w:tab w:val="left" w:pos="2428"/>
                <w:tab w:val="center" w:pos="7135"/>
              </w:tabs>
              <w:suppressAutoHyphens/>
              <w:spacing w:after="0" w:line="240" w:lineRule="auto"/>
              <w:jc w:val="center"/>
              <w:rPr>
                <w:rFonts w:ascii="Times New Roman" w:hAnsi="Times New Roman" w:cs="Times New Roman"/>
                <w:b/>
                <w:bCs/>
                <w:sz w:val="24"/>
                <w:szCs w:val="24"/>
                <w:lang w:val="lt-LT"/>
              </w:rPr>
            </w:pPr>
            <w:r>
              <w:rPr>
                <w:rFonts w:ascii="Times New Roman" w:hAnsi="Times New Roman" w:cs="Times New Roman"/>
                <w:b/>
                <w:bCs/>
                <w:sz w:val="24"/>
                <w:szCs w:val="24"/>
                <w:lang w:val="lt-LT"/>
              </w:rPr>
              <w:t>AB „Panevėžio energija“ 2017</w:t>
            </w:r>
            <w:r w:rsidR="009527C3" w:rsidRPr="005C5220">
              <w:rPr>
                <w:rFonts w:ascii="Times New Roman" w:hAnsi="Times New Roman" w:cs="Times New Roman"/>
                <w:b/>
                <w:bCs/>
                <w:sz w:val="24"/>
                <w:szCs w:val="24"/>
                <w:lang w:val="lt-LT"/>
              </w:rPr>
              <w:t xml:space="preserve"> m. </w:t>
            </w:r>
            <w:r>
              <w:rPr>
                <w:rFonts w:ascii="Times New Roman" w:hAnsi="Times New Roman" w:cs="Times New Roman"/>
                <w:b/>
                <w:bCs/>
                <w:sz w:val="24"/>
                <w:szCs w:val="24"/>
                <w:lang w:val="lt-LT"/>
              </w:rPr>
              <w:t xml:space="preserve">gegužės </w:t>
            </w:r>
            <w:r w:rsidR="009527C3" w:rsidRPr="005C5220">
              <w:rPr>
                <w:rFonts w:ascii="Times New Roman" w:hAnsi="Times New Roman" w:cs="Times New Roman"/>
                <w:b/>
                <w:bCs/>
                <w:sz w:val="24"/>
                <w:szCs w:val="24"/>
                <w:lang w:val="lt-LT"/>
              </w:rPr>
              <w:t xml:space="preserve">16 d. raštas Nr. </w:t>
            </w:r>
            <w:r>
              <w:rPr>
                <w:rFonts w:ascii="Times New Roman" w:hAnsi="Times New Roman" w:cs="Times New Roman"/>
                <w:b/>
                <w:bCs/>
                <w:sz w:val="24"/>
                <w:szCs w:val="24"/>
                <w:lang w:val="lt-LT"/>
              </w:rPr>
              <w:t>242-838</w:t>
            </w:r>
          </w:p>
          <w:p w:rsidR="009527C3" w:rsidRPr="005C5220" w:rsidRDefault="009527C3" w:rsidP="00A837E2">
            <w:pPr>
              <w:widowControl w:val="0"/>
              <w:tabs>
                <w:tab w:val="left" w:pos="2428"/>
                <w:tab w:val="center" w:pos="7135"/>
              </w:tabs>
              <w:suppressAutoHyphens/>
              <w:spacing w:after="0" w:line="240" w:lineRule="auto"/>
              <w:jc w:val="center"/>
              <w:rPr>
                <w:rFonts w:ascii="Times New Roman" w:hAnsi="Times New Roman" w:cs="Times New Roman"/>
                <w:b/>
                <w:bCs/>
                <w:sz w:val="24"/>
                <w:szCs w:val="24"/>
                <w:lang w:val="lt-LT"/>
              </w:rPr>
            </w:pPr>
          </w:p>
        </w:tc>
      </w:tr>
      <w:tr w:rsidR="009527C3" w:rsidRPr="005C5220" w:rsidTr="00073865">
        <w:trPr>
          <w:trHeight w:val="416"/>
        </w:trPr>
        <w:tc>
          <w:tcPr>
            <w:tcW w:w="710" w:type="dxa"/>
            <w:gridSpan w:val="2"/>
          </w:tcPr>
          <w:p w:rsidR="009527C3" w:rsidRPr="005C5220" w:rsidRDefault="00F04A04" w:rsidP="00A837E2">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1</w:t>
            </w:r>
            <w:r w:rsidR="009527C3" w:rsidRPr="005C5220">
              <w:rPr>
                <w:rFonts w:ascii="Times New Roman" w:hAnsi="Times New Roman" w:cs="Times New Roman"/>
                <w:sz w:val="24"/>
                <w:szCs w:val="24"/>
                <w:lang w:val="lt-LT" w:eastAsia="lt-LT"/>
              </w:rPr>
              <w:t>.1</w:t>
            </w:r>
            <w:r w:rsidR="00D03657">
              <w:rPr>
                <w:rFonts w:ascii="Times New Roman" w:hAnsi="Times New Roman" w:cs="Times New Roman"/>
                <w:sz w:val="24"/>
                <w:szCs w:val="24"/>
                <w:lang w:val="lt-LT" w:eastAsia="lt-LT"/>
              </w:rPr>
              <w:t>.</w:t>
            </w:r>
          </w:p>
        </w:tc>
        <w:tc>
          <w:tcPr>
            <w:tcW w:w="7188" w:type="dxa"/>
          </w:tcPr>
          <w:p w:rsidR="009527C3" w:rsidRPr="005C5220" w:rsidRDefault="009527C3" w:rsidP="00A257F8">
            <w:pPr>
              <w:autoSpaceDE w:val="0"/>
              <w:autoSpaceDN w:val="0"/>
              <w:adjustRightInd w:val="0"/>
              <w:spacing w:after="0" w:line="240" w:lineRule="auto"/>
              <w:jc w:val="both"/>
              <w:rPr>
                <w:rFonts w:ascii="Times New Roman" w:hAnsi="Times New Roman" w:cs="Times New Roman"/>
                <w:sz w:val="24"/>
                <w:szCs w:val="24"/>
                <w:lang w:val="lt-LT"/>
              </w:rPr>
            </w:pPr>
            <w:r w:rsidRPr="005C5220">
              <w:rPr>
                <w:rFonts w:ascii="Times New Roman" w:hAnsi="Times New Roman" w:cs="Times New Roman"/>
                <w:sz w:val="24"/>
                <w:szCs w:val="24"/>
                <w:lang w:val="lt-LT"/>
              </w:rPr>
              <w:t>Patei</w:t>
            </w:r>
            <w:r w:rsidR="00E60BC9">
              <w:rPr>
                <w:rFonts w:ascii="Times New Roman" w:hAnsi="Times New Roman" w:cs="Times New Roman"/>
                <w:sz w:val="24"/>
                <w:szCs w:val="24"/>
                <w:lang w:val="lt-LT"/>
              </w:rPr>
              <w:t>kt</w:t>
            </w:r>
            <w:r w:rsidR="00A257F8">
              <w:rPr>
                <w:rFonts w:ascii="Times New Roman" w:hAnsi="Times New Roman" w:cs="Times New Roman"/>
                <w:sz w:val="24"/>
                <w:szCs w:val="24"/>
                <w:lang w:val="lt-LT"/>
              </w:rPr>
              <w:t xml:space="preserve">a pastaba </w:t>
            </w:r>
            <w:r w:rsidR="000A0E34">
              <w:rPr>
                <w:rFonts w:ascii="Times New Roman" w:hAnsi="Times New Roman" w:cs="Times New Roman"/>
                <w:sz w:val="24"/>
                <w:szCs w:val="24"/>
                <w:lang w:val="lt-LT"/>
              </w:rPr>
              <w:t>dėl p</w:t>
            </w:r>
            <w:r w:rsidR="00E60BC9">
              <w:rPr>
                <w:rFonts w:ascii="Times New Roman" w:hAnsi="Times New Roman" w:cs="Times New Roman"/>
                <w:sz w:val="24"/>
                <w:szCs w:val="24"/>
                <w:lang w:val="lt-LT"/>
              </w:rPr>
              <w:t>rojektų atrankos kriterijaus</w:t>
            </w:r>
            <w:r w:rsidR="000A0E34">
              <w:rPr>
                <w:rFonts w:ascii="Times New Roman" w:hAnsi="Times New Roman" w:cs="Times New Roman"/>
                <w:sz w:val="24"/>
                <w:szCs w:val="24"/>
                <w:lang w:val="lt-LT"/>
              </w:rPr>
              <w:t xml:space="preserve"> Nr. 6. </w:t>
            </w:r>
            <w:r w:rsidR="00E60BC9">
              <w:rPr>
                <w:rFonts w:ascii="Times New Roman" w:hAnsi="Times New Roman" w:cs="Times New Roman"/>
                <w:sz w:val="24"/>
                <w:szCs w:val="24"/>
                <w:lang w:val="lt-LT"/>
              </w:rPr>
              <w:t>„Šilumos tiekimo tinklo patikimumas didesnei šilumos vartotojų daliai</w:t>
            </w:r>
            <w:r w:rsidR="00A257F8">
              <w:rPr>
                <w:rFonts w:ascii="Times New Roman" w:hAnsi="Times New Roman" w:cs="Times New Roman"/>
                <w:sz w:val="24"/>
                <w:szCs w:val="24"/>
                <w:lang w:val="lt-LT"/>
              </w:rPr>
              <w:t>“, siūlant patikslinti vartotojų sąvoką. Nurodoma, kad</w:t>
            </w:r>
            <w:r w:rsidR="000A0E34">
              <w:rPr>
                <w:rFonts w:ascii="Times New Roman" w:hAnsi="Times New Roman" w:cs="Times New Roman"/>
                <w:sz w:val="24"/>
                <w:szCs w:val="24"/>
                <w:lang w:val="lt-LT"/>
              </w:rPr>
              <w:t xml:space="preserve"> </w:t>
            </w:r>
            <w:r w:rsidR="00805BC1">
              <w:rPr>
                <w:rFonts w:ascii="Times New Roman" w:hAnsi="Times New Roman" w:cs="Times New Roman"/>
                <w:sz w:val="24"/>
                <w:szCs w:val="24"/>
                <w:lang w:val="lt-LT"/>
              </w:rPr>
              <w:t xml:space="preserve">ne </w:t>
            </w:r>
            <w:r w:rsidR="000A0E34">
              <w:rPr>
                <w:rFonts w:ascii="Times New Roman" w:hAnsi="Times New Roman" w:cs="Times New Roman"/>
                <w:sz w:val="24"/>
                <w:szCs w:val="24"/>
                <w:lang w:val="lt-LT"/>
              </w:rPr>
              <w:t>visada galima palyginti var</w:t>
            </w:r>
            <w:r w:rsidR="00A257F8">
              <w:rPr>
                <w:rFonts w:ascii="Times New Roman" w:hAnsi="Times New Roman" w:cs="Times New Roman"/>
                <w:sz w:val="24"/>
                <w:szCs w:val="24"/>
                <w:lang w:val="lt-LT"/>
              </w:rPr>
              <w:t xml:space="preserve">totojų skaičių ir </w:t>
            </w:r>
            <w:r w:rsidR="000A0E34">
              <w:rPr>
                <w:rFonts w:ascii="Times New Roman" w:hAnsi="Times New Roman" w:cs="Times New Roman"/>
                <w:sz w:val="24"/>
                <w:szCs w:val="24"/>
                <w:lang w:val="lt-LT"/>
              </w:rPr>
              <w:t>patei</w:t>
            </w:r>
            <w:r w:rsidR="00A257F8">
              <w:rPr>
                <w:rFonts w:ascii="Times New Roman" w:hAnsi="Times New Roman" w:cs="Times New Roman"/>
                <w:sz w:val="24"/>
                <w:szCs w:val="24"/>
                <w:lang w:val="lt-LT"/>
              </w:rPr>
              <w:t>kiamas pavyzdys</w:t>
            </w:r>
            <w:r w:rsidR="000A0E34">
              <w:rPr>
                <w:rFonts w:ascii="Times New Roman" w:hAnsi="Times New Roman" w:cs="Times New Roman"/>
                <w:sz w:val="24"/>
                <w:szCs w:val="24"/>
                <w:lang w:val="lt-LT"/>
              </w:rPr>
              <w:t>.</w:t>
            </w:r>
          </w:p>
        </w:tc>
        <w:tc>
          <w:tcPr>
            <w:tcW w:w="7436" w:type="dxa"/>
          </w:tcPr>
          <w:p w:rsidR="000A0E34" w:rsidRDefault="004324F3" w:rsidP="000A0E34">
            <w:pPr>
              <w:widowControl w:val="0"/>
              <w:suppressAutoHyphens/>
              <w:spacing w:after="0" w:line="240" w:lineRule="auto"/>
              <w:jc w:val="both"/>
              <w:rPr>
                <w:rFonts w:ascii="Times New Roman" w:hAnsi="Times New Roman" w:cs="Times New Roman"/>
                <w:sz w:val="24"/>
                <w:szCs w:val="24"/>
                <w:lang w:val="lt-LT"/>
              </w:rPr>
            </w:pPr>
            <w:r w:rsidRPr="005C5220">
              <w:rPr>
                <w:rFonts w:ascii="Times New Roman" w:hAnsi="Times New Roman" w:cs="Times New Roman"/>
                <w:b/>
                <w:i/>
                <w:sz w:val="24"/>
                <w:szCs w:val="24"/>
                <w:lang w:val="lt-LT"/>
              </w:rPr>
              <w:t>Neatsižvelgta.</w:t>
            </w:r>
          </w:p>
          <w:p w:rsidR="009527C3" w:rsidRDefault="000A0E34" w:rsidP="000A0E34">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Šilumos vartotojo</w:t>
            </w:r>
            <w:r w:rsidR="00A1726A">
              <w:rPr>
                <w:rFonts w:ascii="Times New Roman" w:hAnsi="Times New Roman" w:cs="Times New Roman"/>
                <w:sz w:val="24"/>
                <w:szCs w:val="24"/>
                <w:lang w:val="lt-LT"/>
              </w:rPr>
              <w:t xml:space="preserve"> sąvoka apibrėžta Lietuvos Respublikos š</w:t>
            </w:r>
            <w:r>
              <w:rPr>
                <w:rFonts w:ascii="Times New Roman" w:hAnsi="Times New Roman" w:cs="Times New Roman"/>
                <w:sz w:val="24"/>
                <w:szCs w:val="24"/>
                <w:lang w:val="lt-LT"/>
              </w:rPr>
              <w:t xml:space="preserve">ilumos ūkio įstatyme, pagal kurį </w:t>
            </w:r>
            <w:r w:rsidRPr="000A0E34">
              <w:rPr>
                <w:rFonts w:ascii="Times New Roman" w:hAnsi="Times New Roman" w:cs="Times New Roman"/>
                <w:b/>
                <w:sz w:val="24"/>
                <w:szCs w:val="24"/>
                <w:lang w:val="lt-LT"/>
              </w:rPr>
              <w:t>šilumos vartotojas (vartotojas)</w:t>
            </w:r>
            <w:r w:rsidRPr="000A0E34">
              <w:rPr>
                <w:rFonts w:ascii="Times New Roman" w:hAnsi="Times New Roman" w:cs="Times New Roman"/>
                <w:sz w:val="24"/>
                <w:szCs w:val="24"/>
                <w:lang w:val="lt-LT"/>
              </w:rPr>
              <w:t xml:space="preserve"> – juridinis ar fizinis asmuo, kurio naudojami šildymo prietaisai nustatyta tvarka prijungti prie šilumos perdavimo tinklų ar pastatų šildymo ir karšto vandens sistemų.</w:t>
            </w:r>
          </w:p>
          <w:p w:rsidR="00A1726A" w:rsidRDefault="00902757" w:rsidP="00A1726A">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w:t>
            </w:r>
            <w:r w:rsidR="00D81577">
              <w:rPr>
                <w:rFonts w:ascii="Times New Roman" w:hAnsi="Times New Roman" w:cs="Times New Roman"/>
                <w:sz w:val="24"/>
                <w:szCs w:val="24"/>
                <w:lang w:val="lt-LT"/>
              </w:rPr>
              <w:t xml:space="preserve">agal Priemonę įgyvendinamiems projektams taikomas </w:t>
            </w:r>
            <w:r w:rsidR="00DD1910" w:rsidRPr="00DD1910">
              <w:rPr>
                <w:rFonts w:ascii="Times New Roman" w:hAnsi="Times New Roman" w:cs="Times New Roman"/>
                <w:sz w:val="24"/>
                <w:szCs w:val="24"/>
                <w:lang w:val="lt-LT"/>
              </w:rPr>
              <w:t xml:space="preserve">2014–2020 metų Europos Sąjungos fondų investicijų veiksmų programos </w:t>
            </w:r>
            <w:r w:rsidR="00D81577" w:rsidRPr="00D81577">
              <w:rPr>
                <w:rFonts w:ascii="Times New Roman" w:hAnsi="Times New Roman" w:cs="Times New Roman"/>
                <w:sz w:val="24"/>
                <w:szCs w:val="24"/>
                <w:lang w:val="lt-LT"/>
              </w:rPr>
              <w:t>produkto stebėsenos rodikli</w:t>
            </w:r>
            <w:r w:rsidR="00DD1910">
              <w:rPr>
                <w:rFonts w:ascii="Times New Roman" w:hAnsi="Times New Roman" w:cs="Times New Roman"/>
                <w:sz w:val="24"/>
                <w:szCs w:val="24"/>
                <w:lang w:val="lt-LT"/>
              </w:rPr>
              <w:t>s</w:t>
            </w:r>
            <w:r w:rsidR="00D81577" w:rsidRPr="00D81577">
              <w:rPr>
                <w:rFonts w:ascii="Times New Roman" w:hAnsi="Times New Roman" w:cs="Times New Roman"/>
                <w:sz w:val="24"/>
                <w:szCs w:val="24"/>
                <w:lang w:val="lt-LT"/>
              </w:rPr>
              <w:t xml:space="preserve"> „Šilumos vartotojai, kuriems šiluma tiekiama patikimiau ir pagerėjo tiekimo kokybė“ (kodas P.S.318)</w:t>
            </w:r>
            <w:r w:rsidR="00DD1910">
              <w:rPr>
                <w:rFonts w:ascii="Times New Roman" w:hAnsi="Times New Roman" w:cs="Times New Roman"/>
                <w:sz w:val="24"/>
                <w:szCs w:val="24"/>
                <w:lang w:val="lt-LT"/>
              </w:rPr>
              <w:t xml:space="preserve"> ir atsiskaitant už šio rodiklio pasiekimus bei skaičiuojant jo pasiektas reikšmes, </w:t>
            </w:r>
            <w:r>
              <w:rPr>
                <w:rFonts w:ascii="Times New Roman" w:hAnsi="Times New Roman" w:cs="Times New Roman"/>
                <w:b/>
                <w:sz w:val="24"/>
                <w:szCs w:val="24"/>
                <w:lang w:val="lt-LT"/>
              </w:rPr>
              <w:t>skaičiuojami</w:t>
            </w:r>
            <w:r w:rsidR="00DD1910" w:rsidRPr="00DD1910">
              <w:rPr>
                <w:rFonts w:ascii="Times New Roman" w:hAnsi="Times New Roman" w:cs="Times New Roman"/>
                <w:b/>
                <w:sz w:val="24"/>
                <w:szCs w:val="24"/>
                <w:lang w:val="lt-LT"/>
              </w:rPr>
              <w:t xml:space="preserve"> šilumos vartotojai</w:t>
            </w:r>
            <w:r w:rsidR="00DD1910">
              <w:rPr>
                <w:rFonts w:ascii="Times New Roman" w:hAnsi="Times New Roman" w:cs="Times New Roman"/>
                <w:sz w:val="24"/>
                <w:szCs w:val="24"/>
                <w:lang w:val="lt-LT"/>
              </w:rPr>
              <w:t xml:space="preserve"> </w:t>
            </w:r>
            <w:r w:rsidR="006436FA">
              <w:rPr>
                <w:rFonts w:ascii="Times New Roman" w:hAnsi="Times New Roman" w:cs="Times New Roman"/>
                <w:sz w:val="24"/>
                <w:szCs w:val="24"/>
                <w:lang w:val="lt-LT"/>
              </w:rPr>
              <w:t>pagal</w:t>
            </w:r>
            <w:r w:rsidR="006436FA" w:rsidRPr="006436FA">
              <w:rPr>
                <w:rFonts w:ascii="Times New Roman" w:eastAsia="Times New Roman" w:hAnsi="Times New Roman" w:cs="Times New Roman"/>
                <w:sz w:val="24"/>
                <w:szCs w:val="24"/>
                <w:lang w:val="lt-LT" w:eastAsia="lt-LT"/>
              </w:rPr>
              <w:t xml:space="preserve"> </w:t>
            </w:r>
            <w:r w:rsidR="006436FA" w:rsidRPr="006436FA">
              <w:rPr>
                <w:rFonts w:ascii="Times New Roman" w:eastAsia="Times New Roman" w:hAnsi="Times New Roman" w:cs="Times New Roman"/>
                <w:sz w:val="24"/>
                <w:szCs w:val="24"/>
                <w:lang w:val="lt-LT" w:eastAsia="lt-LT"/>
              </w:rPr>
              <w:t>2014–2020 metų Europos Sąjungos fondų investicijų veiksmų programos stebės</w:t>
            </w:r>
            <w:r w:rsidR="006436FA">
              <w:rPr>
                <w:rFonts w:ascii="Times New Roman" w:eastAsia="Times New Roman" w:hAnsi="Times New Roman" w:cs="Times New Roman"/>
                <w:sz w:val="24"/>
                <w:szCs w:val="24"/>
                <w:lang w:val="lt-LT" w:eastAsia="lt-LT"/>
              </w:rPr>
              <w:t>enos rodiklių skaičiavimo aprašą</w:t>
            </w:r>
            <w:r w:rsidR="006436FA" w:rsidRPr="006436FA">
              <w:rPr>
                <w:rFonts w:ascii="Times New Roman" w:eastAsia="Times New Roman" w:hAnsi="Times New Roman" w:cs="Times New Roman"/>
                <w:sz w:val="24"/>
                <w:szCs w:val="24"/>
                <w:lang w:val="lt-LT" w:eastAsia="lt-LT"/>
              </w:rPr>
              <w:t>, patvirtint</w:t>
            </w:r>
            <w:r w:rsidR="006436FA">
              <w:rPr>
                <w:rFonts w:ascii="Times New Roman" w:eastAsia="Times New Roman" w:hAnsi="Times New Roman" w:cs="Times New Roman"/>
                <w:sz w:val="24"/>
                <w:szCs w:val="24"/>
                <w:lang w:val="lt-LT" w:eastAsia="lt-LT"/>
              </w:rPr>
              <w:t>ą</w:t>
            </w:r>
            <w:r w:rsidR="006436FA" w:rsidRPr="006436FA">
              <w:rPr>
                <w:rFonts w:ascii="Times New Roman" w:eastAsia="Times New Roman" w:hAnsi="Times New Roman" w:cs="Times New Roman"/>
                <w:sz w:val="24"/>
                <w:szCs w:val="24"/>
                <w:lang w:val="lt-LT" w:eastAsia="lt-LT"/>
              </w:rPr>
              <w:t xml:space="preserve"> Lietuvos Respublikos finansų ministro 2014</w:t>
            </w:r>
            <w:r w:rsidR="00DD1910">
              <w:rPr>
                <w:rFonts w:ascii="Times New Roman" w:eastAsia="Times New Roman" w:hAnsi="Times New Roman" w:cs="Times New Roman"/>
                <w:sz w:val="24"/>
                <w:szCs w:val="24"/>
                <w:lang w:val="lt-LT" w:eastAsia="lt-LT"/>
              </w:rPr>
              <w:t> </w:t>
            </w:r>
            <w:r w:rsidR="006436FA" w:rsidRPr="006436FA">
              <w:rPr>
                <w:rFonts w:ascii="Times New Roman" w:eastAsia="Times New Roman" w:hAnsi="Times New Roman" w:cs="Times New Roman"/>
                <w:sz w:val="24"/>
                <w:szCs w:val="24"/>
                <w:lang w:val="lt-LT" w:eastAsia="lt-LT"/>
              </w:rPr>
              <w:t>m. gruodžio 30 d. įsakymu Nr. 1K-499 „Dėl 2014–2020 metų Europos Sąjungos fondų investicijų veiksmų programos stebėsenos rodiklių skaičiavimo aprašo patvirtinimo“.</w:t>
            </w:r>
          </w:p>
          <w:p w:rsidR="00A1726A" w:rsidRPr="005C5220" w:rsidRDefault="00DD1910" w:rsidP="00DD1910">
            <w:pPr>
              <w:widowControl w:val="0"/>
              <w:suppressAutoHyphens/>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Atsižvelgiant į aukšč</w:t>
            </w:r>
            <w:r w:rsidR="00902757">
              <w:rPr>
                <w:rFonts w:ascii="Times New Roman" w:hAnsi="Times New Roman" w:cs="Times New Roman"/>
                <w:sz w:val="24"/>
                <w:szCs w:val="24"/>
                <w:lang w:val="lt-LT"/>
              </w:rPr>
              <w:t>iau išdėstytą</w:t>
            </w:r>
            <w:r>
              <w:rPr>
                <w:rFonts w:ascii="Times New Roman" w:hAnsi="Times New Roman" w:cs="Times New Roman"/>
                <w:sz w:val="24"/>
                <w:szCs w:val="24"/>
                <w:lang w:val="lt-LT"/>
              </w:rPr>
              <w:t xml:space="preserve">, šilumos vartotojo sąvoka bei kriterijaus nustatymo ir skaičiavimo principai </w:t>
            </w:r>
            <w:r w:rsidR="00902757">
              <w:rPr>
                <w:rFonts w:ascii="Times New Roman" w:hAnsi="Times New Roman" w:cs="Times New Roman"/>
                <w:sz w:val="24"/>
                <w:szCs w:val="24"/>
                <w:lang w:val="lt-LT"/>
              </w:rPr>
              <w:t>nekeistini.</w:t>
            </w:r>
          </w:p>
        </w:tc>
      </w:tr>
      <w:tr w:rsidR="009527C3" w:rsidRPr="005C5220" w:rsidTr="00A257F8">
        <w:trPr>
          <w:gridBefore w:val="1"/>
          <w:wBefore w:w="6" w:type="dxa"/>
          <w:trHeight w:val="685"/>
        </w:trPr>
        <w:tc>
          <w:tcPr>
            <w:tcW w:w="704" w:type="dxa"/>
          </w:tcPr>
          <w:p w:rsidR="009527C3" w:rsidRPr="005C5220" w:rsidRDefault="00A257F8" w:rsidP="00A837E2">
            <w:pPr>
              <w:spacing w:after="0" w:line="240" w:lineRule="auto"/>
              <w:jc w:val="center"/>
              <w:rPr>
                <w:rFonts w:ascii="Times New Roman" w:hAnsi="Times New Roman" w:cs="Times New Roman"/>
                <w:b/>
                <w:bCs/>
                <w:sz w:val="24"/>
                <w:szCs w:val="24"/>
                <w:lang w:val="lt-LT" w:eastAsia="lt-LT"/>
              </w:rPr>
            </w:pPr>
            <w:r>
              <w:rPr>
                <w:rFonts w:ascii="Times New Roman" w:hAnsi="Times New Roman" w:cs="Times New Roman"/>
                <w:b/>
                <w:bCs/>
                <w:sz w:val="24"/>
                <w:szCs w:val="24"/>
                <w:lang w:val="lt-LT" w:eastAsia="lt-LT"/>
              </w:rPr>
              <w:t>2</w:t>
            </w:r>
            <w:r w:rsidR="009527C3" w:rsidRPr="005C5220">
              <w:rPr>
                <w:rFonts w:ascii="Times New Roman" w:hAnsi="Times New Roman" w:cs="Times New Roman"/>
                <w:b/>
                <w:bCs/>
                <w:sz w:val="24"/>
                <w:szCs w:val="24"/>
                <w:lang w:val="lt-LT" w:eastAsia="lt-LT"/>
              </w:rPr>
              <w:t>.</w:t>
            </w:r>
          </w:p>
        </w:tc>
        <w:tc>
          <w:tcPr>
            <w:tcW w:w="14624" w:type="dxa"/>
            <w:gridSpan w:val="2"/>
          </w:tcPr>
          <w:p w:rsidR="009527C3" w:rsidRPr="005C5220" w:rsidRDefault="009527C3" w:rsidP="009C26B3">
            <w:pPr>
              <w:widowControl w:val="0"/>
              <w:suppressAutoHyphens/>
              <w:spacing w:after="0" w:line="240" w:lineRule="auto"/>
              <w:jc w:val="center"/>
              <w:rPr>
                <w:rFonts w:ascii="Times New Roman" w:hAnsi="Times New Roman" w:cs="Times New Roman"/>
                <w:b/>
                <w:bCs/>
                <w:sz w:val="24"/>
                <w:szCs w:val="24"/>
                <w:lang w:val="lt-LT"/>
              </w:rPr>
            </w:pPr>
          </w:p>
          <w:p w:rsidR="009527C3" w:rsidRPr="005C5220" w:rsidRDefault="009527C3" w:rsidP="00A257F8">
            <w:pPr>
              <w:widowControl w:val="0"/>
              <w:suppressAutoHyphens/>
              <w:spacing w:after="0" w:line="240" w:lineRule="auto"/>
              <w:jc w:val="center"/>
              <w:rPr>
                <w:rFonts w:ascii="Times New Roman" w:hAnsi="Times New Roman" w:cs="Times New Roman"/>
                <w:b/>
                <w:bCs/>
                <w:sz w:val="24"/>
                <w:szCs w:val="24"/>
                <w:lang w:val="lt-LT"/>
              </w:rPr>
            </w:pPr>
            <w:r w:rsidRPr="005C5220">
              <w:rPr>
                <w:rFonts w:ascii="Times New Roman" w:hAnsi="Times New Roman" w:cs="Times New Roman"/>
                <w:b/>
                <w:bCs/>
                <w:sz w:val="24"/>
                <w:szCs w:val="24"/>
                <w:lang w:val="lt-LT"/>
              </w:rPr>
              <w:t xml:space="preserve">Lietuvos šilumos tiekėjų asociacijos </w:t>
            </w:r>
            <w:r w:rsidR="00A257F8" w:rsidRPr="00A257F8">
              <w:rPr>
                <w:rFonts w:ascii="Times New Roman" w:hAnsi="Times New Roman" w:cs="Times New Roman"/>
                <w:b/>
                <w:bCs/>
                <w:sz w:val="24"/>
                <w:szCs w:val="24"/>
                <w:lang w:val="lt-LT"/>
              </w:rPr>
              <w:t xml:space="preserve">2017 m. gegužės 18 d. raštu Nr. 43 </w:t>
            </w:r>
            <w:r w:rsidR="00A257F8">
              <w:rPr>
                <w:rFonts w:ascii="Times New Roman" w:hAnsi="Times New Roman" w:cs="Times New Roman"/>
                <w:b/>
                <w:bCs/>
                <w:sz w:val="24"/>
                <w:szCs w:val="24"/>
                <w:lang w:val="lt-LT"/>
              </w:rPr>
              <w:t>pateiktas</w:t>
            </w:r>
          </w:p>
          <w:p w:rsidR="009527C3" w:rsidRPr="005C5220" w:rsidRDefault="009527C3" w:rsidP="009C26B3">
            <w:pPr>
              <w:widowControl w:val="0"/>
              <w:suppressAutoHyphens/>
              <w:spacing w:after="0" w:line="240" w:lineRule="auto"/>
              <w:jc w:val="center"/>
              <w:rPr>
                <w:rFonts w:ascii="Times New Roman" w:hAnsi="Times New Roman" w:cs="Times New Roman"/>
                <w:b/>
                <w:bCs/>
                <w:sz w:val="24"/>
                <w:szCs w:val="24"/>
                <w:lang w:val="lt-LT"/>
              </w:rPr>
            </w:pPr>
            <w:r w:rsidRPr="005C5220">
              <w:rPr>
                <w:rFonts w:ascii="Times New Roman" w:hAnsi="Times New Roman" w:cs="Times New Roman"/>
                <w:b/>
                <w:bCs/>
                <w:sz w:val="24"/>
                <w:szCs w:val="24"/>
                <w:lang w:val="lt-LT"/>
              </w:rPr>
              <w:t>AB „Šiaulių energija“ 2</w:t>
            </w:r>
            <w:r w:rsidR="00A257F8">
              <w:rPr>
                <w:rFonts w:ascii="Times New Roman" w:hAnsi="Times New Roman" w:cs="Times New Roman"/>
                <w:b/>
                <w:bCs/>
                <w:sz w:val="24"/>
                <w:szCs w:val="24"/>
                <w:lang w:val="lt-LT"/>
              </w:rPr>
              <w:t>017</w:t>
            </w:r>
            <w:r w:rsidRPr="005C5220">
              <w:rPr>
                <w:rFonts w:ascii="Times New Roman" w:hAnsi="Times New Roman" w:cs="Times New Roman"/>
                <w:b/>
                <w:bCs/>
                <w:sz w:val="24"/>
                <w:szCs w:val="24"/>
                <w:lang w:val="lt-LT"/>
              </w:rPr>
              <w:t xml:space="preserve"> m. </w:t>
            </w:r>
            <w:r w:rsidR="00A257F8">
              <w:rPr>
                <w:rFonts w:ascii="Times New Roman" w:hAnsi="Times New Roman" w:cs="Times New Roman"/>
                <w:b/>
                <w:bCs/>
                <w:sz w:val="24"/>
                <w:szCs w:val="24"/>
                <w:lang w:val="lt-LT"/>
              </w:rPr>
              <w:t>gegužės 17 d. raštas Nr. SD-1276</w:t>
            </w:r>
          </w:p>
          <w:p w:rsidR="009527C3" w:rsidRPr="005C5220" w:rsidRDefault="009527C3" w:rsidP="009C26B3">
            <w:pPr>
              <w:widowControl w:val="0"/>
              <w:suppressAutoHyphens/>
              <w:spacing w:after="0" w:line="240" w:lineRule="auto"/>
              <w:jc w:val="center"/>
              <w:rPr>
                <w:rFonts w:ascii="Times New Roman" w:hAnsi="Times New Roman" w:cs="Times New Roman"/>
                <w:b/>
                <w:bCs/>
                <w:sz w:val="24"/>
                <w:szCs w:val="24"/>
                <w:lang w:val="lt-LT"/>
              </w:rPr>
            </w:pPr>
          </w:p>
        </w:tc>
      </w:tr>
      <w:tr w:rsidR="009527C3" w:rsidRPr="005C5220" w:rsidTr="00073865">
        <w:trPr>
          <w:gridBefore w:val="1"/>
          <w:wBefore w:w="6" w:type="dxa"/>
          <w:trHeight w:val="161"/>
        </w:trPr>
        <w:tc>
          <w:tcPr>
            <w:tcW w:w="704" w:type="dxa"/>
          </w:tcPr>
          <w:p w:rsidR="009527C3" w:rsidRPr="005C5220" w:rsidRDefault="00A257F8" w:rsidP="00A837E2">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2</w:t>
            </w:r>
            <w:r w:rsidR="009527C3" w:rsidRPr="005C5220">
              <w:rPr>
                <w:rFonts w:ascii="Times New Roman" w:hAnsi="Times New Roman" w:cs="Times New Roman"/>
                <w:sz w:val="24"/>
                <w:szCs w:val="24"/>
                <w:lang w:val="lt-LT" w:eastAsia="lt-LT"/>
              </w:rPr>
              <w:t>.1.</w:t>
            </w:r>
          </w:p>
        </w:tc>
        <w:tc>
          <w:tcPr>
            <w:tcW w:w="7188" w:type="dxa"/>
          </w:tcPr>
          <w:p w:rsidR="00805BC1" w:rsidRDefault="00805BC1" w:rsidP="00073865">
            <w:pPr>
              <w:spacing w:after="0" w:line="240" w:lineRule="auto"/>
              <w:jc w:val="both"/>
              <w:rPr>
                <w:rFonts w:ascii="Times New Roman" w:hAnsi="Times New Roman" w:cs="Times New Roman"/>
                <w:color w:val="000000"/>
                <w:sz w:val="24"/>
                <w:szCs w:val="24"/>
                <w:lang w:val="lt-LT" w:eastAsia="lt-LT"/>
              </w:rPr>
            </w:pPr>
            <w:r>
              <w:rPr>
                <w:rFonts w:ascii="Times New Roman" w:hAnsi="Times New Roman" w:cs="Times New Roman"/>
                <w:color w:val="000000"/>
                <w:sz w:val="24"/>
                <w:szCs w:val="24"/>
                <w:lang w:val="lt-LT" w:eastAsia="lt-LT"/>
              </w:rPr>
              <w:t>Projektų atrankos kriterijų Nr. 2 „Senesnių šilumos tiekimo tinklų modernizavimas“ ir Nr. 4 „Šilumos nuostolių sumažėjimas modernizuojamuose šilumos tiekimo tinkluose“ formulėse naudojamas rodiklis „</w:t>
            </w:r>
            <w:r w:rsidRPr="00805BC1">
              <w:rPr>
                <w:rFonts w:ascii="Times New Roman" w:hAnsi="Times New Roman" w:cs="Times New Roman"/>
                <w:i/>
                <w:color w:val="000000"/>
                <w:sz w:val="24"/>
                <w:szCs w:val="24"/>
                <w:lang w:val="lt-LT" w:eastAsia="lt-LT"/>
              </w:rPr>
              <w:t>n</w:t>
            </w:r>
            <w:r>
              <w:rPr>
                <w:rFonts w:ascii="Times New Roman" w:hAnsi="Times New Roman" w:cs="Times New Roman"/>
                <w:color w:val="000000"/>
                <w:sz w:val="24"/>
                <w:szCs w:val="24"/>
                <w:lang w:val="lt-LT" w:eastAsia="lt-LT"/>
              </w:rPr>
              <w:t>“ turėtų reikšti tą patį ir turėtų būti įvardijamas vienodai, t. y. „</w:t>
            </w:r>
            <w:r w:rsidRPr="00805BC1">
              <w:rPr>
                <w:rFonts w:ascii="Times New Roman" w:hAnsi="Times New Roman" w:cs="Times New Roman"/>
                <w:i/>
                <w:color w:val="000000"/>
                <w:sz w:val="24"/>
                <w:szCs w:val="24"/>
                <w:lang w:val="lt-LT" w:eastAsia="lt-LT"/>
              </w:rPr>
              <w:t>n</w:t>
            </w:r>
            <w:r>
              <w:rPr>
                <w:rFonts w:ascii="Times New Roman" w:hAnsi="Times New Roman" w:cs="Times New Roman"/>
                <w:color w:val="000000"/>
                <w:sz w:val="24"/>
                <w:szCs w:val="24"/>
                <w:lang w:val="lt-LT" w:eastAsia="lt-LT"/>
              </w:rPr>
              <w:t xml:space="preserve"> – </w:t>
            </w:r>
            <w:r w:rsidRPr="00805BC1">
              <w:rPr>
                <w:rFonts w:ascii="Times New Roman" w:hAnsi="Times New Roman" w:cs="Times New Roman"/>
                <w:i/>
                <w:color w:val="000000"/>
                <w:sz w:val="24"/>
                <w:szCs w:val="24"/>
                <w:lang w:val="lt-LT" w:eastAsia="lt-LT"/>
              </w:rPr>
              <w:t>rekonstruojamų vamzdynų atkarpų skaičius</w:t>
            </w:r>
            <w:r>
              <w:rPr>
                <w:rFonts w:ascii="Times New Roman" w:hAnsi="Times New Roman" w:cs="Times New Roman"/>
                <w:color w:val="000000"/>
                <w:sz w:val="24"/>
                <w:szCs w:val="24"/>
                <w:lang w:val="lt-LT" w:eastAsia="lt-LT"/>
              </w:rPr>
              <w:t xml:space="preserve">“, o kriterijaus Nr.  2 </w:t>
            </w:r>
            <w:r w:rsidRPr="00805BC1">
              <w:rPr>
                <w:rFonts w:ascii="Times New Roman" w:hAnsi="Times New Roman" w:cs="Times New Roman"/>
                <w:color w:val="000000"/>
                <w:sz w:val="24"/>
                <w:szCs w:val="24"/>
                <w:lang w:val="lt-LT" w:eastAsia="lt-LT"/>
              </w:rPr>
              <w:lastRenderedPageBreak/>
              <w:t xml:space="preserve">„Senesnių šilumos tiekimo tinklų modernizavimas“ </w:t>
            </w:r>
            <w:r>
              <w:rPr>
                <w:rFonts w:ascii="Times New Roman" w:hAnsi="Times New Roman" w:cs="Times New Roman"/>
                <w:color w:val="000000"/>
                <w:sz w:val="24"/>
                <w:szCs w:val="24"/>
                <w:lang w:val="lt-LT" w:eastAsia="lt-LT"/>
              </w:rPr>
              <w:t>formulės paaiškinimuose turėtų būti vietoj sąvokos „</w:t>
            </w:r>
            <w:r w:rsidRPr="00805BC1">
              <w:rPr>
                <w:rFonts w:ascii="Times New Roman" w:hAnsi="Times New Roman" w:cs="Times New Roman"/>
                <w:i/>
                <w:color w:val="000000"/>
                <w:sz w:val="24"/>
                <w:szCs w:val="24"/>
                <w:lang w:val="lt-LT" w:eastAsia="lt-LT"/>
              </w:rPr>
              <w:t>vamzdyno</w:t>
            </w:r>
            <w:r>
              <w:rPr>
                <w:rFonts w:ascii="Times New Roman" w:hAnsi="Times New Roman" w:cs="Times New Roman"/>
                <w:color w:val="000000"/>
                <w:sz w:val="24"/>
                <w:szCs w:val="24"/>
                <w:lang w:val="lt-LT" w:eastAsia="lt-LT"/>
              </w:rPr>
              <w:t>“ naudoja</w:t>
            </w:r>
            <w:r w:rsidR="00073865">
              <w:rPr>
                <w:rFonts w:ascii="Times New Roman" w:hAnsi="Times New Roman" w:cs="Times New Roman"/>
                <w:color w:val="000000"/>
                <w:sz w:val="24"/>
                <w:szCs w:val="24"/>
                <w:lang w:val="lt-LT" w:eastAsia="lt-LT"/>
              </w:rPr>
              <w:t xml:space="preserve">ma sąvoka </w:t>
            </w:r>
            <w:r>
              <w:rPr>
                <w:rFonts w:ascii="Times New Roman" w:hAnsi="Times New Roman" w:cs="Times New Roman"/>
                <w:color w:val="000000"/>
                <w:sz w:val="24"/>
                <w:szCs w:val="24"/>
                <w:lang w:val="lt-LT" w:eastAsia="lt-LT"/>
              </w:rPr>
              <w:t>„</w:t>
            </w:r>
            <w:r w:rsidRPr="00805BC1">
              <w:rPr>
                <w:rFonts w:ascii="Times New Roman" w:hAnsi="Times New Roman" w:cs="Times New Roman"/>
                <w:i/>
                <w:color w:val="000000"/>
                <w:sz w:val="24"/>
                <w:szCs w:val="24"/>
                <w:lang w:val="lt-LT" w:eastAsia="lt-LT"/>
              </w:rPr>
              <w:t>vamzdyno atkarpa</w:t>
            </w:r>
            <w:r w:rsidR="00902757">
              <w:rPr>
                <w:rFonts w:ascii="Times New Roman" w:hAnsi="Times New Roman" w:cs="Times New Roman"/>
                <w:color w:val="000000"/>
                <w:sz w:val="24"/>
                <w:szCs w:val="24"/>
                <w:lang w:val="lt-LT" w:eastAsia="lt-LT"/>
              </w:rPr>
              <w:t>“, kadangi atskirų rekonstruojamų vamzdyno atkarpų techniniai duomenys ir amžius gali būti skirtingi, o minėtais nustatytais kriterijais apskaičiuojamas (atskirų projektų įvertinimui) suminis vidutinis visų rekonstruojamų vamzdynų, visų atkarpų rodiklis.</w:t>
            </w:r>
          </w:p>
          <w:p w:rsidR="00D03657" w:rsidRPr="005C5220" w:rsidRDefault="00D03657" w:rsidP="00073865">
            <w:pPr>
              <w:spacing w:after="0" w:line="240" w:lineRule="auto"/>
              <w:jc w:val="both"/>
              <w:rPr>
                <w:rFonts w:ascii="Times New Roman" w:hAnsi="Times New Roman" w:cs="Times New Roman"/>
                <w:color w:val="000000"/>
                <w:sz w:val="24"/>
                <w:szCs w:val="24"/>
                <w:lang w:val="lt-LT" w:eastAsia="lt-LT"/>
              </w:rPr>
            </w:pPr>
          </w:p>
        </w:tc>
        <w:tc>
          <w:tcPr>
            <w:tcW w:w="7436" w:type="dxa"/>
          </w:tcPr>
          <w:p w:rsidR="009527C3" w:rsidRDefault="00073865" w:rsidP="00A257F8">
            <w:pPr>
              <w:widowControl w:val="0"/>
              <w:suppressAutoHyphens/>
              <w:spacing w:after="0" w:line="240" w:lineRule="auto"/>
              <w:jc w:val="both"/>
              <w:rPr>
                <w:rFonts w:ascii="Times New Roman" w:hAnsi="Times New Roman" w:cs="Times New Roman"/>
                <w:b/>
                <w:bCs/>
                <w:i/>
                <w:iCs/>
                <w:sz w:val="24"/>
                <w:szCs w:val="24"/>
                <w:lang w:val="lt-LT"/>
              </w:rPr>
            </w:pPr>
            <w:r>
              <w:rPr>
                <w:rFonts w:ascii="Times New Roman" w:hAnsi="Times New Roman" w:cs="Times New Roman"/>
                <w:b/>
                <w:bCs/>
                <w:i/>
                <w:iCs/>
                <w:sz w:val="24"/>
                <w:szCs w:val="24"/>
                <w:lang w:val="lt-LT"/>
              </w:rPr>
              <w:lastRenderedPageBreak/>
              <w:t>A</w:t>
            </w:r>
            <w:r w:rsidR="00805BC1">
              <w:rPr>
                <w:rFonts w:ascii="Times New Roman" w:hAnsi="Times New Roman" w:cs="Times New Roman"/>
                <w:b/>
                <w:bCs/>
                <w:i/>
                <w:iCs/>
                <w:sz w:val="24"/>
                <w:szCs w:val="24"/>
                <w:lang w:val="lt-LT"/>
              </w:rPr>
              <w:t>tsižvelgta.</w:t>
            </w:r>
          </w:p>
          <w:p w:rsidR="00A257F8" w:rsidRPr="00073865" w:rsidRDefault="00073865" w:rsidP="00073865">
            <w:pPr>
              <w:widowControl w:val="0"/>
              <w:suppressAutoHyphens/>
              <w:spacing w:after="0" w:line="240" w:lineRule="auto"/>
              <w:jc w:val="both"/>
              <w:rPr>
                <w:rFonts w:ascii="Times New Roman" w:hAnsi="Times New Roman" w:cs="Times New Roman"/>
                <w:bCs/>
                <w:iCs/>
                <w:sz w:val="24"/>
                <w:szCs w:val="24"/>
                <w:lang w:val="lt-LT"/>
              </w:rPr>
            </w:pPr>
            <w:r w:rsidRPr="00073865">
              <w:rPr>
                <w:rFonts w:ascii="Times New Roman" w:hAnsi="Times New Roman" w:cs="Times New Roman"/>
                <w:bCs/>
                <w:iCs/>
                <w:sz w:val="24"/>
                <w:szCs w:val="24"/>
                <w:lang w:val="lt-LT"/>
              </w:rPr>
              <w:t>Nurodytų projektų atrankos kriterijų vertinimo aspektuose pateiktų</w:t>
            </w:r>
            <w:r>
              <w:rPr>
                <w:rFonts w:ascii="Times New Roman" w:hAnsi="Times New Roman" w:cs="Times New Roman"/>
                <w:bCs/>
                <w:iCs/>
                <w:sz w:val="24"/>
                <w:szCs w:val="24"/>
                <w:lang w:val="lt-LT"/>
              </w:rPr>
              <w:t xml:space="preserve"> skaičiavimo</w:t>
            </w:r>
            <w:r w:rsidRPr="00073865">
              <w:rPr>
                <w:rFonts w:ascii="Times New Roman" w:hAnsi="Times New Roman" w:cs="Times New Roman"/>
                <w:bCs/>
                <w:iCs/>
                <w:sz w:val="24"/>
                <w:szCs w:val="24"/>
                <w:lang w:val="lt-LT"/>
              </w:rPr>
              <w:t xml:space="preserve"> formulių paaiškinimai patikslinti.</w:t>
            </w:r>
          </w:p>
        </w:tc>
      </w:tr>
      <w:tr w:rsidR="009527C3" w:rsidRPr="005C5220" w:rsidTr="00A257F8">
        <w:trPr>
          <w:gridBefore w:val="1"/>
          <w:wBefore w:w="6" w:type="dxa"/>
          <w:trHeight w:val="352"/>
        </w:trPr>
        <w:tc>
          <w:tcPr>
            <w:tcW w:w="704" w:type="dxa"/>
          </w:tcPr>
          <w:p w:rsidR="009527C3" w:rsidRPr="00A257F8" w:rsidRDefault="00A257F8" w:rsidP="00D170F7">
            <w:pPr>
              <w:spacing w:after="0" w:line="240" w:lineRule="auto"/>
              <w:jc w:val="center"/>
              <w:rPr>
                <w:rFonts w:ascii="Times New Roman" w:hAnsi="Times New Roman" w:cs="Times New Roman"/>
                <w:b/>
                <w:sz w:val="24"/>
                <w:szCs w:val="24"/>
                <w:lang w:val="lt-LT" w:eastAsia="lt-LT"/>
              </w:rPr>
            </w:pPr>
            <w:r w:rsidRPr="00A257F8">
              <w:rPr>
                <w:rFonts w:ascii="Times New Roman" w:hAnsi="Times New Roman" w:cs="Times New Roman"/>
                <w:b/>
                <w:sz w:val="24"/>
                <w:szCs w:val="24"/>
                <w:lang w:val="lt-LT" w:eastAsia="lt-LT"/>
              </w:rPr>
              <w:t>3.</w:t>
            </w:r>
          </w:p>
        </w:tc>
        <w:tc>
          <w:tcPr>
            <w:tcW w:w="14624" w:type="dxa"/>
            <w:gridSpan w:val="2"/>
          </w:tcPr>
          <w:p w:rsidR="00A257F8" w:rsidRDefault="00A257F8" w:rsidP="00A257F8">
            <w:pPr>
              <w:widowControl w:val="0"/>
              <w:suppressAutoHyphens/>
              <w:spacing w:after="0" w:line="240" w:lineRule="auto"/>
              <w:jc w:val="center"/>
              <w:rPr>
                <w:rFonts w:ascii="Times New Roman" w:hAnsi="Times New Roman" w:cs="Times New Roman"/>
                <w:b/>
                <w:bCs/>
                <w:sz w:val="24"/>
                <w:szCs w:val="24"/>
                <w:lang w:val="lt-LT"/>
              </w:rPr>
            </w:pPr>
          </w:p>
          <w:p w:rsidR="008F74F0" w:rsidRPr="005C5220" w:rsidRDefault="00A257F8" w:rsidP="00A257F8">
            <w:pPr>
              <w:widowControl w:val="0"/>
              <w:suppressAutoHyphens/>
              <w:spacing w:after="0" w:line="240" w:lineRule="auto"/>
              <w:jc w:val="center"/>
              <w:rPr>
                <w:rFonts w:ascii="Times New Roman" w:hAnsi="Times New Roman" w:cs="Times New Roman"/>
                <w:b/>
                <w:bCs/>
                <w:sz w:val="24"/>
                <w:szCs w:val="24"/>
                <w:lang w:val="lt-LT"/>
              </w:rPr>
            </w:pPr>
            <w:r w:rsidRPr="00A257F8">
              <w:rPr>
                <w:rFonts w:ascii="Times New Roman" w:hAnsi="Times New Roman" w:cs="Times New Roman"/>
                <w:b/>
                <w:bCs/>
                <w:sz w:val="24"/>
                <w:szCs w:val="24"/>
                <w:lang w:val="lt-LT"/>
              </w:rPr>
              <w:t>Lietuvos šilumos tiekėjų asociacijos 2017 m. gegužės 18 d. raštu Nr. 43 pateiktas</w:t>
            </w:r>
          </w:p>
          <w:p w:rsidR="009527C3" w:rsidRPr="005C5220" w:rsidRDefault="009527C3" w:rsidP="008F74F0">
            <w:pPr>
              <w:widowControl w:val="0"/>
              <w:suppressAutoHyphens/>
              <w:spacing w:after="0" w:line="240" w:lineRule="auto"/>
              <w:jc w:val="center"/>
              <w:rPr>
                <w:rFonts w:ascii="Times New Roman" w:hAnsi="Times New Roman" w:cs="Times New Roman"/>
                <w:b/>
                <w:bCs/>
                <w:sz w:val="24"/>
                <w:szCs w:val="24"/>
                <w:lang w:val="lt-LT"/>
              </w:rPr>
            </w:pPr>
            <w:r w:rsidRPr="005C5220">
              <w:rPr>
                <w:rFonts w:ascii="Times New Roman" w:hAnsi="Times New Roman" w:cs="Times New Roman"/>
                <w:b/>
                <w:bCs/>
                <w:sz w:val="24"/>
                <w:szCs w:val="24"/>
                <w:lang w:val="lt-LT"/>
              </w:rPr>
              <w:t>AB</w:t>
            </w:r>
            <w:r w:rsidR="00A257F8">
              <w:rPr>
                <w:rFonts w:ascii="Times New Roman" w:hAnsi="Times New Roman" w:cs="Times New Roman"/>
                <w:b/>
                <w:bCs/>
                <w:sz w:val="24"/>
                <w:szCs w:val="24"/>
                <w:lang w:val="lt-LT"/>
              </w:rPr>
              <w:t xml:space="preserve"> „Vilniaus šilumos tinklai“ 2017 m. spalio 18</w:t>
            </w:r>
            <w:r w:rsidRPr="005C5220">
              <w:rPr>
                <w:rFonts w:ascii="Times New Roman" w:hAnsi="Times New Roman" w:cs="Times New Roman"/>
                <w:b/>
                <w:bCs/>
                <w:sz w:val="24"/>
                <w:szCs w:val="24"/>
                <w:lang w:val="lt-LT"/>
              </w:rPr>
              <w:t xml:space="preserve"> d. raštas Nr. </w:t>
            </w:r>
            <w:r w:rsidR="00A257F8">
              <w:rPr>
                <w:rFonts w:ascii="Times New Roman" w:hAnsi="Times New Roman" w:cs="Times New Roman"/>
                <w:b/>
                <w:bCs/>
                <w:sz w:val="24"/>
                <w:szCs w:val="24"/>
                <w:lang w:val="lt-LT"/>
              </w:rPr>
              <w:t>841</w:t>
            </w:r>
          </w:p>
          <w:p w:rsidR="008F74F0" w:rsidRPr="005C5220" w:rsidRDefault="008F74F0" w:rsidP="008F74F0">
            <w:pPr>
              <w:widowControl w:val="0"/>
              <w:suppressAutoHyphens/>
              <w:spacing w:after="0" w:line="240" w:lineRule="auto"/>
              <w:jc w:val="center"/>
              <w:rPr>
                <w:rFonts w:ascii="Times New Roman" w:hAnsi="Times New Roman" w:cs="Times New Roman"/>
                <w:b/>
                <w:bCs/>
                <w:sz w:val="24"/>
                <w:szCs w:val="24"/>
                <w:lang w:val="lt-LT"/>
              </w:rPr>
            </w:pPr>
          </w:p>
        </w:tc>
      </w:tr>
      <w:tr w:rsidR="009527C3" w:rsidRPr="005C5220" w:rsidTr="00073865">
        <w:trPr>
          <w:gridBefore w:val="1"/>
          <w:wBefore w:w="6" w:type="dxa"/>
          <w:trHeight w:val="930"/>
        </w:trPr>
        <w:tc>
          <w:tcPr>
            <w:tcW w:w="704" w:type="dxa"/>
          </w:tcPr>
          <w:p w:rsidR="009527C3" w:rsidRPr="005C5220" w:rsidRDefault="00A257F8" w:rsidP="00D170F7">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9527C3" w:rsidRPr="005C5220">
              <w:rPr>
                <w:rFonts w:ascii="Times New Roman" w:hAnsi="Times New Roman" w:cs="Times New Roman"/>
                <w:sz w:val="24"/>
                <w:szCs w:val="24"/>
                <w:lang w:val="lt-LT" w:eastAsia="lt-LT"/>
              </w:rPr>
              <w:t>.1.</w:t>
            </w:r>
          </w:p>
        </w:tc>
        <w:tc>
          <w:tcPr>
            <w:tcW w:w="7188" w:type="dxa"/>
          </w:tcPr>
          <w:p w:rsidR="009527C3" w:rsidRDefault="000910A8" w:rsidP="000910A8">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Pateikta pastaba</w:t>
            </w:r>
            <w:r w:rsidR="00073865">
              <w:rPr>
                <w:rFonts w:ascii="Times New Roman" w:hAnsi="Times New Roman" w:cs="Times New Roman"/>
                <w:sz w:val="24"/>
                <w:szCs w:val="24"/>
                <w:lang w:val="lt-LT"/>
              </w:rPr>
              <w:t>, jog Lietuvos Respublikos energetikos ministerijos</w:t>
            </w:r>
            <w:r w:rsidR="001B3A56">
              <w:rPr>
                <w:rFonts w:ascii="Times New Roman" w:hAnsi="Times New Roman" w:cs="Times New Roman"/>
                <w:sz w:val="24"/>
                <w:szCs w:val="24"/>
                <w:lang w:val="lt-LT"/>
              </w:rPr>
              <w:t xml:space="preserve"> (toliau – Energetikos ministerija)</w:t>
            </w:r>
            <w:r w:rsidR="00073865">
              <w:rPr>
                <w:rFonts w:ascii="Times New Roman" w:hAnsi="Times New Roman" w:cs="Times New Roman"/>
                <w:sz w:val="24"/>
                <w:szCs w:val="24"/>
                <w:lang w:val="lt-LT"/>
              </w:rPr>
              <w:t xml:space="preserve"> 2017</w:t>
            </w:r>
            <w:r>
              <w:rPr>
                <w:rFonts w:ascii="Times New Roman" w:hAnsi="Times New Roman" w:cs="Times New Roman"/>
                <w:sz w:val="24"/>
                <w:szCs w:val="24"/>
                <w:lang w:val="lt-LT"/>
              </w:rPr>
              <w:t> </w:t>
            </w:r>
            <w:r w:rsidR="00073865">
              <w:rPr>
                <w:rFonts w:ascii="Times New Roman" w:hAnsi="Times New Roman" w:cs="Times New Roman"/>
                <w:sz w:val="24"/>
                <w:szCs w:val="24"/>
                <w:lang w:val="lt-LT"/>
              </w:rPr>
              <w:t xml:space="preserve">m. gegužės 12 d. rašto Nr. (18.4-17)3-948 antroje pastraipoje nurodoma, kad siūlomas naujas kriterijus taikomas remiamai veiklai „Šilumos tiekimo tinklų plėtra“, tuo tarpu pačiame kriterijų keitimo projekte nurodoma, kad naujasis kriterijus taikomas remiamoms veikloms </w:t>
            </w:r>
            <w:r w:rsidR="00073865" w:rsidRPr="00073865">
              <w:rPr>
                <w:rFonts w:ascii="Times New Roman" w:hAnsi="Times New Roman" w:cs="Times New Roman"/>
                <w:sz w:val="24"/>
                <w:szCs w:val="24"/>
                <w:lang w:val="lt-LT"/>
              </w:rPr>
              <w:t>„Šilumos tiekimo tinklų modernizavimas, didinant šilumos tiekimo patikimumą ir mažinant šilumos nuostolius“ ir „Šilumos tiekimo tinklų plėtra“.</w:t>
            </w:r>
          </w:p>
          <w:p w:rsidR="00D03657" w:rsidRPr="005C5220" w:rsidRDefault="00D03657" w:rsidP="000910A8">
            <w:pPr>
              <w:autoSpaceDE w:val="0"/>
              <w:autoSpaceDN w:val="0"/>
              <w:adjustRightInd w:val="0"/>
              <w:spacing w:after="0" w:line="240" w:lineRule="auto"/>
              <w:jc w:val="both"/>
              <w:rPr>
                <w:rFonts w:ascii="Times New Roman" w:hAnsi="Times New Roman" w:cs="Times New Roman"/>
                <w:sz w:val="24"/>
                <w:szCs w:val="24"/>
                <w:lang w:val="lt-LT"/>
              </w:rPr>
            </w:pPr>
          </w:p>
        </w:tc>
        <w:tc>
          <w:tcPr>
            <w:tcW w:w="7436" w:type="dxa"/>
          </w:tcPr>
          <w:p w:rsidR="009527C3" w:rsidRPr="000910A8" w:rsidRDefault="000910A8" w:rsidP="000910A8">
            <w:pPr>
              <w:widowControl w:val="0"/>
              <w:suppressAutoHyphens/>
              <w:spacing w:after="0" w:line="240" w:lineRule="auto"/>
              <w:jc w:val="both"/>
              <w:rPr>
                <w:rFonts w:ascii="Times New Roman" w:hAnsi="Times New Roman" w:cs="Times New Roman"/>
                <w:b/>
                <w:bCs/>
                <w:i/>
                <w:sz w:val="24"/>
                <w:szCs w:val="24"/>
                <w:lang w:val="lt-LT"/>
              </w:rPr>
            </w:pPr>
            <w:r w:rsidRPr="000910A8">
              <w:rPr>
                <w:rFonts w:ascii="Times New Roman" w:hAnsi="Times New Roman" w:cs="Times New Roman"/>
                <w:b/>
                <w:bCs/>
                <w:i/>
                <w:sz w:val="24"/>
                <w:szCs w:val="24"/>
                <w:lang w:val="lt-LT"/>
              </w:rPr>
              <w:t xml:space="preserve">Paaiškinimas. </w:t>
            </w:r>
          </w:p>
          <w:p w:rsidR="000910A8" w:rsidRPr="000910A8" w:rsidRDefault="000910A8" w:rsidP="00C357A4">
            <w:pPr>
              <w:widowControl w:val="0"/>
              <w:suppressAutoHyphens/>
              <w:spacing w:after="0" w:line="240" w:lineRule="auto"/>
              <w:jc w:val="both"/>
              <w:rPr>
                <w:rFonts w:ascii="Times New Roman" w:hAnsi="Times New Roman" w:cs="Times New Roman"/>
                <w:bCs/>
                <w:sz w:val="24"/>
                <w:szCs w:val="24"/>
                <w:lang w:val="lt-LT"/>
              </w:rPr>
            </w:pPr>
            <w:r w:rsidRPr="000910A8">
              <w:rPr>
                <w:rFonts w:ascii="Times New Roman" w:eastAsia="Times New Roman" w:hAnsi="Times New Roman" w:cs="Times New Roman"/>
                <w:sz w:val="24"/>
                <w:szCs w:val="20"/>
                <w:lang w:val="lt-LT"/>
              </w:rPr>
              <w:t xml:space="preserve">Pasiūlymų dėl projektų atrankos kriterijų nustatymo ir keitimo projekte </w:t>
            </w:r>
            <w:r>
              <w:rPr>
                <w:rFonts w:ascii="Times New Roman" w:eastAsia="Times New Roman" w:hAnsi="Times New Roman" w:cs="Times New Roman"/>
                <w:sz w:val="24"/>
                <w:szCs w:val="20"/>
                <w:lang w:val="lt-LT"/>
              </w:rPr>
              <w:t xml:space="preserve">nurodomi </w:t>
            </w:r>
            <w:r w:rsidRPr="000910A8">
              <w:rPr>
                <w:rFonts w:ascii="Times New Roman" w:eastAsia="Times New Roman" w:hAnsi="Times New Roman" w:cs="Times New Roman"/>
                <w:sz w:val="24"/>
                <w:szCs w:val="20"/>
                <w:lang w:val="lt-LT"/>
              </w:rPr>
              <w:t>projektų atrankos kriterijai</w:t>
            </w:r>
            <w:r w:rsidR="001B3A56">
              <w:rPr>
                <w:rFonts w:ascii="Times New Roman" w:eastAsia="Times New Roman" w:hAnsi="Times New Roman" w:cs="Times New Roman"/>
                <w:sz w:val="24"/>
                <w:szCs w:val="20"/>
                <w:lang w:val="lt-LT"/>
              </w:rPr>
              <w:t xml:space="preserve"> (nustatomi arba keičiami)</w:t>
            </w:r>
            <w:bookmarkStart w:id="0" w:name="_GoBack"/>
            <w:bookmarkEnd w:id="0"/>
            <w:r>
              <w:rPr>
                <w:rFonts w:ascii="Times New Roman" w:eastAsia="Times New Roman" w:hAnsi="Times New Roman" w:cs="Times New Roman"/>
                <w:sz w:val="24"/>
                <w:szCs w:val="20"/>
                <w:lang w:val="lt-LT"/>
              </w:rPr>
              <w:t xml:space="preserve"> ir jų taiky</w:t>
            </w:r>
            <w:r w:rsidR="00C357A4">
              <w:rPr>
                <w:rFonts w:ascii="Times New Roman" w:eastAsia="Times New Roman" w:hAnsi="Times New Roman" w:cs="Times New Roman"/>
                <w:sz w:val="24"/>
                <w:szCs w:val="20"/>
                <w:lang w:val="lt-LT"/>
              </w:rPr>
              <w:t xml:space="preserve">mas </w:t>
            </w:r>
            <w:r w:rsidRPr="000910A8">
              <w:rPr>
                <w:rFonts w:ascii="Times New Roman" w:eastAsia="Times New Roman" w:hAnsi="Times New Roman" w:cs="Times New Roman"/>
                <w:sz w:val="24"/>
                <w:szCs w:val="20"/>
                <w:lang w:val="lt-LT"/>
              </w:rPr>
              <w:t>pagal priemonės remia</w:t>
            </w:r>
            <w:r>
              <w:rPr>
                <w:rFonts w:ascii="Times New Roman" w:eastAsia="Times New Roman" w:hAnsi="Times New Roman" w:cs="Times New Roman"/>
                <w:sz w:val="24"/>
                <w:szCs w:val="20"/>
                <w:lang w:val="lt-LT"/>
              </w:rPr>
              <w:t xml:space="preserve">mas veiklas </w:t>
            </w:r>
            <w:r w:rsidRPr="000910A8">
              <w:rPr>
                <w:rFonts w:ascii="Times New Roman" w:eastAsia="Times New Roman" w:hAnsi="Times New Roman" w:cs="Times New Roman"/>
                <w:sz w:val="24"/>
                <w:szCs w:val="20"/>
                <w:lang w:val="lt-LT"/>
              </w:rPr>
              <w:t>finansuojamiems projektams</w:t>
            </w:r>
            <w:r>
              <w:rPr>
                <w:rFonts w:ascii="Times New Roman" w:eastAsia="Times New Roman" w:hAnsi="Times New Roman" w:cs="Times New Roman"/>
                <w:sz w:val="24"/>
                <w:szCs w:val="20"/>
                <w:lang w:val="lt-LT"/>
              </w:rPr>
              <w:t>.</w:t>
            </w:r>
          </w:p>
        </w:tc>
      </w:tr>
      <w:tr w:rsidR="009527C3" w:rsidRPr="005C5220" w:rsidTr="00073865">
        <w:trPr>
          <w:gridBefore w:val="1"/>
          <w:wBefore w:w="6" w:type="dxa"/>
          <w:trHeight w:val="983"/>
        </w:trPr>
        <w:tc>
          <w:tcPr>
            <w:tcW w:w="704" w:type="dxa"/>
          </w:tcPr>
          <w:p w:rsidR="009527C3" w:rsidRPr="005C5220" w:rsidRDefault="00A257F8" w:rsidP="00D170F7">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9527C3" w:rsidRPr="005C5220">
              <w:rPr>
                <w:rFonts w:ascii="Times New Roman" w:hAnsi="Times New Roman" w:cs="Times New Roman"/>
                <w:sz w:val="24"/>
                <w:szCs w:val="24"/>
                <w:lang w:val="lt-LT" w:eastAsia="lt-LT"/>
              </w:rPr>
              <w:t>.2.</w:t>
            </w:r>
          </w:p>
        </w:tc>
        <w:tc>
          <w:tcPr>
            <w:tcW w:w="7188" w:type="dxa"/>
          </w:tcPr>
          <w:p w:rsidR="00CD19E2" w:rsidRPr="005C5220" w:rsidRDefault="00CD19E2" w:rsidP="00CD19E2">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 xml:space="preserve">Pateikta pastaba, jog dauguma projektų atrankos kriterijų nesikeičia, bet jų įtaką įvertinti sunku nežinant, ar keičiasi lyginamasis kriterijaus svoris, t. y. kiek už kiekvieną kriterijų skiriama balų. Pateikiamas siūlymas Energetikos ministerijai suderinti planuojamus kriterijų svorius prieš juos patvirtinant. </w:t>
            </w:r>
          </w:p>
        </w:tc>
        <w:tc>
          <w:tcPr>
            <w:tcW w:w="7436" w:type="dxa"/>
          </w:tcPr>
          <w:p w:rsidR="00064845" w:rsidRDefault="00CD19E2" w:rsidP="00CD19E2">
            <w:pPr>
              <w:widowControl w:val="0"/>
              <w:suppressAutoHyphens/>
              <w:spacing w:after="0" w:line="240" w:lineRule="auto"/>
              <w:jc w:val="both"/>
              <w:rPr>
                <w:rFonts w:ascii="Times New Roman" w:hAnsi="Times New Roman" w:cs="Times New Roman"/>
                <w:b/>
                <w:i/>
                <w:sz w:val="24"/>
                <w:szCs w:val="24"/>
                <w:lang w:val="lt-LT"/>
              </w:rPr>
            </w:pPr>
            <w:r w:rsidRPr="00CD19E2">
              <w:rPr>
                <w:rFonts w:ascii="Times New Roman" w:hAnsi="Times New Roman" w:cs="Times New Roman"/>
                <w:b/>
                <w:i/>
                <w:sz w:val="24"/>
                <w:szCs w:val="24"/>
                <w:lang w:val="lt-LT"/>
              </w:rPr>
              <w:t>Paaiškinimas.</w:t>
            </w:r>
          </w:p>
          <w:p w:rsidR="000A0DAF" w:rsidRDefault="00171FE2" w:rsidP="000A0DAF">
            <w:pPr>
              <w:widowControl w:val="0"/>
              <w:suppressAutoHyphens/>
              <w:spacing w:after="0" w:line="240" w:lineRule="auto"/>
              <w:jc w:val="both"/>
              <w:rPr>
                <w:rFonts w:ascii="Times New Roman" w:eastAsia="Times New Roman" w:hAnsi="Times New Roman" w:cs="Times New Roman"/>
                <w:sz w:val="24"/>
                <w:szCs w:val="24"/>
                <w:vertAlign w:val="superscript"/>
                <w:lang w:val="lt-LT" w:eastAsia="lt-LT"/>
              </w:rPr>
            </w:pPr>
            <w:r w:rsidRPr="00171FE2">
              <w:rPr>
                <w:rFonts w:ascii="Times New Roman" w:hAnsi="Times New Roman" w:cs="Times New Roman"/>
                <w:sz w:val="24"/>
                <w:szCs w:val="24"/>
                <w:lang w:val="lt-LT"/>
              </w:rPr>
              <w:t>Pro</w:t>
            </w:r>
            <w:r w:rsidR="000A0DAF">
              <w:rPr>
                <w:rFonts w:ascii="Times New Roman" w:hAnsi="Times New Roman" w:cs="Times New Roman"/>
                <w:sz w:val="24"/>
                <w:szCs w:val="24"/>
                <w:lang w:val="lt-LT"/>
              </w:rPr>
              <w:t>jektų finansavimo sąlygų aprašo ar jo keitimo projektai</w:t>
            </w:r>
            <w:r w:rsidRPr="00171FE2">
              <w:rPr>
                <w:rFonts w:ascii="Times New Roman" w:hAnsi="Times New Roman" w:cs="Times New Roman"/>
                <w:sz w:val="24"/>
                <w:szCs w:val="24"/>
                <w:lang w:val="lt-LT"/>
              </w:rPr>
              <w:t>, kuri</w:t>
            </w:r>
            <w:r w:rsidR="000A0DAF">
              <w:rPr>
                <w:rFonts w:ascii="Times New Roman" w:hAnsi="Times New Roman" w:cs="Times New Roman"/>
                <w:sz w:val="24"/>
                <w:szCs w:val="24"/>
                <w:lang w:val="lt-LT"/>
              </w:rPr>
              <w:t>uose</w:t>
            </w:r>
            <w:r w:rsidRPr="00171FE2">
              <w:rPr>
                <w:rFonts w:ascii="Times New Roman" w:hAnsi="Times New Roman" w:cs="Times New Roman"/>
                <w:sz w:val="24"/>
                <w:szCs w:val="24"/>
                <w:lang w:val="lt-LT"/>
              </w:rPr>
              <w:t xml:space="preserve"> nurodomi prioritetiniai projektų atrankos kriterijai, pagal kuriuos vertinami projektai naudos ir kokybės vertinimo metu, </w:t>
            </w:r>
            <w:r w:rsidR="000A0DAF">
              <w:rPr>
                <w:rFonts w:ascii="Times New Roman" w:hAnsi="Times New Roman" w:cs="Times New Roman"/>
                <w:sz w:val="24"/>
                <w:szCs w:val="24"/>
                <w:lang w:val="lt-LT"/>
              </w:rPr>
              <w:t>derinami</w:t>
            </w:r>
            <w:r>
              <w:rPr>
                <w:rFonts w:ascii="Times New Roman" w:hAnsi="Times New Roman" w:cs="Times New Roman"/>
                <w:sz w:val="24"/>
                <w:szCs w:val="24"/>
                <w:lang w:val="lt-LT"/>
              </w:rPr>
              <w:t xml:space="preserve"> </w:t>
            </w:r>
            <w:r w:rsidRPr="00171FE2">
              <w:rPr>
                <w:rFonts w:ascii="Times New Roman" w:eastAsia="Times New Roman" w:hAnsi="Times New Roman" w:cs="Times New Roman"/>
                <w:sz w:val="24"/>
                <w:szCs w:val="24"/>
                <w:lang w:val="lt-LT" w:eastAsia="lt-LT"/>
              </w:rPr>
              <w:t>2014–2020 metų Europos Sąjungos fondų investicijų veiksmų programos administravimo taisyklių, patvirtintų Lietuvos Respublikos Vyriausybės 2014 m. spalio 3 d. nutarimu Nr. 1090 „Dėl 2014–2020 metų Europos Sąjungos fondų investicijų veiksmų programos administravimo taisyklių patvirtinimo“</w:t>
            </w:r>
            <w:r w:rsidR="000A0DAF">
              <w:rPr>
                <w:rFonts w:ascii="Times New Roman" w:eastAsia="Times New Roman" w:hAnsi="Times New Roman" w:cs="Times New Roman"/>
                <w:sz w:val="24"/>
                <w:szCs w:val="24"/>
                <w:lang w:val="lt-LT" w:eastAsia="lt-LT"/>
              </w:rPr>
              <w:t>, 68-</w:t>
            </w:r>
          </w:p>
          <w:p w:rsidR="00171FE2" w:rsidRDefault="000A0DAF" w:rsidP="000A0DAF">
            <w:pPr>
              <w:widowControl w:val="0"/>
              <w:suppressAutoHyphens/>
              <w:spacing w:after="0" w:line="240" w:lineRule="auto"/>
              <w:jc w:val="both"/>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69</w:t>
            </w:r>
            <w:r>
              <w:rPr>
                <w:rFonts w:ascii="Times New Roman" w:eastAsia="Times New Roman" w:hAnsi="Times New Roman" w:cs="Times New Roman"/>
                <w:sz w:val="24"/>
                <w:szCs w:val="24"/>
                <w:vertAlign w:val="superscript"/>
                <w:lang w:val="lt-LT" w:eastAsia="lt-LT"/>
              </w:rPr>
              <w:t xml:space="preserve">1 </w:t>
            </w:r>
            <w:r>
              <w:rPr>
                <w:rFonts w:ascii="Times New Roman" w:eastAsia="Times New Roman" w:hAnsi="Times New Roman" w:cs="Times New Roman"/>
                <w:sz w:val="24"/>
                <w:szCs w:val="24"/>
                <w:lang w:val="lt-LT" w:eastAsia="lt-LT"/>
              </w:rPr>
              <w:t xml:space="preserve"> </w:t>
            </w:r>
            <w:r w:rsidRPr="00D03657">
              <w:rPr>
                <w:rFonts w:ascii="Times New Roman" w:eastAsia="Times New Roman" w:hAnsi="Times New Roman" w:cs="Times New Roman"/>
                <w:sz w:val="24"/>
                <w:szCs w:val="24"/>
                <w:lang w:val="lt-LT" w:eastAsia="lt-LT"/>
              </w:rPr>
              <w:t>punktuose nustatyta tvarka.</w:t>
            </w:r>
          </w:p>
          <w:p w:rsidR="00D03657" w:rsidRPr="000A0DAF" w:rsidRDefault="00D03657" w:rsidP="000A0DAF">
            <w:pPr>
              <w:widowControl w:val="0"/>
              <w:suppressAutoHyphens/>
              <w:spacing w:after="0" w:line="240" w:lineRule="auto"/>
              <w:jc w:val="both"/>
              <w:rPr>
                <w:rFonts w:ascii="Times New Roman" w:eastAsia="Times New Roman" w:hAnsi="Times New Roman" w:cs="Times New Roman"/>
                <w:sz w:val="24"/>
                <w:szCs w:val="24"/>
                <w:vertAlign w:val="superscript"/>
                <w:lang w:val="lt-LT" w:eastAsia="lt-LT"/>
              </w:rPr>
            </w:pPr>
          </w:p>
        </w:tc>
      </w:tr>
      <w:tr w:rsidR="009527C3" w:rsidRPr="005C5220" w:rsidTr="00073865">
        <w:trPr>
          <w:gridBefore w:val="1"/>
          <w:wBefore w:w="6" w:type="dxa"/>
          <w:trHeight w:val="359"/>
        </w:trPr>
        <w:tc>
          <w:tcPr>
            <w:tcW w:w="704" w:type="dxa"/>
          </w:tcPr>
          <w:p w:rsidR="009527C3" w:rsidRPr="005C5220" w:rsidRDefault="00A257F8" w:rsidP="00D170F7">
            <w:pPr>
              <w:spacing w:after="0" w:line="240" w:lineRule="auto"/>
              <w:jc w:val="center"/>
              <w:rPr>
                <w:rFonts w:ascii="Times New Roman" w:hAnsi="Times New Roman" w:cs="Times New Roman"/>
                <w:sz w:val="24"/>
                <w:szCs w:val="24"/>
                <w:lang w:val="lt-LT" w:eastAsia="lt-LT"/>
              </w:rPr>
            </w:pPr>
            <w:r>
              <w:rPr>
                <w:rFonts w:ascii="Times New Roman" w:hAnsi="Times New Roman" w:cs="Times New Roman"/>
                <w:sz w:val="24"/>
                <w:szCs w:val="24"/>
                <w:lang w:val="lt-LT" w:eastAsia="lt-LT"/>
              </w:rPr>
              <w:t>3</w:t>
            </w:r>
            <w:r w:rsidR="009527C3" w:rsidRPr="005C5220">
              <w:rPr>
                <w:rFonts w:ascii="Times New Roman" w:hAnsi="Times New Roman" w:cs="Times New Roman"/>
                <w:sz w:val="24"/>
                <w:szCs w:val="24"/>
                <w:lang w:val="lt-LT" w:eastAsia="lt-LT"/>
              </w:rPr>
              <w:t>.3.</w:t>
            </w:r>
          </w:p>
        </w:tc>
        <w:tc>
          <w:tcPr>
            <w:tcW w:w="7188" w:type="dxa"/>
          </w:tcPr>
          <w:p w:rsidR="00750F56" w:rsidRDefault="00CD19E2" w:rsidP="00CD19E2">
            <w:pPr>
              <w:autoSpaceDE w:val="0"/>
              <w:autoSpaceDN w:val="0"/>
              <w:adjustRightInd w:val="0"/>
              <w:spacing w:after="0" w:line="240" w:lineRule="auto"/>
              <w:jc w:val="both"/>
              <w:rPr>
                <w:rFonts w:ascii="Times New Roman" w:hAnsi="Times New Roman" w:cs="Times New Roman"/>
                <w:sz w:val="24"/>
                <w:szCs w:val="24"/>
                <w:lang w:val="lt-LT"/>
              </w:rPr>
            </w:pPr>
            <w:r>
              <w:rPr>
                <w:rFonts w:ascii="Times New Roman" w:hAnsi="Times New Roman" w:cs="Times New Roman"/>
                <w:sz w:val="24"/>
                <w:szCs w:val="24"/>
                <w:lang w:val="lt-LT"/>
              </w:rPr>
              <w:t>Pateikta pastaba dėl naujojo kriterijaus „Šilumos tiekimo tinklo patikimumas didesnei šilumos vartotojų daliai“, jog dėl mažesnio bendro šilumos vartotojų skaičiaus šis kriterijus gali suteikti pirmumą mažesnių miestų projektams. Siūloma šiam kriterijui nesuteikti didelį lyginamąjį svorį.</w:t>
            </w:r>
          </w:p>
          <w:p w:rsidR="00D03657" w:rsidRPr="005C5220" w:rsidRDefault="00D03657" w:rsidP="00CD19E2">
            <w:pPr>
              <w:autoSpaceDE w:val="0"/>
              <w:autoSpaceDN w:val="0"/>
              <w:adjustRightInd w:val="0"/>
              <w:spacing w:after="0" w:line="240" w:lineRule="auto"/>
              <w:jc w:val="both"/>
              <w:rPr>
                <w:rFonts w:ascii="Times New Roman" w:hAnsi="Times New Roman" w:cs="Times New Roman"/>
                <w:sz w:val="24"/>
                <w:szCs w:val="24"/>
                <w:lang w:val="lt-LT"/>
              </w:rPr>
            </w:pPr>
          </w:p>
        </w:tc>
        <w:tc>
          <w:tcPr>
            <w:tcW w:w="7436" w:type="dxa"/>
          </w:tcPr>
          <w:p w:rsidR="00805BC1" w:rsidRDefault="000A0DAF" w:rsidP="000A0DAF">
            <w:pPr>
              <w:widowControl w:val="0"/>
              <w:suppressAutoHyphens/>
              <w:spacing w:after="0" w:line="240" w:lineRule="auto"/>
              <w:jc w:val="both"/>
              <w:rPr>
                <w:rFonts w:ascii="Times New Roman" w:hAnsi="Times New Roman" w:cs="Times New Roman"/>
                <w:b/>
                <w:bCs/>
                <w:i/>
                <w:iCs/>
                <w:sz w:val="24"/>
                <w:szCs w:val="24"/>
                <w:lang w:val="lt-LT"/>
              </w:rPr>
            </w:pPr>
            <w:r>
              <w:rPr>
                <w:rFonts w:ascii="Times New Roman" w:hAnsi="Times New Roman" w:cs="Times New Roman"/>
                <w:b/>
                <w:bCs/>
                <w:i/>
                <w:iCs/>
                <w:sz w:val="24"/>
                <w:szCs w:val="24"/>
                <w:lang w:val="lt-LT"/>
              </w:rPr>
              <w:t>Paaiškinimas.</w:t>
            </w:r>
          </w:p>
          <w:p w:rsidR="000A0DAF" w:rsidRPr="000A0DAF" w:rsidRDefault="000A0DAF" w:rsidP="000A0DAF">
            <w:pPr>
              <w:widowControl w:val="0"/>
              <w:suppressAutoHyphens/>
              <w:spacing w:after="0" w:line="240" w:lineRule="auto"/>
              <w:jc w:val="both"/>
              <w:rPr>
                <w:rFonts w:ascii="Times New Roman" w:hAnsi="Times New Roman" w:cs="Times New Roman"/>
                <w:bCs/>
                <w:iCs/>
                <w:sz w:val="24"/>
                <w:szCs w:val="24"/>
                <w:lang w:val="lt-LT"/>
              </w:rPr>
            </w:pPr>
            <w:r>
              <w:rPr>
                <w:rFonts w:ascii="Times New Roman" w:hAnsi="Times New Roman" w:cs="Times New Roman"/>
                <w:bCs/>
                <w:iCs/>
                <w:sz w:val="24"/>
                <w:szCs w:val="24"/>
                <w:lang w:val="lt-LT"/>
              </w:rPr>
              <w:t>Į pateiktą siūlymą atsižvelgtina</w:t>
            </w:r>
            <w:r w:rsidRPr="000A0DAF">
              <w:rPr>
                <w:rFonts w:ascii="Times New Roman" w:hAnsi="Times New Roman" w:cs="Times New Roman"/>
                <w:bCs/>
                <w:iCs/>
                <w:sz w:val="24"/>
                <w:szCs w:val="24"/>
                <w:lang w:val="lt-LT"/>
              </w:rPr>
              <w:t xml:space="preserve">, rengiant projektų finansavimo sąlygų aprašo projektą, kuriame </w:t>
            </w:r>
            <w:r>
              <w:rPr>
                <w:rFonts w:ascii="Times New Roman" w:hAnsi="Times New Roman" w:cs="Times New Roman"/>
                <w:bCs/>
                <w:iCs/>
                <w:sz w:val="24"/>
                <w:szCs w:val="24"/>
                <w:lang w:val="lt-LT"/>
              </w:rPr>
              <w:t xml:space="preserve">nurodomi </w:t>
            </w:r>
            <w:r w:rsidRPr="000A0DAF">
              <w:rPr>
                <w:rFonts w:ascii="Times New Roman" w:hAnsi="Times New Roman" w:cs="Times New Roman"/>
                <w:bCs/>
                <w:iCs/>
                <w:sz w:val="24"/>
                <w:szCs w:val="24"/>
                <w:lang w:val="lt-LT"/>
              </w:rPr>
              <w:t>prioritetiniai projektų atrankos kriterijai, pagal kuriuos bus vertinami projektai naudos ir kokybės vertinimo metu.</w:t>
            </w:r>
          </w:p>
        </w:tc>
      </w:tr>
    </w:tbl>
    <w:p w:rsidR="009527C3" w:rsidRPr="005C5220" w:rsidRDefault="009527C3">
      <w:pPr>
        <w:rPr>
          <w:sz w:val="24"/>
          <w:szCs w:val="24"/>
          <w:lang w:val="lt-LT"/>
        </w:rPr>
      </w:pPr>
    </w:p>
    <w:sectPr w:rsidR="009527C3" w:rsidRPr="005C5220" w:rsidSect="00AD5072">
      <w:pgSz w:w="15840" w:h="12240" w:orient="landscape"/>
      <w:pgMar w:top="1134" w:right="956" w:bottom="333" w:left="426"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65177E" w:rsidRDefault="0065177E" w:rsidP="000C062A">
      <w:pPr>
        <w:spacing w:after="0" w:line="240" w:lineRule="auto"/>
      </w:pPr>
      <w:r>
        <w:separator/>
      </w:r>
    </w:p>
  </w:endnote>
  <w:endnote w:type="continuationSeparator" w:id="0">
    <w:p w:rsidR="0065177E" w:rsidRDefault="0065177E" w:rsidP="000C062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E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Segoe UI">
    <w:panose1 w:val="020B0502040204020203"/>
    <w:charset w:val="BA"/>
    <w:family w:val="swiss"/>
    <w:pitch w:val="variable"/>
    <w:sig w:usb0="E4002EFF" w:usb1="C000E47F" w:usb2="00000009" w:usb3="00000000" w:csb0="000001FF" w:csb1="00000000"/>
  </w:font>
  <w:font w:name="TimesLT">
    <w:altName w:val="Times New Roman"/>
    <w:charset w:val="BA"/>
    <w:family w:val="roman"/>
    <w:pitch w:val="variable"/>
    <w:sig w:usb0="E0002AFF" w:usb1="C0007841" w:usb2="00000009" w:usb3="00000000" w:csb0="000001FF" w:csb1="00000000"/>
  </w:font>
  <w:font w:name="Calibri Light">
    <w:panose1 w:val="020F0302020204030204"/>
    <w:charset w:val="BA"/>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65177E" w:rsidRDefault="0065177E" w:rsidP="000C062A">
      <w:pPr>
        <w:spacing w:after="0" w:line="240" w:lineRule="auto"/>
      </w:pPr>
      <w:r>
        <w:separator/>
      </w:r>
    </w:p>
  </w:footnote>
  <w:footnote w:type="continuationSeparator" w:id="0">
    <w:p w:rsidR="0065177E" w:rsidRDefault="0065177E" w:rsidP="000C062A">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87938A9"/>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E0D5C8B"/>
    <w:multiLevelType w:val="hybridMultilevel"/>
    <w:tmpl w:val="FBE63F98"/>
    <w:lvl w:ilvl="0" w:tplc="04090011">
      <w:start w:val="1"/>
      <w:numFmt w:val="decimal"/>
      <w:lvlText w:val="%1)"/>
      <w:lvlJc w:val="left"/>
      <w:pPr>
        <w:ind w:left="3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37E2"/>
    <w:rsid w:val="00000BDB"/>
    <w:rsid w:val="000101E4"/>
    <w:rsid w:val="00015936"/>
    <w:rsid w:val="000159F8"/>
    <w:rsid w:val="00015E13"/>
    <w:rsid w:val="00020A64"/>
    <w:rsid w:val="00024100"/>
    <w:rsid w:val="00026627"/>
    <w:rsid w:val="000405DA"/>
    <w:rsid w:val="00041B6E"/>
    <w:rsid w:val="00044015"/>
    <w:rsid w:val="00054773"/>
    <w:rsid w:val="000560F4"/>
    <w:rsid w:val="000604F6"/>
    <w:rsid w:val="000638D9"/>
    <w:rsid w:val="00064845"/>
    <w:rsid w:val="00065D89"/>
    <w:rsid w:val="00071CE4"/>
    <w:rsid w:val="00073865"/>
    <w:rsid w:val="00083C23"/>
    <w:rsid w:val="000910A8"/>
    <w:rsid w:val="00096743"/>
    <w:rsid w:val="000A0C2A"/>
    <w:rsid w:val="000A0DAF"/>
    <w:rsid w:val="000A0E34"/>
    <w:rsid w:val="000B31E5"/>
    <w:rsid w:val="000B46B7"/>
    <w:rsid w:val="000B4980"/>
    <w:rsid w:val="000B4C0C"/>
    <w:rsid w:val="000B552E"/>
    <w:rsid w:val="000B74F4"/>
    <w:rsid w:val="000C062A"/>
    <w:rsid w:val="000C6749"/>
    <w:rsid w:val="000C6E8D"/>
    <w:rsid w:val="000D25F4"/>
    <w:rsid w:val="000D2C24"/>
    <w:rsid w:val="000D50B7"/>
    <w:rsid w:val="000E3E3F"/>
    <w:rsid w:val="000E4CDE"/>
    <w:rsid w:val="000E5BDF"/>
    <w:rsid w:val="000E6C6B"/>
    <w:rsid w:val="000F0132"/>
    <w:rsid w:val="000F2318"/>
    <w:rsid w:val="000F758D"/>
    <w:rsid w:val="001005EE"/>
    <w:rsid w:val="00101804"/>
    <w:rsid w:val="00107051"/>
    <w:rsid w:val="00114406"/>
    <w:rsid w:val="001149A5"/>
    <w:rsid w:val="00115F74"/>
    <w:rsid w:val="0012789B"/>
    <w:rsid w:val="00130705"/>
    <w:rsid w:val="00134048"/>
    <w:rsid w:val="0014664E"/>
    <w:rsid w:val="001534E7"/>
    <w:rsid w:val="001537EF"/>
    <w:rsid w:val="001566EB"/>
    <w:rsid w:val="00161935"/>
    <w:rsid w:val="00165E9D"/>
    <w:rsid w:val="00171FE2"/>
    <w:rsid w:val="0017316D"/>
    <w:rsid w:val="001749A8"/>
    <w:rsid w:val="00181CBA"/>
    <w:rsid w:val="00185FCB"/>
    <w:rsid w:val="00186822"/>
    <w:rsid w:val="00187CF9"/>
    <w:rsid w:val="00194AA8"/>
    <w:rsid w:val="00195383"/>
    <w:rsid w:val="00195CE8"/>
    <w:rsid w:val="001A1E91"/>
    <w:rsid w:val="001A447B"/>
    <w:rsid w:val="001A61DB"/>
    <w:rsid w:val="001B1B3C"/>
    <w:rsid w:val="001B29D9"/>
    <w:rsid w:val="001B3A56"/>
    <w:rsid w:val="001B4AF5"/>
    <w:rsid w:val="001B4BFB"/>
    <w:rsid w:val="001B5751"/>
    <w:rsid w:val="001B5F11"/>
    <w:rsid w:val="001C108C"/>
    <w:rsid w:val="001C3C2C"/>
    <w:rsid w:val="001C599D"/>
    <w:rsid w:val="001D220B"/>
    <w:rsid w:val="001D540A"/>
    <w:rsid w:val="001D7390"/>
    <w:rsid w:val="001D7782"/>
    <w:rsid w:val="001E53EE"/>
    <w:rsid w:val="00201682"/>
    <w:rsid w:val="00205C08"/>
    <w:rsid w:val="00210D8A"/>
    <w:rsid w:val="0021224C"/>
    <w:rsid w:val="002150E7"/>
    <w:rsid w:val="00216C48"/>
    <w:rsid w:val="00221076"/>
    <w:rsid w:val="00234CDA"/>
    <w:rsid w:val="0023507A"/>
    <w:rsid w:val="00235094"/>
    <w:rsid w:val="00246FF9"/>
    <w:rsid w:val="002471D1"/>
    <w:rsid w:val="00247785"/>
    <w:rsid w:val="00250110"/>
    <w:rsid w:val="002533FA"/>
    <w:rsid w:val="002535C3"/>
    <w:rsid w:val="00255892"/>
    <w:rsid w:val="0025674E"/>
    <w:rsid w:val="00263CB1"/>
    <w:rsid w:val="002641DD"/>
    <w:rsid w:val="002644C3"/>
    <w:rsid w:val="0026512C"/>
    <w:rsid w:val="00265F12"/>
    <w:rsid w:val="00272853"/>
    <w:rsid w:val="00273275"/>
    <w:rsid w:val="00276008"/>
    <w:rsid w:val="0028248D"/>
    <w:rsid w:val="002837A2"/>
    <w:rsid w:val="0029499F"/>
    <w:rsid w:val="002A3ECF"/>
    <w:rsid w:val="002B6664"/>
    <w:rsid w:val="002C3F84"/>
    <w:rsid w:val="002C6158"/>
    <w:rsid w:val="002C6E7E"/>
    <w:rsid w:val="002D1069"/>
    <w:rsid w:val="002D279C"/>
    <w:rsid w:val="002D28EE"/>
    <w:rsid w:val="002D2E09"/>
    <w:rsid w:val="002D48D3"/>
    <w:rsid w:val="002D7604"/>
    <w:rsid w:val="002E2467"/>
    <w:rsid w:val="002E43EB"/>
    <w:rsid w:val="002F0F5E"/>
    <w:rsid w:val="002F43D2"/>
    <w:rsid w:val="002F49AB"/>
    <w:rsid w:val="002F52A2"/>
    <w:rsid w:val="002F7851"/>
    <w:rsid w:val="00300503"/>
    <w:rsid w:val="00303ED5"/>
    <w:rsid w:val="00307E70"/>
    <w:rsid w:val="0031373B"/>
    <w:rsid w:val="003137F5"/>
    <w:rsid w:val="003146A1"/>
    <w:rsid w:val="003222AD"/>
    <w:rsid w:val="003224E5"/>
    <w:rsid w:val="00326F77"/>
    <w:rsid w:val="00333720"/>
    <w:rsid w:val="0033539F"/>
    <w:rsid w:val="003408B1"/>
    <w:rsid w:val="00342843"/>
    <w:rsid w:val="00342FEC"/>
    <w:rsid w:val="003464F4"/>
    <w:rsid w:val="0035060A"/>
    <w:rsid w:val="00352A1A"/>
    <w:rsid w:val="0035308F"/>
    <w:rsid w:val="003606CC"/>
    <w:rsid w:val="00362084"/>
    <w:rsid w:val="00366636"/>
    <w:rsid w:val="00367D69"/>
    <w:rsid w:val="00370FEE"/>
    <w:rsid w:val="00373A27"/>
    <w:rsid w:val="00374E44"/>
    <w:rsid w:val="0037632E"/>
    <w:rsid w:val="003818C2"/>
    <w:rsid w:val="003836BE"/>
    <w:rsid w:val="00384600"/>
    <w:rsid w:val="00393BB0"/>
    <w:rsid w:val="003A226E"/>
    <w:rsid w:val="003A5B9C"/>
    <w:rsid w:val="003B2F0A"/>
    <w:rsid w:val="003C75BA"/>
    <w:rsid w:val="003D1710"/>
    <w:rsid w:val="003D245C"/>
    <w:rsid w:val="003D365D"/>
    <w:rsid w:val="003D450B"/>
    <w:rsid w:val="003D4529"/>
    <w:rsid w:val="003F03C8"/>
    <w:rsid w:val="003F54BA"/>
    <w:rsid w:val="003F7656"/>
    <w:rsid w:val="0040032E"/>
    <w:rsid w:val="0040265A"/>
    <w:rsid w:val="0041109F"/>
    <w:rsid w:val="00423B92"/>
    <w:rsid w:val="004246A0"/>
    <w:rsid w:val="00430006"/>
    <w:rsid w:val="004324F3"/>
    <w:rsid w:val="00434AD6"/>
    <w:rsid w:val="00436F27"/>
    <w:rsid w:val="00436FED"/>
    <w:rsid w:val="00437D5F"/>
    <w:rsid w:val="00441385"/>
    <w:rsid w:val="00441763"/>
    <w:rsid w:val="00442166"/>
    <w:rsid w:val="00444782"/>
    <w:rsid w:val="00447575"/>
    <w:rsid w:val="004537B4"/>
    <w:rsid w:val="00456395"/>
    <w:rsid w:val="004615C2"/>
    <w:rsid w:val="004630AC"/>
    <w:rsid w:val="004709B4"/>
    <w:rsid w:val="004733B1"/>
    <w:rsid w:val="00474F19"/>
    <w:rsid w:val="00475536"/>
    <w:rsid w:val="004837E4"/>
    <w:rsid w:val="00483EC0"/>
    <w:rsid w:val="00487CAD"/>
    <w:rsid w:val="004A01B8"/>
    <w:rsid w:val="004A40B7"/>
    <w:rsid w:val="004A4DCA"/>
    <w:rsid w:val="004A7F40"/>
    <w:rsid w:val="004B034A"/>
    <w:rsid w:val="004B2937"/>
    <w:rsid w:val="004B379B"/>
    <w:rsid w:val="004C6FB9"/>
    <w:rsid w:val="004C7E82"/>
    <w:rsid w:val="004D150D"/>
    <w:rsid w:val="004D37DA"/>
    <w:rsid w:val="004D7240"/>
    <w:rsid w:val="004E21D9"/>
    <w:rsid w:val="004F3C06"/>
    <w:rsid w:val="00502B42"/>
    <w:rsid w:val="0050340F"/>
    <w:rsid w:val="00504329"/>
    <w:rsid w:val="00505D06"/>
    <w:rsid w:val="005113BD"/>
    <w:rsid w:val="005209A4"/>
    <w:rsid w:val="0052193A"/>
    <w:rsid w:val="0054081B"/>
    <w:rsid w:val="0054396F"/>
    <w:rsid w:val="00545270"/>
    <w:rsid w:val="00547108"/>
    <w:rsid w:val="00550356"/>
    <w:rsid w:val="00552821"/>
    <w:rsid w:val="00565FD2"/>
    <w:rsid w:val="005663B0"/>
    <w:rsid w:val="00582AFA"/>
    <w:rsid w:val="005879B6"/>
    <w:rsid w:val="005A07B3"/>
    <w:rsid w:val="005A2727"/>
    <w:rsid w:val="005A70FE"/>
    <w:rsid w:val="005A7B1F"/>
    <w:rsid w:val="005B666C"/>
    <w:rsid w:val="005C037C"/>
    <w:rsid w:val="005C1606"/>
    <w:rsid w:val="005C3C29"/>
    <w:rsid w:val="005C5220"/>
    <w:rsid w:val="005C5423"/>
    <w:rsid w:val="005C574B"/>
    <w:rsid w:val="005D4E6A"/>
    <w:rsid w:val="005E1751"/>
    <w:rsid w:val="005E1C3C"/>
    <w:rsid w:val="005E5877"/>
    <w:rsid w:val="005E60C2"/>
    <w:rsid w:val="005F16BB"/>
    <w:rsid w:val="005F1C8E"/>
    <w:rsid w:val="005F1EF7"/>
    <w:rsid w:val="005F61A2"/>
    <w:rsid w:val="006048E4"/>
    <w:rsid w:val="0060716C"/>
    <w:rsid w:val="006140FB"/>
    <w:rsid w:val="006141A9"/>
    <w:rsid w:val="00621872"/>
    <w:rsid w:val="00623845"/>
    <w:rsid w:val="00630CA9"/>
    <w:rsid w:val="006405A8"/>
    <w:rsid w:val="006436FA"/>
    <w:rsid w:val="0065177E"/>
    <w:rsid w:val="00655B2C"/>
    <w:rsid w:val="006600B9"/>
    <w:rsid w:val="00662D11"/>
    <w:rsid w:val="00663DA6"/>
    <w:rsid w:val="00666ABA"/>
    <w:rsid w:val="00667803"/>
    <w:rsid w:val="00670021"/>
    <w:rsid w:val="0068423D"/>
    <w:rsid w:val="006920B3"/>
    <w:rsid w:val="00692456"/>
    <w:rsid w:val="00696976"/>
    <w:rsid w:val="006A0E2D"/>
    <w:rsid w:val="006A267C"/>
    <w:rsid w:val="006A2E14"/>
    <w:rsid w:val="006A496F"/>
    <w:rsid w:val="006A57D1"/>
    <w:rsid w:val="006A60C0"/>
    <w:rsid w:val="006B2B08"/>
    <w:rsid w:val="006C7725"/>
    <w:rsid w:val="006D4C7B"/>
    <w:rsid w:val="006E0B35"/>
    <w:rsid w:val="006E4AD3"/>
    <w:rsid w:val="006F42DD"/>
    <w:rsid w:val="006F779A"/>
    <w:rsid w:val="00700149"/>
    <w:rsid w:val="007117EE"/>
    <w:rsid w:val="007117F5"/>
    <w:rsid w:val="007159F6"/>
    <w:rsid w:val="00722343"/>
    <w:rsid w:val="007241D6"/>
    <w:rsid w:val="0072516C"/>
    <w:rsid w:val="007263D0"/>
    <w:rsid w:val="00726FD7"/>
    <w:rsid w:val="00733DFD"/>
    <w:rsid w:val="00735A0B"/>
    <w:rsid w:val="00742D57"/>
    <w:rsid w:val="0074466E"/>
    <w:rsid w:val="00747CCA"/>
    <w:rsid w:val="00750F56"/>
    <w:rsid w:val="00752B54"/>
    <w:rsid w:val="007636DC"/>
    <w:rsid w:val="00763F9C"/>
    <w:rsid w:val="00766BF0"/>
    <w:rsid w:val="00766F74"/>
    <w:rsid w:val="007708A7"/>
    <w:rsid w:val="00777885"/>
    <w:rsid w:val="0078407A"/>
    <w:rsid w:val="0078596B"/>
    <w:rsid w:val="0079620A"/>
    <w:rsid w:val="007B17C8"/>
    <w:rsid w:val="007B1A21"/>
    <w:rsid w:val="007B76BE"/>
    <w:rsid w:val="007C15A6"/>
    <w:rsid w:val="007C1CD2"/>
    <w:rsid w:val="007C5485"/>
    <w:rsid w:val="007C757F"/>
    <w:rsid w:val="007D22BE"/>
    <w:rsid w:val="007D278B"/>
    <w:rsid w:val="007D3B3D"/>
    <w:rsid w:val="007D54B1"/>
    <w:rsid w:val="007E0E07"/>
    <w:rsid w:val="007E1532"/>
    <w:rsid w:val="007E1B02"/>
    <w:rsid w:val="007E3E5C"/>
    <w:rsid w:val="007E5287"/>
    <w:rsid w:val="007E5BA9"/>
    <w:rsid w:val="007F3572"/>
    <w:rsid w:val="007F3821"/>
    <w:rsid w:val="007F6509"/>
    <w:rsid w:val="007F72B4"/>
    <w:rsid w:val="00804450"/>
    <w:rsid w:val="008047B8"/>
    <w:rsid w:val="00805AD2"/>
    <w:rsid w:val="00805BC1"/>
    <w:rsid w:val="0080662E"/>
    <w:rsid w:val="00807D6A"/>
    <w:rsid w:val="0081254F"/>
    <w:rsid w:val="00814ED4"/>
    <w:rsid w:val="00815D52"/>
    <w:rsid w:val="00817D3A"/>
    <w:rsid w:val="00820FE2"/>
    <w:rsid w:val="00822EE6"/>
    <w:rsid w:val="008237BB"/>
    <w:rsid w:val="008252F2"/>
    <w:rsid w:val="00827996"/>
    <w:rsid w:val="00827D00"/>
    <w:rsid w:val="00830624"/>
    <w:rsid w:val="008346B4"/>
    <w:rsid w:val="00836981"/>
    <w:rsid w:val="00836E31"/>
    <w:rsid w:val="00837661"/>
    <w:rsid w:val="00843408"/>
    <w:rsid w:val="00843F7D"/>
    <w:rsid w:val="00845D66"/>
    <w:rsid w:val="00846466"/>
    <w:rsid w:val="008507D4"/>
    <w:rsid w:val="00852AEB"/>
    <w:rsid w:val="008552E5"/>
    <w:rsid w:val="008666E4"/>
    <w:rsid w:val="00866D23"/>
    <w:rsid w:val="008671F4"/>
    <w:rsid w:val="00870FF5"/>
    <w:rsid w:val="008757B2"/>
    <w:rsid w:val="00883761"/>
    <w:rsid w:val="0089170E"/>
    <w:rsid w:val="008942A3"/>
    <w:rsid w:val="008A004A"/>
    <w:rsid w:val="008A5EDB"/>
    <w:rsid w:val="008A605B"/>
    <w:rsid w:val="008A76B5"/>
    <w:rsid w:val="008B10AD"/>
    <w:rsid w:val="008B2E60"/>
    <w:rsid w:val="008B4BF6"/>
    <w:rsid w:val="008C19A7"/>
    <w:rsid w:val="008D0262"/>
    <w:rsid w:val="008D51F6"/>
    <w:rsid w:val="008D579F"/>
    <w:rsid w:val="008D7CA7"/>
    <w:rsid w:val="008E57B3"/>
    <w:rsid w:val="008F0FA8"/>
    <w:rsid w:val="008F16CF"/>
    <w:rsid w:val="008F27A3"/>
    <w:rsid w:val="008F5F0D"/>
    <w:rsid w:val="008F73D6"/>
    <w:rsid w:val="008F74F0"/>
    <w:rsid w:val="00900AA8"/>
    <w:rsid w:val="00901841"/>
    <w:rsid w:val="00902757"/>
    <w:rsid w:val="00902C40"/>
    <w:rsid w:val="00907C68"/>
    <w:rsid w:val="00911010"/>
    <w:rsid w:val="009118B2"/>
    <w:rsid w:val="00913B68"/>
    <w:rsid w:val="00914EA0"/>
    <w:rsid w:val="0091631A"/>
    <w:rsid w:val="009169D8"/>
    <w:rsid w:val="00916DEC"/>
    <w:rsid w:val="009172F0"/>
    <w:rsid w:val="00921937"/>
    <w:rsid w:val="0093421D"/>
    <w:rsid w:val="00940730"/>
    <w:rsid w:val="00940A5E"/>
    <w:rsid w:val="00940C20"/>
    <w:rsid w:val="00941230"/>
    <w:rsid w:val="009467D1"/>
    <w:rsid w:val="00951ADD"/>
    <w:rsid w:val="009527C3"/>
    <w:rsid w:val="0095498A"/>
    <w:rsid w:val="00967098"/>
    <w:rsid w:val="00973C19"/>
    <w:rsid w:val="00974A4A"/>
    <w:rsid w:val="00983543"/>
    <w:rsid w:val="00985D06"/>
    <w:rsid w:val="00986E00"/>
    <w:rsid w:val="00987879"/>
    <w:rsid w:val="009911A1"/>
    <w:rsid w:val="009911F9"/>
    <w:rsid w:val="00991670"/>
    <w:rsid w:val="0099622B"/>
    <w:rsid w:val="009A57CF"/>
    <w:rsid w:val="009B1082"/>
    <w:rsid w:val="009B381B"/>
    <w:rsid w:val="009B59C5"/>
    <w:rsid w:val="009C029C"/>
    <w:rsid w:val="009C2263"/>
    <w:rsid w:val="009C26B3"/>
    <w:rsid w:val="009C331D"/>
    <w:rsid w:val="009D0318"/>
    <w:rsid w:val="009D038F"/>
    <w:rsid w:val="009D2826"/>
    <w:rsid w:val="009D5513"/>
    <w:rsid w:val="009E15B5"/>
    <w:rsid w:val="009E65DF"/>
    <w:rsid w:val="009E7CBE"/>
    <w:rsid w:val="009F4EC6"/>
    <w:rsid w:val="009F6D0C"/>
    <w:rsid w:val="00A002C7"/>
    <w:rsid w:val="00A0128A"/>
    <w:rsid w:val="00A07F79"/>
    <w:rsid w:val="00A14785"/>
    <w:rsid w:val="00A15745"/>
    <w:rsid w:val="00A1726A"/>
    <w:rsid w:val="00A22B45"/>
    <w:rsid w:val="00A23DE0"/>
    <w:rsid w:val="00A257F8"/>
    <w:rsid w:val="00A25AED"/>
    <w:rsid w:val="00A27FA9"/>
    <w:rsid w:val="00A3009E"/>
    <w:rsid w:val="00A33653"/>
    <w:rsid w:val="00A35BFD"/>
    <w:rsid w:val="00A36C77"/>
    <w:rsid w:val="00A37A67"/>
    <w:rsid w:val="00A405FE"/>
    <w:rsid w:val="00A42F2C"/>
    <w:rsid w:val="00A50F01"/>
    <w:rsid w:val="00A518B1"/>
    <w:rsid w:val="00A523DF"/>
    <w:rsid w:val="00A532C5"/>
    <w:rsid w:val="00A61DCD"/>
    <w:rsid w:val="00A672AD"/>
    <w:rsid w:val="00A71E2C"/>
    <w:rsid w:val="00A75C06"/>
    <w:rsid w:val="00A772A0"/>
    <w:rsid w:val="00A81555"/>
    <w:rsid w:val="00A824D4"/>
    <w:rsid w:val="00A837E2"/>
    <w:rsid w:val="00A9243A"/>
    <w:rsid w:val="00A941AB"/>
    <w:rsid w:val="00AA01E6"/>
    <w:rsid w:val="00AA2DF7"/>
    <w:rsid w:val="00AA3BF8"/>
    <w:rsid w:val="00AA4566"/>
    <w:rsid w:val="00AA7118"/>
    <w:rsid w:val="00AA7CA5"/>
    <w:rsid w:val="00AB6306"/>
    <w:rsid w:val="00AB670D"/>
    <w:rsid w:val="00AC02F1"/>
    <w:rsid w:val="00AC0BD8"/>
    <w:rsid w:val="00AC7624"/>
    <w:rsid w:val="00AD4F00"/>
    <w:rsid w:val="00AD5072"/>
    <w:rsid w:val="00AD66B7"/>
    <w:rsid w:val="00AE0E8C"/>
    <w:rsid w:val="00AE1752"/>
    <w:rsid w:val="00AE3482"/>
    <w:rsid w:val="00AF0A1E"/>
    <w:rsid w:val="00AF236A"/>
    <w:rsid w:val="00AF42CA"/>
    <w:rsid w:val="00AF5DC7"/>
    <w:rsid w:val="00AF67C8"/>
    <w:rsid w:val="00AF73A5"/>
    <w:rsid w:val="00B02975"/>
    <w:rsid w:val="00B02B45"/>
    <w:rsid w:val="00B04014"/>
    <w:rsid w:val="00B075E8"/>
    <w:rsid w:val="00B12367"/>
    <w:rsid w:val="00B124ED"/>
    <w:rsid w:val="00B246D3"/>
    <w:rsid w:val="00B3771B"/>
    <w:rsid w:val="00B40EA8"/>
    <w:rsid w:val="00B42BBB"/>
    <w:rsid w:val="00B44B5D"/>
    <w:rsid w:val="00B44E56"/>
    <w:rsid w:val="00B46C0C"/>
    <w:rsid w:val="00B5117D"/>
    <w:rsid w:val="00B51182"/>
    <w:rsid w:val="00B54CDD"/>
    <w:rsid w:val="00B55D55"/>
    <w:rsid w:val="00B60D32"/>
    <w:rsid w:val="00B62432"/>
    <w:rsid w:val="00B75602"/>
    <w:rsid w:val="00B83C5E"/>
    <w:rsid w:val="00B9497E"/>
    <w:rsid w:val="00BB5511"/>
    <w:rsid w:val="00BB627F"/>
    <w:rsid w:val="00BC2AE1"/>
    <w:rsid w:val="00BC3739"/>
    <w:rsid w:val="00BC508E"/>
    <w:rsid w:val="00BD018C"/>
    <w:rsid w:val="00BD6132"/>
    <w:rsid w:val="00BD6E8D"/>
    <w:rsid w:val="00BE1490"/>
    <w:rsid w:val="00BE1997"/>
    <w:rsid w:val="00BE3662"/>
    <w:rsid w:val="00BE608F"/>
    <w:rsid w:val="00BF275F"/>
    <w:rsid w:val="00C025A7"/>
    <w:rsid w:val="00C05309"/>
    <w:rsid w:val="00C120DB"/>
    <w:rsid w:val="00C12201"/>
    <w:rsid w:val="00C142A5"/>
    <w:rsid w:val="00C147F5"/>
    <w:rsid w:val="00C20B0F"/>
    <w:rsid w:val="00C222C3"/>
    <w:rsid w:val="00C26FA6"/>
    <w:rsid w:val="00C357A4"/>
    <w:rsid w:val="00C371F9"/>
    <w:rsid w:val="00C4144E"/>
    <w:rsid w:val="00C46371"/>
    <w:rsid w:val="00C5042C"/>
    <w:rsid w:val="00C51541"/>
    <w:rsid w:val="00C51604"/>
    <w:rsid w:val="00C54911"/>
    <w:rsid w:val="00C56F14"/>
    <w:rsid w:val="00C622C6"/>
    <w:rsid w:val="00C674E9"/>
    <w:rsid w:val="00C717D6"/>
    <w:rsid w:val="00C73D39"/>
    <w:rsid w:val="00C73E65"/>
    <w:rsid w:val="00C73F0D"/>
    <w:rsid w:val="00C75E50"/>
    <w:rsid w:val="00C762C2"/>
    <w:rsid w:val="00C80934"/>
    <w:rsid w:val="00C80947"/>
    <w:rsid w:val="00C87035"/>
    <w:rsid w:val="00C874AC"/>
    <w:rsid w:val="00C90812"/>
    <w:rsid w:val="00C90958"/>
    <w:rsid w:val="00C918F6"/>
    <w:rsid w:val="00C94841"/>
    <w:rsid w:val="00C95EA8"/>
    <w:rsid w:val="00CA40D4"/>
    <w:rsid w:val="00CB0586"/>
    <w:rsid w:val="00CB1A24"/>
    <w:rsid w:val="00CB372A"/>
    <w:rsid w:val="00CB398B"/>
    <w:rsid w:val="00CB5136"/>
    <w:rsid w:val="00CB516A"/>
    <w:rsid w:val="00CC16F3"/>
    <w:rsid w:val="00CC482B"/>
    <w:rsid w:val="00CC5E7D"/>
    <w:rsid w:val="00CD16DE"/>
    <w:rsid w:val="00CD19E2"/>
    <w:rsid w:val="00CD1ADF"/>
    <w:rsid w:val="00CD3C3E"/>
    <w:rsid w:val="00CD4D1A"/>
    <w:rsid w:val="00CD64A1"/>
    <w:rsid w:val="00CF014A"/>
    <w:rsid w:val="00CF2680"/>
    <w:rsid w:val="00CF5F3D"/>
    <w:rsid w:val="00D00E78"/>
    <w:rsid w:val="00D01720"/>
    <w:rsid w:val="00D03657"/>
    <w:rsid w:val="00D06196"/>
    <w:rsid w:val="00D07BE4"/>
    <w:rsid w:val="00D10376"/>
    <w:rsid w:val="00D16004"/>
    <w:rsid w:val="00D170F7"/>
    <w:rsid w:val="00D17597"/>
    <w:rsid w:val="00D215B1"/>
    <w:rsid w:val="00D274FC"/>
    <w:rsid w:val="00D30CC5"/>
    <w:rsid w:val="00D33A15"/>
    <w:rsid w:val="00D35F09"/>
    <w:rsid w:val="00D3632B"/>
    <w:rsid w:val="00D41E22"/>
    <w:rsid w:val="00D45B79"/>
    <w:rsid w:val="00D629C8"/>
    <w:rsid w:val="00D63BC7"/>
    <w:rsid w:val="00D654E1"/>
    <w:rsid w:val="00D66D6A"/>
    <w:rsid w:val="00D66F14"/>
    <w:rsid w:val="00D67E01"/>
    <w:rsid w:val="00D70686"/>
    <w:rsid w:val="00D80023"/>
    <w:rsid w:val="00D81577"/>
    <w:rsid w:val="00D84A11"/>
    <w:rsid w:val="00D934E8"/>
    <w:rsid w:val="00D93B02"/>
    <w:rsid w:val="00D967E3"/>
    <w:rsid w:val="00D972F5"/>
    <w:rsid w:val="00DA4ABE"/>
    <w:rsid w:val="00DA6A3E"/>
    <w:rsid w:val="00DA7976"/>
    <w:rsid w:val="00DA7C4F"/>
    <w:rsid w:val="00DC0935"/>
    <w:rsid w:val="00DC39AD"/>
    <w:rsid w:val="00DC6733"/>
    <w:rsid w:val="00DC74FF"/>
    <w:rsid w:val="00DD1910"/>
    <w:rsid w:val="00DD1ED7"/>
    <w:rsid w:val="00DD6069"/>
    <w:rsid w:val="00DD69DA"/>
    <w:rsid w:val="00DF3B16"/>
    <w:rsid w:val="00DF60AB"/>
    <w:rsid w:val="00DF6624"/>
    <w:rsid w:val="00DF6C2A"/>
    <w:rsid w:val="00E01DA7"/>
    <w:rsid w:val="00E058B1"/>
    <w:rsid w:val="00E1099E"/>
    <w:rsid w:val="00E12FA2"/>
    <w:rsid w:val="00E14DD3"/>
    <w:rsid w:val="00E160FE"/>
    <w:rsid w:val="00E16378"/>
    <w:rsid w:val="00E16754"/>
    <w:rsid w:val="00E25D8C"/>
    <w:rsid w:val="00E26378"/>
    <w:rsid w:val="00E27073"/>
    <w:rsid w:val="00E336D2"/>
    <w:rsid w:val="00E34560"/>
    <w:rsid w:val="00E41ED9"/>
    <w:rsid w:val="00E60BC9"/>
    <w:rsid w:val="00E67F5C"/>
    <w:rsid w:val="00E70744"/>
    <w:rsid w:val="00E744A9"/>
    <w:rsid w:val="00E830D0"/>
    <w:rsid w:val="00E86ACF"/>
    <w:rsid w:val="00E87303"/>
    <w:rsid w:val="00E92A4D"/>
    <w:rsid w:val="00E94FC8"/>
    <w:rsid w:val="00EB58A9"/>
    <w:rsid w:val="00EB697B"/>
    <w:rsid w:val="00EB79BC"/>
    <w:rsid w:val="00EC4B26"/>
    <w:rsid w:val="00EC5889"/>
    <w:rsid w:val="00EC7051"/>
    <w:rsid w:val="00EC7E7C"/>
    <w:rsid w:val="00ED16FE"/>
    <w:rsid w:val="00ED3E03"/>
    <w:rsid w:val="00ED450C"/>
    <w:rsid w:val="00EE0CA2"/>
    <w:rsid w:val="00EE1D62"/>
    <w:rsid w:val="00EE26CB"/>
    <w:rsid w:val="00EE7B6A"/>
    <w:rsid w:val="00EF522A"/>
    <w:rsid w:val="00EF5871"/>
    <w:rsid w:val="00F04A04"/>
    <w:rsid w:val="00F10A31"/>
    <w:rsid w:val="00F15033"/>
    <w:rsid w:val="00F1748D"/>
    <w:rsid w:val="00F17C95"/>
    <w:rsid w:val="00F20150"/>
    <w:rsid w:val="00F20BD2"/>
    <w:rsid w:val="00F23AAF"/>
    <w:rsid w:val="00F31389"/>
    <w:rsid w:val="00F4418B"/>
    <w:rsid w:val="00F448C5"/>
    <w:rsid w:val="00F47A57"/>
    <w:rsid w:val="00F513F0"/>
    <w:rsid w:val="00F536A9"/>
    <w:rsid w:val="00F53BDD"/>
    <w:rsid w:val="00F602F7"/>
    <w:rsid w:val="00F625F9"/>
    <w:rsid w:val="00F6635B"/>
    <w:rsid w:val="00F7007E"/>
    <w:rsid w:val="00F8077F"/>
    <w:rsid w:val="00F84F7F"/>
    <w:rsid w:val="00F95C84"/>
    <w:rsid w:val="00FA6581"/>
    <w:rsid w:val="00FB0190"/>
    <w:rsid w:val="00FB1A12"/>
    <w:rsid w:val="00FB3467"/>
    <w:rsid w:val="00FB3A34"/>
    <w:rsid w:val="00FB432E"/>
    <w:rsid w:val="00FC1A0D"/>
    <w:rsid w:val="00FC6652"/>
    <w:rsid w:val="00FC7FCE"/>
    <w:rsid w:val="00FD253B"/>
    <w:rsid w:val="00FD3629"/>
    <w:rsid w:val="00FD5C2D"/>
    <w:rsid w:val="00FE0DE2"/>
    <w:rsid w:val="00FE2A26"/>
    <w:rsid w:val="00FE42D7"/>
    <w:rsid w:val="00FF387B"/>
    <w:rsid w:val="00FF4F1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01D30E74-7044-4FFE-BB2A-44E94DD45D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1B29D9"/>
    <w:pPr>
      <w:spacing w:after="160" w:line="259" w:lineRule="auto"/>
    </w:pPr>
    <w:rPr>
      <w:rFonts w:cs="Calibri"/>
      <w:sz w:val="22"/>
      <w:szCs w:val="22"/>
    </w:rPr>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uiPriority w:val="99"/>
    <w:rsid w:val="002A3ECF"/>
    <w:rPr>
      <w:color w:val="0563C1"/>
      <w:u w:val="single"/>
    </w:rPr>
  </w:style>
  <w:style w:type="paragraph" w:styleId="Antrats">
    <w:name w:val="header"/>
    <w:basedOn w:val="prastasis"/>
    <w:link w:val="AntratsDiagrama"/>
    <w:uiPriority w:val="99"/>
    <w:rsid w:val="000C062A"/>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locked/>
    <w:rsid w:val="000C062A"/>
  </w:style>
  <w:style w:type="paragraph" w:styleId="Porat">
    <w:name w:val="footer"/>
    <w:basedOn w:val="prastasis"/>
    <w:link w:val="PoratDiagrama"/>
    <w:uiPriority w:val="99"/>
    <w:rsid w:val="000C062A"/>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locked/>
    <w:rsid w:val="000C062A"/>
  </w:style>
  <w:style w:type="paragraph" w:styleId="Dokumentoinaostekstas">
    <w:name w:val="endnote text"/>
    <w:basedOn w:val="prastasis"/>
    <w:link w:val="DokumentoinaostekstasDiagrama"/>
    <w:uiPriority w:val="99"/>
    <w:semiHidden/>
    <w:rsid w:val="000C6749"/>
    <w:pPr>
      <w:spacing w:after="0" w:line="240" w:lineRule="auto"/>
    </w:pPr>
    <w:rPr>
      <w:sz w:val="20"/>
      <w:szCs w:val="20"/>
    </w:rPr>
  </w:style>
  <w:style w:type="character" w:customStyle="1" w:styleId="DokumentoinaostekstasDiagrama">
    <w:name w:val="Dokumento išnašos tekstas Diagrama"/>
    <w:link w:val="Dokumentoinaostekstas"/>
    <w:uiPriority w:val="99"/>
    <w:semiHidden/>
    <w:locked/>
    <w:rsid w:val="000C6749"/>
    <w:rPr>
      <w:sz w:val="20"/>
      <w:szCs w:val="20"/>
    </w:rPr>
  </w:style>
  <w:style w:type="character" w:styleId="Dokumentoinaosnumeris">
    <w:name w:val="endnote reference"/>
    <w:uiPriority w:val="99"/>
    <w:semiHidden/>
    <w:rsid w:val="000C6749"/>
    <w:rPr>
      <w:vertAlign w:val="superscript"/>
    </w:rPr>
  </w:style>
  <w:style w:type="paragraph" w:styleId="Debesliotekstas">
    <w:name w:val="Balloon Text"/>
    <w:basedOn w:val="prastasis"/>
    <w:link w:val="DebesliotekstasDiagrama"/>
    <w:uiPriority w:val="99"/>
    <w:semiHidden/>
    <w:rsid w:val="00623845"/>
    <w:pPr>
      <w:spacing w:after="0" w:line="240" w:lineRule="auto"/>
    </w:pPr>
    <w:rPr>
      <w:rFonts w:ascii="Segoe UI" w:hAnsi="Segoe UI" w:cs="Segoe UI"/>
      <w:sz w:val="18"/>
      <w:szCs w:val="18"/>
    </w:rPr>
  </w:style>
  <w:style w:type="character" w:customStyle="1" w:styleId="DebesliotekstasDiagrama">
    <w:name w:val="Debesėlio tekstas Diagrama"/>
    <w:link w:val="Debesliotekstas"/>
    <w:uiPriority w:val="99"/>
    <w:semiHidden/>
    <w:locked/>
    <w:rsid w:val="00623845"/>
    <w:rPr>
      <w:rFonts w:ascii="Segoe UI" w:hAnsi="Segoe UI" w:cs="Segoe UI"/>
      <w:sz w:val="18"/>
      <w:szCs w:val="18"/>
    </w:rPr>
  </w:style>
  <w:style w:type="paragraph" w:styleId="Sraopastraipa">
    <w:name w:val="List Paragraph"/>
    <w:basedOn w:val="prastasis"/>
    <w:uiPriority w:val="34"/>
    <w:qFormat/>
    <w:rsid w:val="00696976"/>
    <w:pPr>
      <w:ind w:left="720"/>
      <w:contextualSpacing/>
    </w:pPr>
    <w:rPr>
      <w:rFonts w:cs="Times New Roman"/>
      <w:lang w:val="lt-LT"/>
    </w:rPr>
  </w:style>
  <w:style w:type="character" w:customStyle="1" w:styleId="apple-converted-space">
    <w:name w:val="apple-converted-space"/>
    <w:basedOn w:val="Numatytasispastraiposriftas"/>
    <w:rsid w:val="002C6158"/>
  </w:style>
  <w:style w:type="paragraph" w:styleId="Komentarotekstas">
    <w:name w:val="annotation text"/>
    <w:basedOn w:val="prastasis"/>
    <w:link w:val="KomentarotekstasDiagrama"/>
    <w:semiHidden/>
    <w:rsid w:val="000B552E"/>
    <w:pPr>
      <w:spacing w:after="0" w:line="240" w:lineRule="auto"/>
      <w:ind w:firstLine="720"/>
      <w:jc w:val="both"/>
    </w:pPr>
    <w:rPr>
      <w:rFonts w:ascii="Times New Roman" w:eastAsia="Times New Roman" w:hAnsi="Times New Roman" w:cs="Times New Roman"/>
      <w:sz w:val="20"/>
      <w:szCs w:val="20"/>
      <w:lang w:eastAsia="lt-LT"/>
    </w:rPr>
  </w:style>
  <w:style w:type="character" w:customStyle="1" w:styleId="KomentarotekstasDiagrama">
    <w:name w:val="Komentaro tekstas Diagrama"/>
    <w:link w:val="Komentarotekstas"/>
    <w:locked/>
    <w:rsid w:val="000B552E"/>
    <w:rPr>
      <w:lang w:val="en-US" w:eastAsia="lt-LT" w:bidi="ar-SA"/>
    </w:rPr>
  </w:style>
  <w:style w:type="character" w:styleId="Komentaronuoroda">
    <w:name w:val="annotation reference"/>
    <w:uiPriority w:val="99"/>
    <w:semiHidden/>
    <w:unhideWhenUsed/>
    <w:rsid w:val="00CB398B"/>
    <w:rPr>
      <w:sz w:val="16"/>
      <w:szCs w:val="16"/>
    </w:rPr>
  </w:style>
  <w:style w:type="paragraph" w:styleId="Komentarotema">
    <w:name w:val="annotation subject"/>
    <w:basedOn w:val="Komentarotekstas"/>
    <w:next w:val="Komentarotekstas"/>
    <w:link w:val="KomentarotemaDiagrama"/>
    <w:uiPriority w:val="99"/>
    <w:semiHidden/>
    <w:unhideWhenUsed/>
    <w:rsid w:val="00CB398B"/>
    <w:pPr>
      <w:spacing w:after="160" w:line="259" w:lineRule="auto"/>
      <w:ind w:firstLine="0"/>
      <w:jc w:val="left"/>
    </w:pPr>
    <w:rPr>
      <w:rFonts w:ascii="Calibri" w:eastAsia="Calibri" w:hAnsi="Calibri" w:cs="Calibri"/>
      <w:b/>
      <w:bCs/>
      <w:lang w:eastAsia="en-US"/>
    </w:rPr>
  </w:style>
  <w:style w:type="character" w:customStyle="1" w:styleId="KomentarotemaDiagrama">
    <w:name w:val="Komentaro tema Diagrama"/>
    <w:link w:val="Komentarotema"/>
    <w:uiPriority w:val="99"/>
    <w:semiHidden/>
    <w:rsid w:val="00CB398B"/>
    <w:rPr>
      <w:rFonts w:cs="Calibri"/>
      <w:b/>
      <w:bCs/>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89497905">
      <w:bodyDiv w:val="1"/>
      <w:marLeft w:val="0"/>
      <w:marRight w:val="0"/>
      <w:marTop w:val="0"/>
      <w:marBottom w:val="0"/>
      <w:divBdr>
        <w:top w:val="none" w:sz="0" w:space="0" w:color="auto"/>
        <w:left w:val="none" w:sz="0" w:space="0" w:color="auto"/>
        <w:bottom w:val="none" w:sz="0" w:space="0" w:color="auto"/>
        <w:right w:val="none" w:sz="0" w:space="0" w:color="auto"/>
      </w:divBdr>
    </w:div>
    <w:div w:id="831214507">
      <w:marLeft w:val="0"/>
      <w:marRight w:val="0"/>
      <w:marTop w:val="0"/>
      <w:marBottom w:val="0"/>
      <w:divBdr>
        <w:top w:val="none" w:sz="0" w:space="0" w:color="auto"/>
        <w:left w:val="none" w:sz="0" w:space="0" w:color="auto"/>
        <w:bottom w:val="none" w:sz="0" w:space="0" w:color="auto"/>
        <w:right w:val="none" w:sz="0" w:space="0" w:color="auto"/>
      </w:divBdr>
    </w:div>
    <w:div w:id="831214509">
      <w:marLeft w:val="0"/>
      <w:marRight w:val="0"/>
      <w:marTop w:val="0"/>
      <w:marBottom w:val="0"/>
      <w:divBdr>
        <w:top w:val="none" w:sz="0" w:space="0" w:color="auto"/>
        <w:left w:val="none" w:sz="0" w:space="0" w:color="auto"/>
        <w:bottom w:val="none" w:sz="0" w:space="0" w:color="auto"/>
        <w:right w:val="none" w:sz="0" w:space="0" w:color="auto"/>
      </w:divBdr>
      <w:divsChild>
        <w:div w:id="831214512">
          <w:marLeft w:val="0"/>
          <w:marRight w:val="0"/>
          <w:marTop w:val="0"/>
          <w:marBottom w:val="0"/>
          <w:divBdr>
            <w:top w:val="none" w:sz="0" w:space="0" w:color="auto"/>
            <w:left w:val="none" w:sz="0" w:space="0" w:color="auto"/>
            <w:bottom w:val="none" w:sz="0" w:space="0" w:color="auto"/>
            <w:right w:val="none" w:sz="0" w:space="0" w:color="auto"/>
          </w:divBdr>
        </w:div>
        <w:div w:id="831214513">
          <w:marLeft w:val="0"/>
          <w:marRight w:val="0"/>
          <w:marTop w:val="0"/>
          <w:marBottom w:val="0"/>
          <w:divBdr>
            <w:top w:val="none" w:sz="0" w:space="0" w:color="auto"/>
            <w:left w:val="none" w:sz="0" w:space="0" w:color="auto"/>
            <w:bottom w:val="none" w:sz="0" w:space="0" w:color="auto"/>
            <w:right w:val="none" w:sz="0" w:space="0" w:color="auto"/>
          </w:divBdr>
        </w:div>
      </w:divsChild>
    </w:div>
    <w:div w:id="831214510">
      <w:marLeft w:val="0"/>
      <w:marRight w:val="0"/>
      <w:marTop w:val="0"/>
      <w:marBottom w:val="0"/>
      <w:divBdr>
        <w:top w:val="none" w:sz="0" w:space="0" w:color="auto"/>
        <w:left w:val="none" w:sz="0" w:space="0" w:color="auto"/>
        <w:bottom w:val="none" w:sz="0" w:space="0" w:color="auto"/>
        <w:right w:val="none" w:sz="0" w:space="0" w:color="auto"/>
      </w:divBdr>
      <w:divsChild>
        <w:div w:id="831214508">
          <w:marLeft w:val="0"/>
          <w:marRight w:val="0"/>
          <w:marTop w:val="0"/>
          <w:marBottom w:val="0"/>
          <w:divBdr>
            <w:top w:val="none" w:sz="0" w:space="0" w:color="auto"/>
            <w:left w:val="none" w:sz="0" w:space="0" w:color="auto"/>
            <w:bottom w:val="none" w:sz="0" w:space="0" w:color="auto"/>
            <w:right w:val="none" w:sz="0" w:space="0" w:color="auto"/>
          </w:divBdr>
        </w:div>
        <w:div w:id="831214514">
          <w:marLeft w:val="0"/>
          <w:marRight w:val="0"/>
          <w:marTop w:val="0"/>
          <w:marBottom w:val="0"/>
          <w:divBdr>
            <w:top w:val="none" w:sz="0" w:space="0" w:color="auto"/>
            <w:left w:val="none" w:sz="0" w:space="0" w:color="auto"/>
            <w:bottom w:val="none" w:sz="0" w:space="0" w:color="auto"/>
            <w:right w:val="none" w:sz="0" w:space="0" w:color="auto"/>
          </w:divBdr>
        </w:div>
      </w:divsChild>
    </w:div>
    <w:div w:id="831214515">
      <w:marLeft w:val="0"/>
      <w:marRight w:val="0"/>
      <w:marTop w:val="0"/>
      <w:marBottom w:val="0"/>
      <w:divBdr>
        <w:top w:val="none" w:sz="0" w:space="0" w:color="auto"/>
        <w:left w:val="none" w:sz="0" w:space="0" w:color="auto"/>
        <w:bottom w:val="none" w:sz="0" w:space="0" w:color="auto"/>
        <w:right w:val="none" w:sz="0" w:space="0" w:color="auto"/>
      </w:divBdr>
    </w:div>
    <w:div w:id="831214516">
      <w:marLeft w:val="0"/>
      <w:marRight w:val="0"/>
      <w:marTop w:val="0"/>
      <w:marBottom w:val="0"/>
      <w:divBdr>
        <w:top w:val="none" w:sz="0" w:space="0" w:color="auto"/>
        <w:left w:val="none" w:sz="0" w:space="0" w:color="auto"/>
        <w:bottom w:val="none" w:sz="0" w:space="0" w:color="auto"/>
        <w:right w:val="none" w:sz="0" w:space="0" w:color="auto"/>
      </w:divBdr>
    </w:div>
    <w:div w:id="831214517">
      <w:marLeft w:val="0"/>
      <w:marRight w:val="0"/>
      <w:marTop w:val="0"/>
      <w:marBottom w:val="0"/>
      <w:divBdr>
        <w:top w:val="none" w:sz="0" w:space="0" w:color="auto"/>
        <w:left w:val="none" w:sz="0" w:space="0" w:color="auto"/>
        <w:bottom w:val="none" w:sz="0" w:space="0" w:color="auto"/>
        <w:right w:val="none" w:sz="0" w:space="0" w:color="auto"/>
      </w:divBdr>
    </w:div>
    <w:div w:id="831214518">
      <w:marLeft w:val="0"/>
      <w:marRight w:val="0"/>
      <w:marTop w:val="0"/>
      <w:marBottom w:val="0"/>
      <w:divBdr>
        <w:top w:val="none" w:sz="0" w:space="0" w:color="auto"/>
        <w:left w:val="none" w:sz="0" w:space="0" w:color="auto"/>
        <w:bottom w:val="none" w:sz="0" w:space="0" w:color="auto"/>
        <w:right w:val="none" w:sz="0" w:space="0" w:color="auto"/>
      </w:divBdr>
      <w:divsChild>
        <w:div w:id="831214511">
          <w:marLeft w:val="0"/>
          <w:marRight w:val="0"/>
          <w:marTop w:val="0"/>
          <w:marBottom w:val="0"/>
          <w:divBdr>
            <w:top w:val="none" w:sz="0" w:space="0" w:color="auto"/>
            <w:left w:val="none" w:sz="0" w:space="0" w:color="auto"/>
            <w:bottom w:val="none" w:sz="0" w:space="0" w:color="auto"/>
            <w:right w:val="none" w:sz="0" w:space="0" w:color="auto"/>
          </w:divBdr>
        </w:div>
      </w:divsChild>
    </w:div>
    <w:div w:id="831214519">
      <w:marLeft w:val="0"/>
      <w:marRight w:val="0"/>
      <w:marTop w:val="0"/>
      <w:marBottom w:val="0"/>
      <w:divBdr>
        <w:top w:val="none" w:sz="0" w:space="0" w:color="auto"/>
        <w:left w:val="none" w:sz="0" w:space="0" w:color="auto"/>
        <w:bottom w:val="none" w:sz="0" w:space="0" w:color="auto"/>
        <w:right w:val="none" w:sz="0" w:space="0" w:color="auto"/>
      </w:divBdr>
    </w:div>
    <w:div w:id="1048841527">
      <w:bodyDiv w:val="1"/>
      <w:marLeft w:val="0"/>
      <w:marRight w:val="0"/>
      <w:marTop w:val="0"/>
      <w:marBottom w:val="0"/>
      <w:divBdr>
        <w:top w:val="none" w:sz="0" w:space="0" w:color="auto"/>
        <w:left w:val="none" w:sz="0" w:space="0" w:color="auto"/>
        <w:bottom w:val="none" w:sz="0" w:space="0" w:color="auto"/>
        <w:right w:val="none" w:sz="0" w:space="0" w:color="auto"/>
      </w:divBdr>
      <w:divsChild>
        <w:div w:id="1480656064">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132B4CF-1533-4324-AD9D-9C0286E2770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1124</TotalTime>
  <Pages>2</Pages>
  <Words>788</Words>
  <Characters>4492</Characters>
  <Application>Microsoft Office Word</Application>
  <DocSecurity>0</DocSecurity>
  <Lines>37</Lines>
  <Paragraphs>10</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lpstr>SOCIALINIŲ IR EKONOMINIŲ PARTNERIŲ PATEIKTŲ PASTABŲ IR PASIŪLYMŲ DĖL 2014–2020 METŲ EUROPOS SĄJUNGOS FONDŲ INVESTICIJŲ VEIKSMŲ PROGRAMOS 4 PRIORITETO „ENERGIJOS EFEKTYVUMO IR ATSINAUJINANČIŲ IŠTEKLIŲ ENERGIJOS GAMYBOS IR NAUDOJIMO SKATINIMAS“ PRIEMONĖS N</vt:lpstr>
    </vt:vector>
  </TitlesOfParts>
  <Company/>
  <LinksUpToDate>false</LinksUpToDate>
  <CharactersWithSpaces>5270</CharactersWithSpaces>
  <SharedDoc>false</SharedDoc>
  <HLinks>
    <vt:vector size="30" baseType="variant">
      <vt:variant>
        <vt:i4>1507402</vt:i4>
      </vt:variant>
      <vt:variant>
        <vt:i4>12</vt:i4>
      </vt:variant>
      <vt:variant>
        <vt:i4>0</vt:i4>
      </vt:variant>
      <vt:variant>
        <vt:i4>5</vt:i4>
      </vt:variant>
      <vt:variant>
        <vt:lpwstr>http://www.esinvesticijos.lt/</vt:lpwstr>
      </vt:variant>
      <vt:variant>
        <vt:lpwstr/>
      </vt:variant>
      <vt:variant>
        <vt:i4>1507402</vt:i4>
      </vt:variant>
      <vt:variant>
        <vt:i4>9</vt:i4>
      </vt:variant>
      <vt:variant>
        <vt:i4>0</vt:i4>
      </vt:variant>
      <vt:variant>
        <vt:i4>5</vt:i4>
      </vt:variant>
      <vt:variant>
        <vt:lpwstr>http://www.esinvesticijos.lt/</vt:lpwstr>
      </vt:variant>
      <vt:variant>
        <vt:lpwstr/>
      </vt:variant>
      <vt:variant>
        <vt:i4>1507402</vt:i4>
      </vt:variant>
      <vt:variant>
        <vt:i4>6</vt:i4>
      </vt:variant>
      <vt:variant>
        <vt:i4>0</vt:i4>
      </vt:variant>
      <vt:variant>
        <vt:i4>5</vt:i4>
      </vt:variant>
      <vt:variant>
        <vt:lpwstr>http://www.esinvesticijos.lt/</vt:lpwstr>
      </vt:variant>
      <vt:variant>
        <vt:lpwstr/>
      </vt:variant>
      <vt:variant>
        <vt:i4>2621452</vt:i4>
      </vt:variant>
      <vt:variant>
        <vt:i4>3</vt:i4>
      </vt:variant>
      <vt:variant>
        <vt:i4>0</vt:i4>
      </vt:variant>
      <vt:variant>
        <vt:i4>5</vt:i4>
      </vt:variant>
      <vt:variant>
        <vt:lpwstr>http://www.esparama.lt/priemone?priem_id=000bdd538000152a</vt:lpwstr>
      </vt:variant>
      <vt:variant>
        <vt:lpwstr/>
      </vt:variant>
      <vt:variant>
        <vt:i4>1507402</vt:i4>
      </vt:variant>
      <vt:variant>
        <vt:i4>0</vt:i4>
      </vt:variant>
      <vt:variant>
        <vt:i4>0</vt:i4>
      </vt:variant>
      <vt:variant>
        <vt:i4>5</vt:i4>
      </vt:variant>
      <vt:variant>
        <vt:lpwstr>http://www.esinvesticijos.lt/</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SOCIALINIŲ IR EKONOMINIŲ PARTNERIŲ PATEIKTŲ PASTABŲ IR PASIŪLYMŲ DĖL 2014–2020 METŲ EUROPOS SĄJUNGOS FONDŲ INVESTICIJŲ VEIKSMŲ PROGRAMOS 4 PRIORITETO „ENERGIJOS EFEKTYVUMO IR ATSINAUJINANČIŲ IŠTEKLIŲ ENERGIJOS GAMYBOS IR NAUDOJIMO SKATINIMAS“ PRIEMONĖS N</dc:title>
  <dc:subject/>
  <dc:creator>Valdas NAMAJUSKA</dc:creator>
  <cp:keywords/>
  <dc:description/>
  <cp:lastModifiedBy>Laura Namajuskiene</cp:lastModifiedBy>
  <cp:revision>7</cp:revision>
  <cp:lastPrinted>2017-05-19T07:15:00Z</cp:lastPrinted>
  <dcterms:created xsi:type="dcterms:W3CDTF">2017-05-18T13:02:00Z</dcterms:created>
  <dcterms:modified xsi:type="dcterms:W3CDTF">2017-05-19T08:12:00Z</dcterms:modified>
</cp:coreProperties>
</file>