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99B" w:rsidRPr="0052566C" w:rsidRDefault="0039499B" w:rsidP="0039499B">
      <w:pPr>
        <w:spacing w:after="0" w:line="240" w:lineRule="auto"/>
        <w:ind w:left="3969"/>
        <w:jc w:val="both"/>
        <w:rPr>
          <w:rFonts w:ascii="Times New Roman" w:hAnsi="Times New Roman"/>
          <w:sz w:val="24"/>
          <w:szCs w:val="24"/>
        </w:rPr>
      </w:pPr>
      <w:r w:rsidRPr="0052566C">
        <w:rPr>
          <w:rFonts w:ascii="Times New Roman" w:hAnsi="Times New Roman"/>
          <w:sz w:val="24"/>
          <w:szCs w:val="24"/>
        </w:rPr>
        <w:t xml:space="preserve">2014–2020 metų Europos Sąjungos fondų investicijų </w:t>
      </w:r>
    </w:p>
    <w:p w:rsidR="0039499B" w:rsidRPr="0052566C" w:rsidRDefault="0039499B" w:rsidP="0039499B">
      <w:pPr>
        <w:spacing w:after="0" w:line="240" w:lineRule="auto"/>
        <w:ind w:left="3969"/>
        <w:jc w:val="both"/>
        <w:rPr>
          <w:rFonts w:ascii="Times New Roman" w:hAnsi="Times New Roman"/>
          <w:vanish/>
          <w:sz w:val="24"/>
          <w:szCs w:val="24"/>
          <w:specVanish/>
        </w:rPr>
      </w:pPr>
      <w:r w:rsidRPr="0052566C">
        <w:rPr>
          <w:rFonts w:ascii="Times New Roman" w:hAnsi="Times New Roman"/>
          <w:sz w:val="24"/>
          <w:szCs w:val="24"/>
        </w:rPr>
        <w:t xml:space="preserve">veiksmų programos 5 prioriteto </w:t>
      </w:r>
      <w:r w:rsidRPr="0052566C">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52566C">
        <w:rPr>
          <w:rFonts w:ascii="Times New Roman" w:hAnsi="Times New Roman" w:cs="Times New Roman"/>
          <w:b/>
          <w:sz w:val="24"/>
          <w:szCs w:val="24"/>
        </w:rPr>
        <w:t xml:space="preserve"> </w:t>
      </w:r>
      <w:r w:rsidRPr="0052566C">
        <w:rPr>
          <w:rFonts w:ascii="Times New Roman" w:hAnsi="Times New Roman"/>
          <w:sz w:val="24"/>
          <w:szCs w:val="24"/>
        </w:rPr>
        <w:t>projektų finansavimo sąlygų aprašo Nr. 1</w:t>
      </w:r>
    </w:p>
    <w:p w:rsidR="0039499B" w:rsidRPr="0052566C" w:rsidRDefault="0039499B" w:rsidP="0039499B">
      <w:pPr>
        <w:spacing w:after="0" w:line="240" w:lineRule="auto"/>
        <w:ind w:left="9214"/>
        <w:jc w:val="both"/>
        <w:rPr>
          <w:rFonts w:ascii="Times New Roman" w:hAnsi="Times New Roman" w:cs="Times New Roman"/>
          <w:sz w:val="24"/>
          <w:szCs w:val="24"/>
        </w:rPr>
      </w:pPr>
      <w:r w:rsidRPr="0052566C">
        <w:rPr>
          <w:rFonts w:ascii="Times New Roman" w:hAnsi="Times New Roman" w:cs="Times New Roman"/>
          <w:sz w:val="24"/>
          <w:szCs w:val="24"/>
        </w:rPr>
        <w:t xml:space="preserve"> </w:t>
      </w:r>
    </w:p>
    <w:p w:rsidR="0039499B" w:rsidRPr="0052566C" w:rsidRDefault="0039499B" w:rsidP="0039499B">
      <w:pPr>
        <w:spacing w:after="0" w:line="240" w:lineRule="auto"/>
        <w:ind w:left="3969"/>
        <w:jc w:val="both"/>
        <w:rPr>
          <w:rFonts w:ascii="Times New Roman" w:hAnsi="Times New Roman" w:cs="Times New Roman"/>
          <w:sz w:val="24"/>
          <w:szCs w:val="24"/>
        </w:rPr>
      </w:pPr>
      <w:r w:rsidRPr="0052566C">
        <w:rPr>
          <w:rFonts w:ascii="Times New Roman" w:hAnsi="Times New Roman" w:cs="Times New Roman"/>
          <w:sz w:val="24"/>
          <w:szCs w:val="24"/>
        </w:rPr>
        <w:t>6 priedas</w:t>
      </w:r>
    </w:p>
    <w:p w:rsidR="0039499B" w:rsidRPr="0052566C" w:rsidRDefault="0039499B" w:rsidP="0039499B">
      <w:pPr>
        <w:spacing w:after="0" w:line="240" w:lineRule="auto"/>
        <w:ind w:left="3969"/>
        <w:jc w:val="both"/>
        <w:rPr>
          <w:rFonts w:ascii="Times New Roman" w:hAnsi="Times New Roman"/>
          <w:sz w:val="24"/>
          <w:szCs w:val="24"/>
        </w:rPr>
      </w:pPr>
    </w:p>
    <w:p w:rsidR="0039499B" w:rsidRPr="0052566C" w:rsidRDefault="0039499B" w:rsidP="0039499B">
      <w:pPr>
        <w:spacing w:after="0" w:line="240" w:lineRule="auto"/>
        <w:jc w:val="center"/>
        <w:rPr>
          <w:rFonts w:ascii="Times New Roman" w:eastAsia="Calibri" w:hAnsi="Times New Roman" w:cs="Times New Roman"/>
          <w:b/>
          <w:sz w:val="24"/>
          <w:szCs w:val="24"/>
        </w:rPr>
      </w:pPr>
      <w:r w:rsidRPr="0052566C">
        <w:rPr>
          <w:rFonts w:ascii="Times New Roman" w:eastAsia="Calibri" w:hAnsi="Times New Roman" w:cs="Times New Roman"/>
          <w:b/>
          <w:sz w:val="24"/>
          <w:szCs w:val="24"/>
        </w:rPr>
        <w:t>5 PRIEDO „INFORMACIJA APIE IŠ EUROPOS SĄJUNGOS STRUKTŪRINIŲ FONDŲ LĖŠŲ BENDRAI FINANSUOJAMŲ PROJEKTŲ PLANUOJAMĄ GAUTI VEIKLOS PELNĄ“ PILDYMO INSTRUKCIJA</w:t>
      </w:r>
    </w:p>
    <w:p w:rsidR="0039499B" w:rsidRPr="0052566C" w:rsidRDefault="0039499B" w:rsidP="0039499B">
      <w:pPr>
        <w:spacing w:after="0" w:line="240" w:lineRule="auto"/>
        <w:rPr>
          <w:rFonts w:ascii="Times New Roman" w:eastAsia="Calibri" w:hAnsi="Times New Roman" w:cs="Times New Roman"/>
          <w:b/>
          <w:sz w:val="24"/>
          <w:szCs w:val="24"/>
        </w:rPr>
      </w:pPr>
    </w:p>
    <w:p w:rsidR="0039499B" w:rsidRPr="0052566C" w:rsidRDefault="0039499B" w:rsidP="0039499B">
      <w:pPr>
        <w:spacing w:after="0" w:line="240" w:lineRule="auto"/>
        <w:rPr>
          <w:rFonts w:ascii="Times New Roman" w:eastAsia="Calibri" w:hAnsi="Times New Roman" w:cs="Times New Roman"/>
          <w:b/>
          <w:sz w:val="24"/>
          <w:szCs w:val="24"/>
        </w:rPr>
      </w:pP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I SKYRIUS</w:t>
      </w:r>
    </w:p>
    <w:p w:rsidR="0039499B" w:rsidRPr="0052566C" w:rsidRDefault="0039499B" w:rsidP="0039499B">
      <w:pPr>
        <w:spacing w:before="120" w:after="24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BENDROSIOS NUOSTATOS</w:t>
      </w:r>
    </w:p>
    <w:p w:rsidR="0039499B" w:rsidRPr="0052566C" w:rsidRDefault="0039499B" w:rsidP="0039499B">
      <w:pPr>
        <w:spacing w:before="120" w:after="120" w:line="240" w:lineRule="auto"/>
        <w:jc w:val="both"/>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xml:space="preserve"> 1. 5 priedo „Informacija apie iš Europos Sąjungos struktūrinių fondų lėšų bendrai finansuojamų projektų planuojamą gauti veiklos pelną“ (toliau – informacija apie veiklos pelną) pildymo instrukcija (toliau – instrukcija) nustato informacijos apie veiklos pelną pildymo naudojant elektroninę formą taisykles. Informacijos apie veiklos pelną forma yra standartinis </w:t>
      </w:r>
      <w:r w:rsidRPr="0052566C">
        <w:rPr>
          <w:rFonts w:ascii="Times New Roman" w:eastAsia="Times New Roman" w:hAnsi="Times New Roman" w:cs="Times New Roman"/>
          <w:i/>
          <w:iCs/>
          <w:sz w:val="24"/>
          <w:szCs w:val="24"/>
          <w:lang w:eastAsia="lt-LT"/>
        </w:rPr>
        <w:t>Excel</w:t>
      </w:r>
      <w:r w:rsidRPr="0052566C">
        <w:rPr>
          <w:rFonts w:ascii="Times New Roman" w:eastAsia="Times New Roman" w:hAnsi="Times New Roman" w:cs="Times New Roman"/>
          <w:sz w:val="24"/>
          <w:szCs w:val="24"/>
          <w:lang w:eastAsia="lt-LT"/>
        </w:rPr>
        <w:t xml:space="preserve"> formato darbinis dokumentas, pildomas naudojant </w:t>
      </w:r>
      <w:r w:rsidRPr="0052566C">
        <w:rPr>
          <w:rFonts w:ascii="Times New Roman" w:eastAsia="Times New Roman" w:hAnsi="Times New Roman" w:cs="Times New Roman"/>
          <w:i/>
          <w:iCs/>
          <w:sz w:val="24"/>
          <w:szCs w:val="24"/>
          <w:lang w:eastAsia="lt-LT"/>
        </w:rPr>
        <w:t>Microsoft Excel</w:t>
      </w:r>
      <w:r w:rsidRPr="0052566C">
        <w:rPr>
          <w:rFonts w:ascii="Times New Roman" w:eastAsia="Times New Roman" w:hAnsi="Times New Roman" w:cs="Times New Roman"/>
          <w:sz w:val="24"/>
          <w:szCs w:val="24"/>
          <w:lang w:eastAsia="lt-LT"/>
        </w:rPr>
        <w:t xml:space="preserve"> programą.</w:t>
      </w:r>
    </w:p>
    <w:p w:rsidR="0039499B" w:rsidRPr="0052566C" w:rsidRDefault="0039499B" w:rsidP="0039499B">
      <w:pPr>
        <w:spacing w:before="120" w:after="120" w:line="240" w:lineRule="auto"/>
        <w:jc w:val="both"/>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2. Šioje instrukcijoje pateikiami patarimai dėl atskirų 5 priedo formos punktų pildymo.</w:t>
      </w:r>
    </w:p>
    <w:p w:rsidR="0039499B" w:rsidRPr="0052566C" w:rsidRDefault="0039499B" w:rsidP="0039499B">
      <w:pPr>
        <w:spacing w:before="120" w:after="120" w:line="240" w:lineRule="auto"/>
        <w:jc w:val="both"/>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3. Informacijos apie veiklos pelną duomenys įrašomi vadovaujantis instrukcija jiems skirtuose laukuose, kurie nuspalvinti žaliai. Geltonai nuspalvintuose laukuose duomenys apskaičiuojami automatiškai.</w:t>
      </w: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II SKYRIUS</w:t>
      </w:r>
    </w:p>
    <w:p w:rsidR="0039499B" w:rsidRPr="0052566C" w:rsidRDefault="0039499B" w:rsidP="0039499B">
      <w:pPr>
        <w:spacing w:before="120" w:after="240" w:line="240" w:lineRule="auto"/>
        <w:jc w:val="center"/>
        <w:rPr>
          <w:rFonts w:ascii="Times New Roman" w:eastAsia="Times New Roman" w:hAnsi="Times New Roman" w:cs="Times New Roman"/>
          <w:b/>
          <w:bCs/>
          <w:sz w:val="24"/>
          <w:szCs w:val="24"/>
          <w:lang w:eastAsia="lt-LT"/>
        </w:rPr>
      </w:pPr>
      <w:r w:rsidRPr="0052566C">
        <w:rPr>
          <w:rFonts w:ascii="Times New Roman" w:eastAsia="Times New Roman" w:hAnsi="Times New Roman" w:cs="Times New Roman"/>
          <w:b/>
          <w:bCs/>
          <w:sz w:val="24"/>
          <w:szCs w:val="24"/>
          <w:lang w:eastAsia="lt-LT"/>
        </w:rPr>
        <w:t>INFORMACIJOS APIE VEIKLOS PELNĄ PILDYMAS</w:t>
      </w:r>
    </w:p>
    <w:p w:rsidR="0039499B" w:rsidRPr="0052566C" w:rsidRDefault="0039499B" w:rsidP="0039499B">
      <w:pPr>
        <w:spacing w:before="120" w:after="12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 </w:t>
      </w:r>
      <w:r w:rsidRPr="0052566C">
        <w:rPr>
          <w:rFonts w:ascii="Times New Roman" w:eastAsia="Times New Roman" w:hAnsi="Times New Roman" w:cs="Times New Roman"/>
          <w:sz w:val="24"/>
          <w:szCs w:val="24"/>
          <w:lang w:eastAsia="lt-LT"/>
        </w:rPr>
        <w:t>4. „Bendri projekto duomenys“ pildomi:</w:t>
      </w: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BENDRI PROJEKTO DUOMENYS</w:t>
      </w:r>
    </w:p>
    <w:tbl>
      <w:tblPr>
        <w:tblW w:w="5000" w:type="pct"/>
        <w:tblCellMar>
          <w:left w:w="0" w:type="dxa"/>
          <w:right w:w="0" w:type="dxa"/>
        </w:tblCellMar>
        <w:tblLook w:val="04A0" w:firstRow="1" w:lastRow="0" w:firstColumn="1" w:lastColumn="0" w:noHBand="0" w:noVBand="1"/>
      </w:tblPr>
      <w:tblGrid>
        <w:gridCol w:w="2466"/>
        <w:gridCol w:w="7402"/>
      </w:tblGrid>
      <w:tr w:rsidR="0039499B" w:rsidRPr="0052566C" w:rsidTr="002E0178">
        <w:trPr>
          <w:trHeight w:val="353"/>
        </w:trPr>
        <w:tc>
          <w:tcPr>
            <w:tcW w:w="1257" w:type="pc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Projekto pavadinimas</w:t>
            </w:r>
          </w:p>
        </w:tc>
        <w:tc>
          <w:tcPr>
            <w:tcW w:w="3743"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Nurodomas projekto pavadinimas.</w:t>
            </w:r>
          </w:p>
        </w:tc>
      </w:tr>
      <w:tr w:rsidR="0039499B" w:rsidRPr="0052566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investicijų ataskaitinis laikotarpis, metai</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Nurodomas projekto investicijų ataskaitinis laikotarpis metais. Projekto investicijų ataskaitinis laikotarpis </w:t>
            </w:r>
            <w:r w:rsidR="00B32B01" w:rsidRPr="00B945A6">
              <w:rPr>
                <w:rFonts w:ascii="Times New Roman" w:eastAsia="Times New Roman" w:hAnsi="Times New Roman" w:cs="Times New Roman"/>
                <w:i/>
                <w:iCs/>
                <w:sz w:val="24"/>
                <w:szCs w:val="24"/>
                <w:highlight w:val="yellow"/>
                <w:lang w:eastAsia="lt-LT"/>
              </w:rPr>
              <w:t>– 15 metų.</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analizė“ nuostatas.</w:t>
            </w:r>
          </w:p>
        </w:tc>
      </w:tr>
      <w:tr w:rsidR="0039499B" w:rsidRPr="0052566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pradžios metai</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Nurodomi planuojami pirmieji projekto investicijų atlikimo metai.</w:t>
            </w:r>
          </w:p>
        </w:tc>
      </w:tr>
      <w:tr w:rsidR="0039499B" w:rsidRPr="0052566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Diskonto norma, proc.</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Nurodoma diskonto norma. Diskonto norma pasirenkama atsižvelgiant į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p.6.).</w:t>
            </w:r>
          </w:p>
        </w:tc>
      </w:tr>
      <w:tr w:rsidR="0039499B" w:rsidRPr="0052566C"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Tinkamos finansuoti projekto išlaidos, Eur</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Šiame laukelyje pateikiama bendra tinkamų finansuoti projekto investicijų išlaidų suma (elektroninėje Rekomendacijų</w:t>
            </w:r>
            <w:r w:rsidRPr="0052566C">
              <w:rPr>
                <w:rFonts w:ascii="Times New Roman" w:eastAsia="Times New Roman" w:hAnsi="Times New Roman" w:cs="Times New Roman"/>
                <w:sz w:val="24"/>
                <w:szCs w:val="24"/>
                <w:lang w:eastAsia="lt-LT"/>
              </w:rPr>
              <w:t xml:space="preserve"> </w:t>
            </w:r>
            <w:r w:rsidRPr="0052566C">
              <w:rPr>
                <w:rFonts w:ascii="Times New Roman" w:eastAsia="Times New Roman" w:hAnsi="Times New Roman" w:cs="Times New Roman"/>
                <w:i/>
                <w:iCs/>
                <w:sz w:val="24"/>
                <w:szCs w:val="24"/>
                <w:lang w:eastAsia="lt-LT"/>
              </w:rPr>
              <w:t>priedo formoje apskaičiuojama automatiškai).</w:t>
            </w:r>
          </w:p>
        </w:tc>
      </w:tr>
    </w:tbl>
    <w:p w:rsidR="0039499B" w:rsidRPr="0052566C" w:rsidRDefault="0039499B" w:rsidP="0039499B">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lastRenderedPageBreak/>
        <w:t> </w:t>
      </w:r>
    </w:p>
    <w:p w:rsidR="0039499B" w:rsidRPr="0052566C" w:rsidRDefault="0039499B" w:rsidP="0039499B">
      <w:pPr>
        <w:spacing w:before="120" w:after="120" w:line="240" w:lineRule="auto"/>
        <w:rPr>
          <w:rFonts w:ascii="Times New Roman" w:eastAsia="Times New Roman" w:hAnsi="Times New Roman" w:cs="Times New Roman"/>
          <w:sz w:val="24"/>
          <w:szCs w:val="24"/>
          <w:lang w:eastAsia="lt-LT"/>
        </w:rPr>
      </w:pPr>
    </w:p>
    <w:p w:rsidR="0039499B" w:rsidRPr="0052566C" w:rsidRDefault="0039499B" w:rsidP="0039499B">
      <w:pPr>
        <w:spacing w:before="120" w:after="12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5. „Prognozuojami finansiniai srautai“ pildomi:</w:t>
      </w: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PROGNOZUOJAMI FINANSINIAI SRAUTAI</w:t>
      </w:r>
    </w:p>
    <w:tbl>
      <w:tblPr>
        <w:tblW w:w="0" w:type="auto"/>
        <w:tblCellMar>
          <w:left w:w="0" w:type="dxa"/>
          <w:right w:w="0" w:type="dxa"/>
        </w:tblCellMar>
        <w:tblLook w:val="04A0" w:firstRow="1" w:lastRow="0" w:firstColumn="1" w:lastColumn="0" w:noHBand="0" w:noVBand="1"/>
      </w:tblPr>
      <w:tblGrid>
        <w:gridCol w:w="648"/>
        <w:gridCol w:w="6660"/>
        <w:gridCol w:w="540"/>
        <w:gridCol w:w="540"/>
        <w:gridCol w:w="540"/>
        <w:gridCol w:w="811"/>
      </w:tblGrid>
      <w:tr w:rsidR="0039499B" w:rsidRPr="0052566C" w:rsidTr="002E0178">
        <w:tc>
          <w:tcPr>
            <w:tcW w:w="648" w:type="dxa"/>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 Nr.</w:t>
            </w:r>
          </w:p>
        </w:tc>
        <w:tc>
          <w:tcPr>
            <w:tcW w:w="6660" w:type="dxa"/>
            <w:vMerge w:val="restart"/>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 </w:t>
            </w:r>
          </w:p>
        </w:tc>
        <w:tc>
          <w:tcPr>
            <w:tcW w:w="2431" w:type="dxa"/>
            <w:gridSpan w:val="4"/>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Metai</w:t>
            </w:r>
          </w:p>
        </w:tc>
      </w:tr>
      <w:tr w:rsidR="0039499B" w:rsidRPr="0052566C" w:rsidTr="002E0178">
        <w:tc>
          <w:tcPr>
            <w:tcW w:w="0" w:type="auto"/>
            <w:vMerge/>
            <w:tcBorders>
              <w:top w:val="single" w:sz="8" w:space="0" w:color="auto"/>
              <w:left w:val="single" w:sz="8" w:space="0" w:color="auto"/>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1</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2</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w:t>
            </w:r>
          </w:p>
        </w:tc>
        <w:tc>
          <w:tcPr>
            <w:tcW w:w="811"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n</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Projekto investicijų išlaidos,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Šiame laukelyje pateikiama bendra tinkamų pagal Reglamentą (ES) Nr. 651/2014 finansuoti ir netinkamų finansuoti) atitinkamų metų projekto investicijų išlaidų suma (elektroninėje Rekomendacijų</w:t>
            </w:r>
            <w:r w:rsidRPr="0052566C">
              <w:rPr>
                <w:rFonts w:ascii="Times New Roman" w:eastAsia="Times New Roman" w:hAnsi="Times New Roman" w:cs="Times New Roman"/>
                <w:sz w:val="24"/>
                <w:szCs w:val="24"/>
                <w:lang w:eastAsia="lt-LT"/>
              </w:rPr>
              <w:t xml:space="preserve"> </w:t>
            </w:r>
            <w:r w:rsidRPr="0052566C">
              <w:rPr>
                <w:rFonts w:ascii="Times New Roman" w:eastAsia="Times New Roman" w:hAnsi="Times New Roman" w:cs="Times New Roman"/>
                <w:i/>
                <w:iCs/>
                <w:sz w:val="24"/>
                <w:szCs w:val="24"/>
                <w:lang w:eastAsia="lt-LT"/>
              </w:rPr>
              <w:t xml:space="preserve">priedo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1.1.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Tinkamos finansuoti projekto investicijų išlaidos,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Šiame laukelyje įrašomos tinkamos pagal Reglamentą (ES) Nr. 651/2014 finansuoti projekto investicijų išlaidos pamečiui. Laukeliuose įrašoma tik bendra tiems metams tenkanti tinkamų finansuoti projekto investicijų išlaidų suma, neskaidant jos pagal išlaidų kategorijas.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1.2.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Netinkamos finansuoti projekto investicijų išlaidos,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Įrašomos bendros netinkamos pagal Reglamentą (ES) Nr. 651/2014 finansuoti projekto investicijų išlaidos pamečiui. Laukeliuose įrašoma tik bendra tiems metams tenkanti netinkamų pagal Reglamentą (ES) Nr. 651/2014 finansuoti projekto investicijų išlaidų suma, neskaidant jos pagal atskiras išlaidas.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Projekto veiklos išlaidos,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Šiame laukelyje pateikiama bendra atitinkamų metų projekto veiklos išlaidų suma (elektroninėje informacijos apie veiklos pelną formoje apskaičiuojama automatiškai).</w:t>
            </w:r>
            <w:r w:rsidRPr="0052566C">
              <w:rPr>
                <w:rFonts w:ascii="Times New Roman" w:eastAsia="Times New Roman" w:hAnsi="Times New Roman" w:cs="Times New Roman"/>
                <w:sz w:val="24"/>
                <w:szCs w:val="24"/>
                <w:lang w:eastAsia="lt-LT"/>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2.1.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Pildant lentelę visų pirma išskiriamos projekto veiklos išlaidų kategorijos (tarp jų ir pakartotinės investicijos). Prie šių kategorijų vėliau priskiriami išlaidų dydžiai pamečiui pagal jų padarymo laiką iki ataskaitinio laikotarpio pabaigos. Projekto veiklos išlaidų priskyrimo prie projekto pagrindimas pagal kiekvieną veiklos išlaidų kategoriją turi būti aprašytas informacijos apie veiklos pelną 5 lentelėje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2.2.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2. n</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3.</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Projekto veiklos pajamos,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Šiame laukelyje pateikiama bendra atitinkamų metų projekto veiklos pajamų suma (elektroninėje Informacijos apie veiklos pelną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3.1.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Pildant lentelės 3 punktą visų pirma išskiriamos projekto pajamų kategorijos. Prie šių kategorijų vėliau priskiriamos pajamos pamečiui pagal jų gavimo laiką iki ataskaitinio laikotarpio pabaigos. Projekto pajamų priskyrimo prie projekto pagrindimas pagal kiekvieną išlaidų kategoriją yra aprašomas informacijos apie veiklos pelną 5 skyriuje „Pagrindinių skaičiavimo prielaidų </w:t>
            </w:r>
            <w:r w:rsidRPr="0052566C">
              <w:rPr>
                <w:rFonts w:ascii="Times New Roman" w:eastAsia="Times New Roman" w:hAnsi="Times New Roman" w:cs="Times New Roman"/>
                <w:i/>
                <w:iCs/>
                <w:sz w:val="24"/>
                <w:szCs w:val="24"/>
                <w:lang w:eastAsia="lt-LT"/>
              </w:rPr>
              <w:lastRenderedPageBreak/>
              <w:t xml:space="preserve">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lastRenderedPageBreak/>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lastRenderedPageBreak/>
              <w:t>3.2.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3. n</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4.</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Pinigų srautas iš veiklos,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Šiame laukelyje pateikiama bendra atitinkamų metų pinigų srauto iš veiklos suma – t. y. projekto veiklos diskontuotų pajamų ir išlaidų skirtumas (elektroninėje informacijos apie veiklos pelną priedo formoje apskaičiuojama automatiškai).</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r w:rsidR="0039499B" w:rsidRPr="0052566C"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5.</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Turto likutinė vertė, Eur</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Turto likutinė vertė apskaičiuojama vadovaujantis Investicijų projektų metodikos 4 skyriaus „Finansinė</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analizė“ nuostatas ir įrašoma į tam skirtą laukelį. Likutinės vertės apskaičiavimo ir įvertinimo pagrindimas yra aprašomas informacijos apie veiklos pelną 5 lentelėje „Pagrindinių skaičiavimo prielaidų pagrindimas“. </w:t>
            </w:r>
          </w:p>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Turto likutinė vertė šiame lauke nurodoma tik tuo atveju, jeigu projektas generuoja veiklos pelną.</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r>
    </w:tbl>
    <w:p w:rsidR="0039499B" w:rsidRPr="0052566C" w:rsidRDefault="0039499B" w:rsidP="0039499B">
      <w:pPr>
        <w:spacing w:after="0" w:line="240" w:lineRule="auto"/>
        <w:rPr>
          <w:rFonts w:ascii="Times New Roman" w:eastAsia="Times New Roman" w:hAnsi="Times New Roman" w:cs="Times New Roman"/>
          <w:b/>
          <w:bCs/>
          <w:sz w:val="24"/>
          <w:szCs w:val="24"/>
          <w:lang w:eastAsia="lt-LT"/>
        </w:rPr>
      </w:pPr>
    </w:p>
    <w:p w:rsidR="0039499B" w:rsidRPr="0052566C" w:rsidRDefault="0039499B" w:rsidP="0039499B">
      <w:pPr>
        <w:spacing w:after="12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 </w:t>
      </w:r>
      <w:r w:rsidRPr="0052566C">
        <w:rPr>
          <w:rFonts w:ascii="Times New Roman" w:eastAsia="Times New Roman" w:hAnsi="Times New Roman" w:cs="Times New Roman"/>
          <w:sz w:val="24"/>
          <w:szCs w:val="24"/>
          <w:lang w:eastAsia="lt-LT"/>
        </w:rPr>
        <w:t>6. „Finansinės analizės rezultatai“ pateikiama:</w:t>
      </w: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FINANSINĖS ANALIZĖS REZULTATAI</w:t>
      </w:r>
    </w:p>
    <w:tbl>
      <w:tblPr>
        <w:tblW w:w="5000" w:type="pct"/>
        <w:tblCellMar>
          <w:left w:w="0" w:type="dxa"/>
          <w:right w:w="0" w:type="dxa"/>
        </w:tblCellMar>
        <w:tblLook w:val="04A0" w:firstRow="1" w:lastRow="0" w:firstColumn="1" w:lastColumn="0" w:noHBand="0" w:noVBand="1"/>
      </w:tblPr>
      <w:tblGrid>
        <w:gridCol w:w="2846"/>
        <w:gridCol w:w="7022"/>
      </w:tblGrid>
      <w:tr w:rsidR="0039499B" w:rsidRPr="0052566C" w:rsidTr="002E0178">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E6E6E6"/>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xml:space="preserve"> Diskontuotas projekto veiklos pelnas (tenkantis tinkamoms finansuoti projekto išlaidoms, Eur </w:t>
            </w:r>
          </w:p>
        </w:tc>
        <w:tc>
          <w:tcPr>
            <w:tcW w:w="3558"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Šiame laukelyje pateikiama projekto veiklos pelno, tenkančio tinkamoms</w:t>
            </w:r>
            <w:r w:rsidRPr="0052566C">
              <w:rPr>
                <w:rFonts w:ascii="Times New Roman" w:eastAsia="Times New Roman" w:hAnsi="Times New Roman" w:cs="Times New Roman"/>
                <w:sz w:val="24"/>
                <w:szCs w:val="24"/>
                <w:lang w:eastAsia="lt-LT"/>
              </w:rPr>
              <w:t xml:space="preserve"> </w:t>
            </w:r>
            <w:r w:rsidRPr="0052566C">
              <w:rPr>
                <w:rFonts w:ascii="Times New Roman" w:eastAsia="Times New Roman" w:hAnsi="Times New Roman" w:cs="Times New Roman"/>
                <w:i/>
                <w:iCs/>
                <w:sz w:val="24"/>
                <w:szCs w:val="24"/>
                <w:lang w:eastAsia="lt-LT"/>
              </w:rPr>
              <w:t>pagal Reglamentą (ES) Nr. 651/2014 finansuoti projekto išlaidoms dabartinė vertė (elektroninėje informacijos apie veiklos pelną formoje apskaičiuojama automatiškai).</w:t>
            </w:r>
          </w:p>
        </w:tc>
      </w:tr>
    </w:tbl>
    <w:p w:rsidR="0039499B" w:rsidRPr="0052566C" w:rsidRDefault="0039499B" w:rsidP="0039499B">
      <w:pPr>
        <w:spacing w:before="120" w:after="12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7. „Valstybės pagalbos dydis</w:t>
      </w:r>
      <w:r w:rsidR="0016259B" w:rsidRPr="0016259B">
        <w:rPr>
          <w:rFonts w:ascii="Times New Roman" w:eastAsia="Times New Roman" w:hAnsi="Times New Roman" w:cs="Times New Roman"/>
          <w:sz w:val="24"/>
          <w:szCs w:val="24"/>
          <w:highlight w:val="yellow"/>
          <w:lang w:eastAsia="lt-LT"/>
        </w:rPr>
        <w:t xml:space="preserve"> </w:t>
      </w:r>
      <w:r w:rsidR="0016259B" w:rsidRPr="0016259B">
        <w:rPr>
          <w:rFonts w:ascii="Times New Roman" w:hAnsi="Times New Roman" w:cs="Times New Roman"/>
          <w:bCs/>
          <w:sz w:val="24"/>
          <w:szCs w:val="24"/>
          <w:highlight w:val="yellow"/>
        </w:rPr>
        <w:t>(jeigu valstybės pagalbos dydis apskaičiuojamas nustatoma pagal Reglamento (ES) Nr. 651/2014 53 straipsnio 8 dalies nuostatas, ši informacija laikoma tik informacinio pobūdžio)</w:t>
      </w:r>
      <w:r w:rsidR="00647E3E" w:rsidRPr="0016259B">
        <w:rPr>
          <w:rFonts w:ascii="Times New Roman" w:eastAsia="Times New Roman" w:hAnsi="Times New Roman" w:cs="Times New Roman"/>
          <w:sz w:val="24"/>
          <w:szCs w:val="24"/>
          <w:highlight w:val="yellow"/>
          <w:lang w:eastAsia="lt-LT"/>
        </w:rPr>
        <w:t xml:space="preserve">“ </w:t>
      </w:r>
      <w:bookmarkStart w:id="0" w:name="_GoBack"/>
      <w:bookmarkEnd w:id="0"/>
      <w:r w:rsidRPr="0052566C">
        <w:rPr>
          <w:rFonts w:ascii="Times New Roman" w:eastAsia="Times New Roman" w:hAnsi="Times New Roman" w:cs="Times New Roman"/>
          <w:sz w:val="24"/>
          <w:szCs w:val="24"/>
          <w:lang w:eastAsia="lt-LT"/>
        </w:rPr>
        <w:t>pateikiama:</w:t>
      </w: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VALSTYBĖS PAGALBOS DYDIS PROJEKTUI</w:t>
      </w:r>
    </w:p>
    <w:tbl>
      <w:tblPr>
        <w:tblW w:w="5000" w:type="pct"/>
        <w:tblCellMar>
          <w:left w:w="0" w:type="dxa"/>
          <w:right w:w="0" w:type="dxa"/>
        </w:tblCellMar>
        <w:tblLook w:val="04A0" w:firstRow="1" w:lastRow="0" w:firstColumn="1" w:lastColumn="0" w:noHBand="0" w:noVBand="1"/>
      </w:tblPr>
      <w:tblGrid>
        <w:gridCol w:w="2846"/>
        <w:gridCol w:w="7022"/>
      </w:tblGrid>
      <w:tr w:rsidR="0039499B" w:rsidRPr="0052566C" w:rsidTr="002E0178">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 </w:t>
            </w:r>
            <w:r w:rsidRPr="0052566C">
              <w:rPr>
                <w:rFonts w:ascii="Times New Roman" w:eastAsia="Times New Roman" w:hAnsi="Times New Roman" w:cs="Times New Roman"/>
                <w:sz w:val="24"/>
                <w:szCs w:val="24"/>
                <w:lang w:eastAsia="lt-LT"/>
              </w:rPr>
              <w:t>Valstybės pagalbos dydis projektui suma, Eur</w:t>
            </w:r>
          </w:p>
        </w:tc>
        <w:tc>
          <w:tcPr>
            <w:tcW w:w="3558"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Šiame laukelyje pateikiama didžiausia galima valstybės pagalbos projektui suma (elektroninėje informacijos apie veiklos pelną formoje apskaičiuojama automatiškai). </w:t>
            </w:r>
          </w:p>
        </w:tc>
      </w:tr>
    </w:tbl>
    <w:p w:rsidR="0039499B" w:rsidRPr="0052566C" w:rsidRDefault="0039499B" w:rsidP="0039499B">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p w:rsidR="0039499B" w:rsidRPr="0052566C" w:rsidRDefault="0039499B" w:rsidP="0039499B">
      <w:pPr>
        <w:spacing w:before="120" w:after="12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8. „Pagrindinių skaičiavimo prielaidų pagrindimas“ pildomas:</w:t>
      </w:r>
    </w:p>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b/>
          <w:bCs/>
          <w:sz w:val="24"/>
          <w:szCs w:val="24"/>
          <w:lang w:eastAsia="lt-LT"/>
        </w:rPr>
        <w:t>PAGRINDINIŲ SKAIČIAVIMO PRIELAIDŲ PAGRINDIMAS</w:t>
      </w:r>
    </w:p>
    <w:tbl>
      <w:tblPr>
        <w:tblW w:w="5000" w:type="pct"/>
        <w:tblCellMar>
          <w:left w:w="0" w:type="dxa"/>
          <w:right w:w="0" w:type="dxa"/>
        </w:tblCellMar>
        <w:tblLook w:val="04A0" w:firstRow="1" w:lastRow="0" w:firstColumn="1" w:lastColumn="0" w:noHBand="0" w:noVBand="1"/>
      </w:tblPr>
      <w:tblGrid>
        <w:gridCol w:w="3979"/>
        <w:gridCol w:w="5889"/>
      </w:tblGrid>
      <w:tr w:rsidR="0039499B" w:rsidRPr="0052566C" w:rsidTr="002E0178">
        <w:trPr>
          <w:trHeight w:val="353"/>
        </w:trPr>
        <w:tc>
          <w:tcPr>
            <w:tcW w:w="2016"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investicijų ataskaitinis laikotarpis</w:t>
            </w:r>
          </w:p>
        </w:tc>
        <w:tc>
          <w:tcPr>
            <w:tcW w:w="2984"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Pasirinkto projekto investicijų ataskaitinio laikotarpio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Pagrindžiamas pasirinktas projekto investicijų ataskaitinis laikotarpis.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Diskonto norma</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Pasirinktos diskonto normos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Pagrindžiama pasirinkta diskonto norma.</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investicijų išlaidos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investicijų išlaidų apimties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Tinkamos finansuoti projekto investicijų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Pagrindžiamos projekto investicijų išlaidos. Pateikiami paaiškinimai, kuri dalis tinkamų pagal Reglamentą (ES) </w:t>
            </w:r>
            <w:r w:rsidRPr="0052566C">
              <w:rPr>
                <w:rFonts w:ascii="Times New Roman" w:eastAsia="Times New Roman" w:hAnsi="Times New Roman" w:cs="Times New Roman"/>
                <w:i/>
                <w:iCs/>
                <w:sz w:val="24"/>
                <w:szCs w:val="24"/>
                <w:lang w:eastAsia="lt-LT"/>
              </w:rPr>
              <w:lastRenderedPageBreak/>
              <w:t xml:space="preserve">Nr. 651/2014 finansuoti ir netinkamų finansuoti projekto išlaidų, nurodytų paraiškos formoje, yra įtraukiama į projekto investicijų išlaidas. </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lastRenderedPageBreak/>
              <w:t>Netinkamos finansuoti projekto investicijų išlaidos</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lastRenderedPageBreak/>
              <w:t xml:space="preserve">Projekto veiklos išlaidos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veiklos išlaidų apimties ir priskyrimo prie projekto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(2.1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Pagrindžiamos projekto veiklos išlaidos. Pateikiami paaiškinimai, kaip projekto veiklos išlaidos buvo priskirtos prie projekto. Jeigu jau yra atlikta išsami projekto diskontuoto pinigų srauto analizė, galima pateikti nuorodas į atskirai pridedamas jau atliktos analizės išvadas. </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(2.2 išlaidos)</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(2. n išlaidos)</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xml:space="preserve">Projekto veiklos pajamos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Projekto veiklos pajamų apimties ir priskyrimo prie projekto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(3.1 pajamos)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Pagrindžiamos projekto veiklos pajamos.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pan.). Pateikiami paaiškinimai kaip projekto veiklos pajamos buvo priskirtos prie projekto. Jeigu jau yra atlikta išsami projekto diskontuoto pinigų srauto analizė, galima pateikti nuorodas į atskirai pridedamas jau atliktos analizės išvadas. </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(3.2 pajamos)</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(3. n pajamos)</w:t>
            </w:r>
          </w:p>
        </w:tc>
        <w:tc>
          <w:tcPr>
            <w:tcW w:w="0" w:type="auto"/>
            <w:vMerge/>
            <w:tcBorders>
              <w:top w:val="nil"/>
              <w:left w:val="nil"/>
              <w:bottom w:val="single" w:sz="8" w:space="0" w:color="auto"/>
              <w:right w:val="single" w:sz="8" w:space="0" w:color="auto"/>
            </w:tcBorders>
            <w:vAlign w:val="cente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Turto likutinė vertė</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Turto likutinės vertės apskaičiavimo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Pateikiami paaiškinimai, kokius metodus taikant ir kaip buvo apskaičiuota turto likutinė vertė. </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Taikomas infliacijos dydis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Infliacijos dydžio apskaičiavimo pagrindimas</w:t>
            </w:r>
          </w:p>
        </w:tc>
      </w:tr>
      <w:tr w:rsidR="0039499B" w:rsidRPr="0052566C"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52566C" w:rsidRDefault="0039499B" w:rsidP="002E0178">
            <w:pPr>
              <w:spacing w:after="0" w:line="240" w:lineRule="auto"/>
              <w:rPr>
                <w:rFonts w:ascii="Times New Roman" w:eastAsia="Times New Roman" w:hAnsi="Times New Roman" w:cs="Times New Roman"/>
                <w:sz w:val="24"/>
                <w:szCs w:val="24"/>
                <w:lang w:eastAsia="lt-LT"/>
              </w:rPr>
            </w:pPr>
            <w:r w:rsidRPr="0052566C">
              <w:rPr>
                <w:rFonts w:ascii="Times New Roman" w:eastAsia="Times New Roman" w:hAnsi="Times New Roman" w:cs="Times New Roman"/>
                <w:i/>
                <w:iCs/>
                <w:sz w:val="24"/>
                <w:szCs w:val="24"/>
                <w:lang w:eastAsia="lt-LT"/>
              </w:rPr>
              <w:t xml:space="preserve">Pateikiami paaiškinimai, kokius kuo remiantis buvo nustatytas planuojamas infliacijos dydis. </w:t>
            </w:r>
          </w:p>
        </w:tc>
      </w:tr>
    </w:tbl>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52566C">
        <w:rPr>
          <w:rFonts w:ascii="Times New Roman" w:eastAsia="Times New Roman" w:hAnsi="Times New Roman" w:cs="Times New Roman"/>
          <w:sz w:val="24"/>
          <w:szCs w:val="24"/>
          <w:lang w:eastAsia="lt-LT"/>
        </w:rPr>
        <w:t>______________</w:t>
      </w:r>
    </w:p>
    <w:p w:rsidR="0078202A" w:rsidRDefault="0078202A" w:rsidP="0039499B">
      <w:pPr>
        <w:spacing w:after="0" w:line="240" w:lineRule="auto"/>
        <w:ind w:left="3969"/>
        <w:jc w:val="both"/>
      </w:pPr>
    </w:p>
    <w:sectPr w:rsidR="007820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9B"/>
    <w:rsid w:val="0016259B"/>
    <w:rsid w:val="0039499B"/>
    <w:rsid w:val="00647E3E"/>
    <w:rsid w:val="0078202A"/>
    <w:rsid w:val="00B32B01"/>
    <w:rsid w:val="00B945A6"/>
    <w:rsid w:val="00DE4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3949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39499B"/>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3949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39499B"/>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5611</Words>
  <Characters>3199</Characters>
  <Application>Microsoft Office Word</Application>
  <DocSecurity>0</DocSecurity>
  <Lines>26</Lines>
  <Paragraphs>17</Paragraphs>
  <ScaleCrop>false</ScaleCrop>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6</cp:revision>
  <dcterms:created xsi:type="dcterms:W3CDTF">2016-12-01T13:57:00Z</dcterms:created>
  <dcterms:modified xsi:type="dcterms:W3CDTF">2017-05-23T13:31:00Z</dcterms:modified>
</cp:coreProperties>
</file>