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5"/>
        <w:tblW w:w="0" w:type="auto"/>
        <w:tblLook w:val="04A0" w:firstRow="1" w:lastRow="0" w:firstColumn="1" w:lastColumn="0" w:noHBand="0" w:noVBand="1"/>
      </w:tblPr>
      <w:tblGrid>
        <w:gridCol w:w="704"/>
        <w:gridCol w:w="6662"/>
        <w:gridCol w:w="7194"/>
      </w:tblGrid>
      <w:tr w:rsidR="00B84847" w:rsidRPr="00E76D0B" w14:paraId="4FF7CC25" w14:textId="77777777" w:rsidTr="00B84847">
        <w:trPr>
          <w:trHeight w:val="840"/>
        </w:trPr>
        <w:tc>
          <w:tcPr>
            <w:tcW w:w="14560" w:type="dxa"/>
            <w:gridSpan w:val="3"/>
            <w:tcBorders>
              <w:top w:val="single" w:sz="4" w:space="0" w:color="FFFFFF" w:themeColor="background1"/>
              <w:left w:val="single" w:sz="4" w:space="0" w:color="FFFFFF" w:themeColor="background1"/>
              <w:right w:val="single" w:sz="4" w:space="0" w:color="FFFFFF" w:themeColor="background1"/>
            </w:tcBorders>
          </w:tcPr>
          <w:p w14:paraId="41F2FEC0" w14:textId="3CCBC5AE" w:rsidR="00AC02D6" w:rsidRPr="00E76D0B" w:rsidRDefault="00B84847" w:rsidP="00E76D0B">
            <w:pPr>
              <w:spacing w:line="276" w:lineRule="auto"/>
              <w:jc w:val="center"/>
              <w:rPr>
                <w:rFonts w:ascii="Times New Roman" w:hAnsi="Times New Roman" w:cs="Times New Roman"/>
                <w:b/>
                <w:sz w:val="24"/>
                <w:szCs w:val="24"/>
              </w:rPr>
            </w:pPr>
            <w:r w:rsidRPr="00E76D0B">
              <w:rPr>
                <w:rFonts w:ascii="Times New Roman" w:hAnsi="Times New Roman" w:cs="Times New Roman"/>
                <w:b/>
                <w:sz w:val="24"/>
                <w:szCs w:val="24"/>
              </w:rPr>
              <w:t>2014–2020 METŲ EUROPOS SĄJUNGOS FONDŲ INVESTICIJŲ VEIKSMŲ PROGRAM</w:t>
            </w:r>
            <w:r w:rsidR="00E93F72" w:rsidRPr="00E76D0B">
              <w:rPr>
                <w:rFonts w:ascii="Times New Roman" w:hAnsi="Times New Roman" w:cs="Times New Roman"/>
                <w:b/>
                <w:sz w:val="24"/>
                <w:szCs w:val="24"/>
              </w:rPr>
              <w:t xml:space="preserve">OS </w:t>
            </w:r>
            <w:r w:rsidR="000E7CB0" w:rsidRPr="00E76D0B">
              <w:rPr>
                <w:rFonts w:ascii="Times New Roman" w:hAnsi="Times New Roman" w:cs="Times New Roman"/>
                <w:b/>
                <w:sz w:val="24"/>
                <w:szCs w:val="24"/>
              </w:rPr>
              <w:t xml:space="preserve">PRIEMONĖS </w:t>
            </w:r>
            <w:r w:rsidR="003F31FA" w:rsidRPr="00E76D0B">
              <w:rPr>
                <w:rFonts w:ascii="Times New Roman" w:hAnsi="Times New Roman" w:cs="Times New Roman"/>
                <w:b/>
                <w:sz w:val="24"/>
                <w:szCs w:val="24"/>
              </w:rPr>
              <w:t xml:space="preserve">NR. 04.1.1-LVPA-K-109 </w:t>
            </w:r>
            <w:r w:rsidR="000E7CB0" w:rsidRPr="00E76D0B">
              <w:rPr>
                <w:rFonts w:ascii="Times New Roman" w:hAnsi="Times New Roman" w:cs="Times New Roman"/>
                <w:b/>
                <w:sz w:val="24"/>
                <w:szCs w:val="24"/>
              </w:rPr>
              <w:t>„</w:t>
            </w:r>
            <w:r w:rsidR="00AC02D6" w:rsidRPr="00E76D0B">
              <w:rPr>
                <w:rFonts w:ascii="Times New Roman" w:hAnsi="Times New Roman" w:cs="Times New Roman"/>
                <w:b/>
                <w:sz w:val="24"/>
                <w:szCs w:val="24"/>
              </w:rPr>
              <w:t>BIOKURO PANAUDOJIMO SKATINIMAS ŠILUMOS ENERGIJAI GAMINTI</w:t>
            </w:r>
            <w:r w:rsidR="000E7CB0" w:rsidRPr="00E76D0B">
              <w:rPr>
                <w:rFonts w:ascii="Times New Roman" w:hAnsi="Times New Roman" w:cs="Times New Roman"/>
                <w:b/>
                <w:sz w:val="24"/>
                <w:szCs w:val="24"/>
              </w:rPr>
              <w:t xml:space="preserve">“ </w:t>
            </w:r>
            <w:r w:rsidR="00AC02D6" w:rsidRPr="00E76D0B">
              <w:rPr>
                <w:rFonts w:ascii="Times New Roman" w:hAnsi="Times New Roman" w:cs="Times New Roman"/>
                <w:b/>
                <w:sz w:val="24"/>
                <w:szCs w:val="24"/>
              </w:rPr>
              <w:t>PROJEKTŲ FINANSAVIMO SĄLYGŲ APRAŠO NR. 1</w:t>
            </w:r>
            <w:r w:rsidRPr="00E76D0B">
              <w:rPr>
                <w:rFonts w:ascii="Times New Roman" w:hAnsi="Times New Roman" w:cs="Times New Roman"/>
                <w:b/>
                <w:sz w:val="24"/>
                <w:szCs w:val="24"/>
              </w:rPr>
              <w:t xml:space="preserve"> DERINIMO PAŽYMA</w:t>
            </w:r>
          </w:p>
          <w:p w14:paraId="4C1B577A" w14:textId="4A693A6B" w:rsidR="00B84847" w:rsidRPr="00E76D0B" w:rsidRDefault="00B84847" w:rsidP="00E76D0B">
            <w:pPr>
              <w:spacing w:line="276" w:lineRule="auto"/>
              <w:jc w:val="center"/>
              <w:rPr>
                <w:rFonts w:ascii="Times New Roman" w:hAnsi="Times New Roman" w:cs="Times New Roman"/>
                <w:b/>
                <w:sz w:val="24"/>
                <w:szCs w:val="24"/>
              </w:rPr>
            </w:pPr>
          </w:p>
        </w:tc>
      </w:tr>
      <w:tr w:rsidR="001F39C9" w:rsidRPr="00E76D0B" w14:paraId="55FC5DD7" w14:textId="77777777" w:rsidTr="005D518E">
        <w:tc>
          <w:tcPr>
            <w:tcW w:w="704" w:type="dxa"/>
          </w:tcPr>
          <w:p w14:paraId="705F85B3" w14:textId="6C18D2D3" w:rsidR="001F39C9" w:rsidRPr="00E76D0B" w:rsidRDefault="003D2E78"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 xml:space="preserve">Eil. </w:t>
            </w:r>
            <w:r w:rsidR="001F39C9" w:rsidRPr="00E76D0B">
              <w:rPr>
                <w:rFonts w:ascii="Times New Roman" w:hAnsi="Times New Roman" w:cs="Times New Roman"/>
                <w:sz w:val="24"/>
                <w:szCs w:val="24"/>
              </w:rPr>
              <w:t xml:space="preserve">Nr. </w:t>
            </w:r>
          </w:p>
        </w:tc>
        <w:tc>
          <w:tcPr>
            <w:tcW w:w="6662" w:type="dxa"/>
          </w:tcPr>
          <w:p w14:paraId="1B991133" w14:textId="77777777" w:rsidR="001F39C9" w:rsidRPr="00E76D0B" w:rsidRDefault="001F39C9" w:rsidP="00E76D0B">
            <w:pPr>
              <w:spacing w:line="276" w:lineRule="auto"/>
              <w:jc w:val="center"/>
              <w:rPr>
                <w:rFonts w:ascii="Times New Roman" w:hAnsi="Times New Roman" w:cs="Times New Roman"/>
                <w:sz w:val="24"/>
                <w:szCs w:val="24"/>
              </w:rPr>
            </w:pPr>
            <w:r w:rsidRPr="00E76D0B">
              <w:rPr>
                <w:rFonts w:ascii="Times New Roman" w:hAnsi="Times New Roman" w:cs="Times New Roman"/>
                <w:sz w:val="24"/>
                <w:szCs w:val="24"/>
              </w:rPr>
              <w:t>Pastabos, pasiūlymai</w:t>
            </w:r>
          </w:p>
        </w:tc>
        <w:tc>
          <w:tcPr>
            <w:tcW w:w="7194" w:type="dxa"/>
          </w:tcPr>
          <w:p w14:paraId="5A359E07" w14:textId="77777777" w:rsidR="001F39C9" w:rsidRPr="00E76D0B" w:rsidRDefault="0098483F" w:rsidP="00E76D0B">
            <w:pPr>
              <w:spacing w:line="276" w:lineRule="auto"/>
              <w:jc w:val="center"/>
              <w:rPr>
                <w:rFonts w:ascii="Times New Roman" w:hAnsi="Times New Roman" w:cs="Times New Roman"/>
                <w:sz w:val="24"/>
                <w:szCs w:val="24"/>
              </w:rPr>
            </w:pPr>
            <w:r w:rsidRPr="00E76D0B">
              <w:rPr>
                <w:rFonts w:ascii="Times New Roman" w:hAnsi="Times New Roman" w:cs="Times New Roman"/>
                <w:sz w:val="24"/>
                <w:szCs w:val="24"/>
              </w:rPr>
              <w:t>Pastabų ir pasiūlymų</w:t>
            </w:r>
            <w:r w:rsidR="001F39C9" w:rsidRPr="00E76D0B">
              <w:rPr>
                <w:rFonts w:ascii="Times New Roman" w:hAnsi="Times New Roman" w:cs="Times New Roman"/>
                <w:sz w:val="24"/>
                <w:szCs w:val="24"/>
              </w:rPr>
              <w:t xml:space="preserve"> vertinimas ir komentarai</w:t>
            </w:r>
          </w:p>
        </w:tc>
      </w:tr>
      <w:tr w:rsidR="0098483F" w:rsidRPr="00E76D0B" w14:paraId="62854058" w14:textId="77777777" w:rsidTr="00E503A0">
        <w:tc>
          <w:tcPr>
            <w:tcW w:w="14560" w:type="dxa"/>
            <w:gridSpan w:val="3"/>
            <w:shd w:val="clear" w:color="auto" w:fill="F2F2F2" w:themeFill="background1" w:themeFillShade="F2"/>
          </w:tcPr>
          <w:p w14:paraId="4DA8DF24" w14:textId="0C6F4F7D" w:rsidR="0098483F" w:rsidRPr="00E76D0B" w:rsidRDefault="00AC02D6" w:rsidP="00E76D0B">
            <w:pPr>
              <w:spacing w:line="276" w:lineRule="auto"/>
              <w:jc w:val="center"/>
              <w:rPr>
                <w:rFonts w:ascii="Times New Roman" w:hAnsi="Times New Roman" w:cs="Times New Roman"/>
                <w:b/>
                <w:sz w:val="24"/>
                <w:szCs w:val="24"/>
              </w:rPr>
            </w:pPr>
            <w:r w:rsidRPr="00E76D0B">
              <w:rPr>
                <w:rFonts w:ascii="Times New Roman" w:hAnsi="Times New Roman" w:cs="Times New Roman"/>
                <w:b/>
                <w:sz w:val="24"/>
                <w:szCs w:val="24"/>
              </w:rPr>
              <w:t xml:space="preserve">Lietuvos Respublikos Konkurencijos tarybos 2017 m. gegužės 3 d. raštas </w:t>
            </w:r>
            <w:r w:rsidR="00E72302" w:rsidRPr="00E76D0B">
              <w:rPr>
                <w:rFonts w:ascii="Times New Roman" w:hAnsi="Times New Roman" w:cs="Times New Roman"/>
                <w:b/>
                <w:sz w:val="24"/>
                <w:szCs w:val="24"/>
              </w:rPr>
              <w:t>Nr. (9.8-35)</w:t>
            </w:r>
            <w:r w:rsidRPr="00E76D0B">
              <w:rPr>
                <w:rFonts w:ascii="Times New Roman" w:hAnsi="Times New Roman" w:cs="Times New Roman"/>
                <w:b/>
                <w:sz w:val="24"/>
                <w:szCs w:val="24"/>
              </w:rPr>
              <w:t>6V-1078</w:t>
            </w:r>
          </w:p>
        </w:tc>
      </w:tr>
      <w:tr w:rsidR="0098483F" w:rsidRPr="00E76D0B" w14:paraId="5AF9BF3A" w14:textId="77777777" w:rsidTr="005D518E">
        <w:tc>
          <w:tcPr>
            <w:tcW w:w="704" w:type="dxa"/>
          </w:tcPr>
          <w:p w14:paraId="2D0248C3" w14:textId="77777777" w:rsidR="0098483F" w:rsidRPr="00E76D0B" w:rsidRDefault="00FC4AAC"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1</w:t>
            </w:r>
            <w:r w:rsidR="00DD2F63" w:rsidRPr="00E76D0B">
              <w:rPr>
                <w:rFonts w:ascii="Times New Roman" w:hAnsi="Times New Roman" w:cs="Times New Roman"/>
                <w:sz w:val="24"/>
                <w:szCs w:val="24"/>
              </w:rPr>
              <w:t>.</w:t>
            </w:r>
          </w:p>
        </w:tc>
        <w:tc>
          <w:tcPr>
            <w:tcW w:w="6662" w:type="dxa"/>
          </w:tcPr>
          <w:p w14:paraId="71B588EE" w14:textId="136BA588" w:rsidR="0098483F" w:rsidRPr="00E76D0B" w:rsidRDefault="003F31FA"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 xml:space="preserve">Kyla abejonių, ar 2014–2020 metų Europos Sąjungos fondų investicijų veiksmų programos priemonės Nr. 04.1.1-LVPA-K-109 „Biokuro panaudojimo skatinimas šilumos energijai gaminti“ (toliau – Priemonė) projektų finansavimo sąlygų aprašo Nr. 1 projekto (toliau – PFSA) 45 punkte nurodytos išlaidos </w:t>
            </w:r>
            <w:r w:rsidRPr="00E76D0B">
              <w:rPr>
                <w:rFonts w:ascii="Times New Roman" w:hAnsi="Times New Roman" w:cs="Times New Roman"/>
                <w:i/>
                <w:sz w:val="24"/>
                <w:szCs w:val="24"/>
              </w:rPr>
              <w:t>(</w:t>
            </w:r>
            <w:r w:rsidRPr="00E76D0B">
              <w:rPr>
                <w:rFonts w:ascii="Times New Roman" w:hAnsi="Times New Roman" w:cs="Times New Roman"/>
                <w:i/>
                <w:sz w:val="24"/>
                <w:szCs w:val="24"/>
                <w:lang w:eastAsia="lt-LT"/>
              </w:rPr>
              <w:t>apmokymo naudotis</w:t>
            </w:r>
            <w:r w:rsidR="00FC1AE2" w:rsidRPr="00E76D0B">
              <w:rPr>
                <w:rFonts w:ascii="Times New Roman" w:hAnsi="Times New Roman" w:cs="Times New Roman"/>
                <w:i/>
                <w:sz w:val="24"/>
                <w:szCs w:val="24"/>
                <w:lang w:eastAsia="lt-LT"/>
              </w:rPr>
              <w:t xml:space="preserve"> įrenginiu</w:t>
            </w:r>
            <w:r w:rsidRPr="00E76D0B">
              <w:rPr>
                <w:rFonts w:ascii="Times New Roman" w:hAnsi="Times New Roman" w:cs="Times New Roman"/>
                <w:i/>
                <w:sz w:val="24"/>
                <w:szCs w:val="24"/>
                <w:lang w:eastAsia="lt-LT"/>
              </w:rPr>
              <w:t>, saugos instruktažo, techninės priežiūros,  su išvardintų veiklų vykdymu susijęs darbo užmokestis bei komandiruočių išlaidos)</w:t>
            </w:r>
            <w:r w:rsidR="00FC1AE2" w:rsidRPr="00E76D0B">
              <w:rPr>
                <w:rFonts w:ascii="Times New Roman" w:hAnsi="Times New Roman" w:cs="Times New Roman"/>
                <w:sz w:val="24"/>
                <w:szCs w:val="24"/>
                <w:lang w:eastAsia="lt-LT"/>
              </w:rPr>
              <w:t xml:space="preserve"> gali būti laikytinomis tinkamomis finansuoti pagal Reglamento Nr. 651/2014 46 straipsnio 2 dalies nuostatas.</w:t>
            </w:r>
          </w:p>
        </w:tc>
        <w:tc>
          <w:tcPr>
            <w:tcW w:w="7194" w:type="dxa"/>
          </w:tcPr>
          <w:p w14:paraId="1E124956" w14:textId="6FB530CE" w:rsidR="00F66F03" w:rsidRPr="00E76D0B" w:rsidRDefault="00025A92" w:rsidP="00E76D0B">
            <w:pPr>
              <w:spacing w:line="276" w:lineRule="auto"/>
              <w:jc w:val="both"/>
              <w:rPr>
                <w:rFonts w:ascii="Times New Roman" w:hAnsi="Times New Roman" w:cs="Times New Roman"/>
                <w:b/>
                <w:sz w:val="24"/>
                <w:szCs w:val="24"/>
              </w:rPr>
            </w:pPr>
            <w:r>
              <w:rPr>
                <w:rFonts w:ascii="Times New Roman" w:hAnsi="Times New Roman" w:cs="Times New Roman"/>
                <w:b/>
                <w:sz w:val="24"/>
                <w:szCs w:val="24"/>
              </w:rPr>
              <w:t>Atsižvelgta iš dalies.</w:t>
            </w:r>
          </w:p>
          <w:p w14:paraId="05EFE0D2" w14:textId="1019B603" w:rsidR="00AC2513" w:rsidRDefault="00C060A9" w:rsidP="00E76D0B">
            <w:pPr>
              <w:spacing w:line="276" w:lineRule="auto"/>
              <w:jc w:val="both"/>
              <w:rPr>
                <w:rFonts w:ascii="Times New Roman" w:hAnsi="Times New Roman" w:cs="Times New Roman"/>
                <w:sz w:val="24"/>
                <w:szCs w:val="24"/>
                <w:lang w:eastAsia="lt-LT"/>
              </w:rPr>
            </w:pPr>
            <w:r w:rsidRPr="00E76D0B">
              <w:rPr>
                <w:rFonts w:ascii="Times New Roman" w:hAnsi="Times New Roman" w:cs="Times New Roman"/>
                <w:sz w:val="24"/>
                <w:szCs w:val="24"/>
              </w:rPr>
              <w:t xml:space="preserve">Išlaidos, </w:t>
            </w:r>
            <w:r w:rsidR="009B1A88" w:rsidRPr="00E76D0B">
              <w:rPr>
                <w:rFonts w:ascii="Times New Roman" w:hAnsi="Times New Roman" w:cs="Times New Roman"/>
                <w:sz w:val="24"/>
                <w:szCs w:val="24"/>
              </w:rPr>
              <w:t xml:space="preserve">apibrėžtos PFSA 45 punkte negali būti laikomos veiklos išlaidomis, </w:t>
            </w:r>
            <w:r w:rsidR="00AC2513" w:rsidRPr="00E76D0B">
              <w:rPr>
                <w:rFonts w:ascii="Times New Roman" w:hAnsi="Times New Roman" w:cs="Times New Roman"/>
                <w:sz w:val="24"/>
                <w:szCs w:val="24"/>
              </w:rPr>
              <w:t xml:space="preserve"> nes šios išlaidos negali būti priskiriamos prie įmonės p</w:t>
            </w:r>
            <w:r w:rsidR="00D52AF4" w:rsidRPr="00E76D0B">
              <w:rPr>
                <w:rFonts w:ascii="Times New Roman" w:hAnsi="Times New Roman" w:cs="Times New Roman"/>
                <w:sz w:val="24"/>
                <w:szCs w:val="24"/>
              </w:rPr>
              <w:t>atiriamų einamųjų kaštų.</w:t>
            </w:r>
            <w:r w:rsidR="00AC2513" w:rsidRPr="00E76D0B">
              <w:rPr>
                <w:rFonts w:ascii="Times New Roman" w:hAnsi="Times New Roman" w:cs="Times New Roman"/>
                <w:sz w:val="24"/>
                <w:szCs w:val="24"/>
              </w:rPr>
              <w:t xml:space="preserve"> </w:t>
            </w:r>
            <w:r w:rsidR="00D52AF4" w:rsidRPr="00E76D0B">
              <w:rPr>
                <w:rFonts w:ascii="Times New Roman" w:hAnsi="Times New Roman" w:cs="Times New Roman"/>
                <w:sz w:val="24"/>
                <w:szCs w:val="24"/>
              </w:rPr>
              <w:t>PFSA 45 punkte numatytos išlaidos</w:t>
            </w:r>
            <w:r w:rsidR="00A6466A" w:rsidRPr="00E76D0B">
              <w:rPr>
                <w:rFonts w:ascii="Times New Roman" w:hAnsi="Times New Roman" w:cs="Times New Roman"/>
                <w:sz w:val="24"/>
                <w:szCs w:val="24"/>
              </w:rPr>
              <w:t xml:space="preserve">  bus  susijusios tik</w:t>
            </w:r>
            <w:r w:rsidR="00A6466A" w:rsidRPr="00E76D0B">
              <w:rPr>
                <w:rFonts w:ascii="Times New Roman" w:hAnsi="Times New Roman" w:cs="Times New Roman"/>
                <w:sz w:val="24"/>
                <w:szCs w:val="24"/>
                <w:lang w:eastAsia="lt-LT"/>
              </w:rPr>
              <w:t xml:space="preserve"> su projekto veiklos (-ų) vykdymu.</w:t>
            </w:r>
          </w:p>
          <w:p w14:paraId="4568592C" w14:textId="0688C3FB" w:rsidR="00FD6CDC" w:rsidRPr="00E76D0B" w:rsidRDefault="00FD6CDC" w:rsidP="00E76D0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Atsižvelgiant į </w:t>
            </w:r>
            <w:r w:rsidR="00680B6E" w:rsidRPr="00E76D0B">
              <w:rPr>
                <w:rFonts w:ascii="Times New Roman" w:hAnsi="Times New Roman" w:cs="Times New Roman"/>
                <w:b/>
                <w:sz w:val="24"/>
                <w:szCs w:val="24"/>
              </w:rPr>
              <w:t xml:space="preserve"> </w:t>
            </w:r>
            <w:r w:rsidR="00680B6E" w:rsidRPr="00680B6E">
              <w:rPr>
                <w:rFonts w:ascii="Times New Roman" w:hAnsi="Times New Roman" w:cs="Times New Roman"/>
                <w:sz w:val="24"/>
                <w:szCs w:val="24"/>
              </w:rPr>
              <w:t>Viešosios įstaigos Lietuvos verslo paramos agentūra</w:t>
            </w:r>
            <w:r w:rsidR="00680B6E">
              <w:rPr>
                <w:rFonts w:ascii="Times New Roman" w:hAnsi="Times New Roman" w:cs="Times New Roman"/>
                <w:sz w:val="24"/>
                <w:szCs w:val="24"/>
              </w:rPr>
              <w:t xml:space="preserve"> pateiktą pastabą dėl PFSA 45 punkt</w:t>
            </w:r>
            <w:r w:rsidR="008F4ADE">
              <w:rPr>
                <w:rFonts w:ascii="Times New Roman" w:hAnsi="Times New Roman" w:cs="Times New Roman"/>
                <w:sz w:val="24"/>
                <w:szCs w:val="24"/>
              </w:rPr>
              <w:t>e numatytų darbo užmokesčio ir komandiruočių išlaidų</w:t>
            </w:r>
            <w:r w:rsidR="00CB1244">
              <w:rPr>
                <w:rFonts w:ascii="Times New Roman" w:hAnsi="Times New Roman" w:cs="Times New Roman"/>
                <w:sz w:val="24"/>
                <w:szCs w:val="24"/>
              </w:rPr>
              <w:t xml:space="preserve"> (pastaba Nr. 13 šioje derinimo pažymoje)</w:t>
            </w:r>
            <w:r w:rsidR="008F4ADE">
              <w:rPr>
                <w:rFonts w:ascii="Times New Roman" w:hAnsi="Times New Roman" w:cs="Times New Roman"/>
                <w:sz w:val="24"/>
                <w:szCs w:val="24"/>
              </w:rPr>
              <w:t xml:space="preserve">, šios išlaidos </w:t>
            </w:r>
            <w:r w:rsidR="00B4369C">
              <w:rPr>
                <w:rFonts w:ascii="Times New Roman" w:hAnsi="Times New Roman" w:cs="Times New Roman"/>
                <w:sz w:val="24"/>
                <w:szCs w:val="24"/>
              </w:rPr>
              <w:t>išimtos iš tinkamų finansuoti</w:t>
            </w:r>
            <w:r w:rsidR="00D5123C">
              <w:rPr>
                <w:rFonts w:ascii="Times New Roman" w:hAnsi="Times New Roman" w:cs="Times New Roman"/>
                <w:sz w:val="24"/>
                <w:szCs w:val="24"/>
              </w:rPr>
              <w:t xml:space="preserve"> išlaidų</w:t>
            </w:r>
            <w:r w:rsidR="00B4369C">
              <w:rPr>
                <w:rFonts w:ascii="Times New Roman" w:hAnsi="Times New Roman" w:cs="Times New Roman"/>
                <w:sz w:val="24"/>
                <w:szCs w:val="24"/>
              </w:rPr>
              <w:t xml:space="preserve"> sąrašo.</w:t>
            </w:r>
          </w:p>
          <w:p w14:paraId="7ACE64B0" w14:textId="47C5CA26" w:rsidR="00DD2F63" w:rsidRPr="00E76D0B" w:rsidRDefault="00DD2F63" w:rsidP="00E76D0B">
            <w:pPr>
              <w:spacing w:line="276" w:lineRule="auto"/>
              <w:jc w:val="both"/>
              <w:rPr>
                <w:rFonts w:ascii="Times New Roman" w:hAnsi="Times New Roman" w:cs="Times New Roman"/>
                <w:sz w:val="24"/>
                <w:szCs w:val="24"/>
              </w:rPr>
            </w:pPr>
          </w:p>
        </w:tc>
      </w:tr>
      <w:tr w:rsidR="002A5512" w:rsidRPr="00E76D0B" w14:paraId="7975A8D3" w14:textId="77777777" w:rsidTr="00E503A0">
        <w:tc>
          <w:tcPr>
            <w:tcW w:w="14560" w:type="dxa"/>
            <w:gridSpan w:val="3"/>
            <w:shd w:val="clear" w:color="auto" w:fill="F2F2F2" w:themeFill="background1" w:themeFillShade="F2"/>
          </w:tcPr>
          <w:p w14:paraId="3A2A07AF" w14:textId="0CC1861A" w:rsidR="002A5512" w:rsidRPr="00E76D0B" w:rsidRDefault="00E72302" w:rsidP="00E76D0B">
            <w:pPr>
              <w:spacing w:line="276" w:lineRule="auto"/>
              <w:jc w:val="center"/>
              <w:rPr>
                <w:rFonts w:ascii="Times New Roman" w:hAnsi="Times New Roman" w:cs="Times New Roman"/>
                <w:b/>
                <w:sz w:val="24"/>
                <w:szCs w:val="24"/>
              </w:rPr>
            </w:pPr>
            <w:r w:rsidRPr="00E76D0B">
              <w:rPr>
                <w:rFonts w:ascii="Times New Roman" w:hAnsi="Times New Roman" w:cs="Times New Roman"/>
                <w:b/>
                <w:sz w:val="24"/>
                <w:szCs w:val="24"/>
              </w:rPr>
              <w:t>Lietuvos Respublikos aplinkos ministerijos 2017 m. gegužės 5 d. raštas Nr. (15-1)-D8-3354</w:t>
            </w:r>
          </w:p>
        </w:tc>
      </w:tr>
      <w:tr w:rsidR="00DA177B" w:rsidRPr="00E76D0B" w14:paraId="1874196A" w14:textId="77777777" w:rsidTr="00E76D0B">
        <w:trPr>
          <w:trHeight w:val="557"/>
        </w:trPr>
        <w:tc>
          <w:tcPr>
            <w:tcW w:w="704" w:type="dxa"/>
          </w:tcPr>
          <w:p w14:paraId="31DAA834" w14:textId="77777777" w:rsidR="00DA177B" w:rsidRPr="00E76D0B" w:rsidRDefault="00FC4AAC"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2</w:t>
            </w:r>
            <w:r w:rsidR="003151FA" w:rsidRPr="00E76D0B">
              <w:rPr>
                <w:rFonts w:ascii="Times New Roman" w:hAnsi="Times New Roman" w:cs="Times New Roman"/>
                <w:sz w:val="24"/>
                <w:szCs w:val="24"/>
              </w:rPr>
              <w:t>.</w:t>
            </w:r>
          </w:p>
        </w:tc>
        <w:tc>
          <w:tcPr>
            <w:tcW w:w="6662" w:type="dxa"/>
          </w:tcPr>
          <w:p w14:paraId="2C73AEFB" w14:textId="2D2DA2B6" w:rsidR="00DA177B" w:rsidRPr="00E76D0B" w:rsidRDefault="00EE3ABC"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Siūloma PFSA papildyti nuostata, reikalaujančia finansuoti tik tokius projektus, kuriuose bus įrengiami nauji šilumos gamybos įrenginiai, kurių į aplinkos orą išmetamas teršalų kiekis neviršija 2015 m. lapkričio 25 d. Europos Parlamento ir Tarybos direktyvoje (ES) 2015/2193 dėl tam tikrų teršalų, išmetamų</w:t>
            </w:r>
            <w:r w:rsidR="0047671B" w:rsidRPr="00E76D0B">
              <w:rPr>
                <w:rFonts w:ascii="Times New Roman" w:hAnsi="Times New Roman" w:cs="Times New Roman"/>
                <w:sz w:val="24"/>
                <w:szCs w:val="24"/>
              </w:rPr>
              <w:t xml:space="preserve"> į orą iš vidutinio dydžio kurą deginančių įrenginių</w:t>
            </w:r>
            <w:r w:rsidR="00FC2545" w:rsidRPr="00E76D0B">
              <w:rPr>
                <w:rFonts w:ascii="Times New Roman" w:hAnsi="Times New Roman" w:cs="Times New Roman"/>
                <w:sz w:val="24"/>
                <w:szCs w:val="24"/>
              </w:rPr>
              <w:t xml:space="preserve"> (toliau–Teršalų direktyva)</w:t>
            </w:r>
            <w:r w:rsidR="00E578EC" w:rsidRPr="00E76D0B">
              <w:rPr>
                <w:rFonts w:ascii="Times New Roman" w:hAnsi="Times New Roman" w:cs="Times New Roman"/>
                <w:sz w:val="24"/>
                <w:szCs w:val="24"/>
              </w:rPr>
              <w:t>, kiekio apribojimo naujiems įrenginiams taikomų išmetamų teršalų verčių.</w:t>
            </w:r>
          </w:p>
        </w:tc>
        <w:tc>
          <w:tcPr>
            <w:tcW w:w="7194" w:type="dxa"/>
          </w:tcPr>
          <w:p w14:paraId="7421F1FA" w14:textId="77777777" w:rsidR="006053AC" w:rsidRPr="00E76D0B" w:rsidRDefault="00F66F03" w:rsidP="00E76D0B">
            <w:pPr>
              <w:spacing w:line="276" w:lineRule="auto"/>
              <w:jc w:val="both"/>
              <w:rPr>
                <w:rFonts w:ascii="Times New Roman" w:hAnsi="Times New Roman" w:cs="Times New Roman"/>
                <w:b/>
                <w:sz w:val="24"/>
                <w:szCs w:val="24"/>
              </w:rPr>
            </w:pPr>
            <w:r w:rsidRPr="00E76D0B">
              <w:rPr>
                <w:rFonts w:ascii="Times New Roman" w:hAnsi="Times New Roman" w:cs="Times New Roman"/>
                <w:b/>
                <w:sz w:val="24"/>
                <w:szCs w:val="24"/>
              </w:rPr>
              <w:t>Neatsižvelgta</w:t>
            </w:r>
            <w:r w:rsidR="006053AC" w:rsidRPr="00E76D0B">
              <w:rPr>
                <w:rFonts w:ascii="Times New Roman" w:hAnsi="Times New Roman" w:cs="Times New Roman"/>
                <w:b/>
                <w:sz w:val="24"/>
                <w:szCs w:val="24"/>
              </w:rPr>
              <w:t>.</w:t>
            </w:r>
          </w:p>
          <w:p w14:paraId="3397F75F" w14:textId="6188FD57" w:rsidR="009A53F4" w:rsidRPr="00E76D0B" w:rsidRDefault="00FB6BD3"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Projekto vykdytojai, norėdami pradėti eksploatuoti kurą deginantį įrenginį, pagal Lietuvos Respublikos aplinkos apsaugos įstatymo 19 straipsnį</w:t>
            </w:r>
            <w:r w:rsidR="00872EFE" w:rsidRPr="00E76D0B">
              <w:rPr>
                <w:rFonts w:ascii="Times New Roman" w:hAnsi="Times New Roman" w:cs="Times New Roman"/>
                <w:sz w:val="24"/>
                <w:szCs w:val="24"/>
              </w:rPr>
              <w:t>,</w:t>
            </w:r>
            <w:r w:rsidRPr="00E76D0B">
              <w:rPr>
                <w:rFonts w:ascii="Times New Roman" w:hAnsi="Times New Roman" w:cs="Times New Roman"/>
                <w:sz w:val="24"/>
                <w:szCs w:val="24"/>
              </w:rPr>
              <w:t xml:space="preserve"> privalės gauti taršos leidimą</w:t>
            </w:r>
            <w:r w:rsidR="009A53F4" w:rsidRPr="00E76D0B">
              <w:rPr>
                <w:rFonts w:ascii="Times New Roman" w:hAnsi="Times New Roman" w:cs="Times New Roman"/>
                <w:sz w:val="24"/>
                <w:szCs w:val="24"/>
              </w:rPr>
              <w:t xml:space="preserve">. Gavus leidimą, ūkinė veikla galės būti  pradėta vykdyti tik pagal taršos leidime nustatytas sąlygas ir neviršijant aplinkos apsaugos normatyvų (LAND 43-2013 normos) bei standartų. </w:t>
            </w:r>
          </w:p>
          <w:p w14:paraId="15F2A36C" w14:textId="330DBB70" w:rsidR="003151FA" w:rsidRPr="00E76D0B" w:rsidRDefault="003278CF"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 xml:space="preserve">Atsižvelgiant į tai, kad </w:t>
            </w:r>
            <w:r w:rsidR="00FC2545" w:rsidRPr="00E76D0B">
              <w:rPr>
                <w:rFonts w:ascii="Times New Roman" w:hAnsi="Times New Roman" w:cs="Times New Roman"/>
                <w:sz w:val="24"/>
                <w:szCs w:val="24"/>
              </w:rPr>
              <w:t>Teršalų direktyvai nėra taikomas ti</w:t>
            </w:r>
            <w:r w:rsidR="00D83ABF" w:rsidRPr="00E76D0B">
              <w:rPr>
                <w:rFonts w:ascii="Times New Roman" w:hAnsi="Times New Roman" w:cs="Times New Roman"/>
                <w:sz w:val="24"/>
                <w:szCs w:val="24"/>
              </w:rPr>
              <w:t>esioginio taikymo principas, ne</w:t>
            </w:r>
            <w:r w:rsidR="00417A3B" w:rsidRPr="00E76D0B">
              <w:rPr>
                <w:rFonts w:ascii="Times New Roman" w:hAnsi="Times New Roman" w:cs="Times New Roman"/>
                <w:sz w:val="24"/>
                <w:szCs w:val="24"/>
              </w:rPr>
              <w:t>perkėlus</w:t>
            </w:r>
            <w:r w:rsidR="00FC2545" w:rsidRPr="00E76D0B">
              <w:rPr>
                <w:rFonts w:ascii="Times New Roman" w:hAnsi="Times New Roman" w:cs="Times New Roman"/>
                <w:sz w:val="24"/>
                <w:szCs w:val="24"/>
              </w:rPr>
              <w:t xml:space="preserve"> šios direktyvos į nacionalinę teisę, ji negalės būti tinkamai taikoma</w:t>
            </w:r>
            <w:r w:rsidR="003C13B4" w:rsidRPr="00E76D0B">
              <w:rPr>
                <w:rFonts w:ascii="Times New Roman" w:hAnsi="Times New Roman" w:cs="Times New Roman"/>
                <w:sz w:val="24"/>
                <w:szCs w:val="24"/>
              </w:rPr>
              <w:t>,</w:t>
            </w:r>
            <w:r w:rsidR="00FC2545" w:rsidRPr="00E76D0B">
              <w:rPr>
                <w:rFonts w:ascii="Times New Roman" w:hAnsi="Times New Roman" w:cs="Times New Roman"/>
                <w:sz w:val="24"/>
                <w:szCs w:val="24"/>
              </w:rPr>
              <w:t xml:space="preserve"> t. </w:t>
            </w:r>
            <w:r w:rsidR="003C13B4" w:rsidRPr="00E76D0B">
              <w:rPr>
                <w:rFonts w:ascii="Times New Roman" w:hAnsi="Times New Roman" w:cs="Times New Roman"/>
                <w:sz w:val="24"/>
                <w:szCs w:val="24"/>
              </w:rPr>
              <w:t>y. nebus užtikrinama</w:t>
            </w:r>
            <w:r w:rsidR="00FC2545" w:rsidRPr="00E76D0B">
              <w:rPr>
                <w:rFonts w:ascii="Times New Roman" w:hAnsi="Times New Roman" w:cs="Times New Roman"/>
                <w:sz w:val="24"/>
                <w:szCs w:val="24"/>
              </w:rPr>
              <w:t xml:space="preserve"> Terša</w:t>
            </w:r>
            <w:r w:rsidR="003C13B4" w:rsidRPr="00E76D0B">
              <w:rPr>
                <w:rFonts w:ascii="Times New Roman" w:hAnsi="Times New Roman" w:cs="Times New Roman"/>
                <w:sz w:val="24"/>
                <w:szCs w:val="24"/>
              </w:rPr>
              <w:t xml:space="preserve">lų direktyvos taikymo kontrolė. </w:t>
            </w:r>
            <w:r w:rsidR="00FC2545" w:rsidRPr="00E76D0B">
              <w:rPr>
                <w:rFonts w:ascii="Times New Roman" w:hAnsi="Times New Roman" w:cs="Times New Roman"/>
                <w:sz w:val="24"/>
                <w:szCs w:val="24"/>
              </w:rPr>
              <w:t>Regiono aplinkos apsaugos</w:t>
            </w:r>
            <w:r w:rsidR="002B672F" w:rsidRPr="00E76D0B">
              <w:rPr>
                <w:rFonts w:ascii="Times New Roman" w:hAnsi="Times New Roman" w:cs="Times New Roman"/>
                <w:sz w:val="24"/>
                <w:szCs w:val="24"/>
              </w:rPr>
              <w:t xml:space="preserve"> departamento inspektoriai, atlikdami biokur</w:t>
            </w:r>
            <w:r w:rsidR="003C13B4" w:rsidRPr="00E76D0B">
              <w:rPr>
                <w:rFonts w:ascii="Times New Roman" w:hAnsi="Times New Roman" w:cs="Times New Roman"/>
                <w:sz w:val="24"/>
                <w:szCs w:val="24"/>
              </w:rPr>
              <w:t>ą deginančio</w:t>
            </w:r>
            <w:r w:rsidR="002B672F" w:rsidRPr="00E76D0B">
              <w:rPr>
                <w:rFonts w:ascii="Times New Roman" w:hAnsi="Times New Roman" w:cs="Times New Roman"/>
                <w:sz w:val="24"/>
                <w:szCs w:val="24"/>
              </w:rPr>
              <w:t>s šilumos gamybos įmonės patikrinimus</w:t>
            </w:r>
            <w:r w:rsidR="00F71A4F" w:rsidRPr="00E76D0B">
              <w:rPr>
                <w:rFonts w:ascii="Times New Roman" w:hAnsi="Times New Roman" w:cs="Times New Roman"/>
                <w:sz w:val="24"/>
                <w:szCs w:val="24"/>
              </w:rPr>
              <w:t>,</w:t>
            </w:r>
            <w:r w:rsidR="002B672F" w:rsidRPr="00E76D0B">
              <w:rPr>
                <w:rFonts w:ascii="Times New Roman" w:hAnsi="Times New Roman" w:cs="Times New Roman"/>
                <w:sz w:val="24"/>
                <w:szCs w:val="24"/>
              </w:rPr>
              <w:t xml:space="preserve"> tikrins </w:t>
            </w:r>
            <w:r w:rsidR="003C13B4" w:rsidRPr="00E76D0B">
              <w:rPr>
                <w:rFonts w:ascii="Times New Roman" w:hAnsi="Times New Roman" w:cs="Times New Roman"/>
                <w:sz w:val="24"/>
                <w:szCs w:val="24"/>
              </w:rPr>
              <w:t xml:space="preserve">ar kuras deginamas pagal </w:t>
            </w:r>
            <w:r w:rsidR="00DF512D" w:rsidRPr="00E76D0B">
              <w:rPr>
                <w:rFonts w:ascii="Times New Roman" w:hAnsi="Times New Roman" w:cs="Times New Roman"/>
                <w:sz w:val="24"/>
                <w:szCs w:val="24"/>
              </w:rPr>
              <w:t xml:space="preserve">taršos leidime nustatytas sąlygas ir ar </w:t>
            </w:r>
            <w:r w:rsidR="00DF512D" w:rsidRPr="00E76D0B">
              <w:rPr>
                <w:rFonts w:ascii="Times New Roman" w:hAnsi="Times New Roman" w:cs="Times New Roman"/>
                <w:sz w:val="24"/>
                <w:szCs w:val="24"/>
              </w:rPr>
              <w:lastRenderedPageBreak/>
              <w:t>neviršijami aplinkos apsaugos normatyvai bei standartai</w:t>
            </w:r>
            <w:r w:rsidR="00F71A4F" w:rsidRPr="00E76D0B">
              <w:rPr>
                <w:rFonts w:ascii="Times New Roman" w:hAnsi="Times New Roman" w:cs="Times New Roman"/>
                <w:sz w:val="24"/>
                <w:szCs w:val="24"/>
              </w:rPr>
              <w:t>, nustatyti nacionalinėje teisėje</w:t>
            </w:r>
            <w:r w:rsidR="00DF512D" w:rsidRPr="00E76D0B">
              <w:rPr>
                <w:rFonts w:ascii="Times New Roman" w:hAnsi="Times New Roman" w:cs="Times New Roman"/>
                <w:sz w:val="24"/>
                <w:szCs w:val="24"/>
              </w:rPr>
              <w:t xml:space="preserve">. </w:t>
            </w:r>
          </w:p>
        </w:tc>
      </w:tr>
      <w:tr w:rsidR="00C97CBC" w:rsidRPr="00E76D0B" w14:paraId="22AC475A" w14:textId="77777777" w:rsidTr="00257F43">
        <w:tc>
          <w:tcPr>
            <w:tcW w:w="704" w:type="dxa"/>
          </w:tcPr>
          <w:p w14:paraId="14AE8F85" w14:textId="2A9764AE" w:rsidR="00C97CBC" w:rsidRPr="00E76D0B" w:rsidRDefault="00C97CBC"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lastRenderedPageBreak/>
              <w:t>3.</w:t>
            </w:r>
          </w:p>
        </w:tc>
        <w:tc>
          <w:tcPr>
            <w:tcW w:w="6662" w:type="dxa"/>
            <w:shd w:val="clear" w:color="auto" w:fill="auto"/>
          </w:tcPr>
          <w:p w14:paraId="07C4A68E" w14:textId="102E46E6" w:rsidR="00C97CBC" w:rsidRPr="00E76D0B" w:rsidRDefault="00C97CBC"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 xml:space="preserve">Siūloma PFSA papildyti nuostata, reikalaujančia finansuoti tik tokius projektus, </w:t>
            </w:r>
            <w:r w:rsidR="0038332E" w:rsidRPr="00E76D0B">
              <w:rPr>
                <w:rFonts w:ascii="Times New Roman" w:hAnsi="Times New Roman" w:cs="Times New Roman"/>
                <w:sz w:val="24"/>
                <w:szCs w:val="24"/>
              </w:rPr>
              <w:t xml:space="preserve"> reikalaujančia finansuoti tik tokius projektus, kuriuose bus įrengiami nauji šilumos gamybos įrenginiai</w:t>
            </w:r>
            <w:r w:rsidR="007622BE" w:rsidRPr="00E76D0B">
              <w:rPr>
                <w:rFonts w:ascii="Times New Roman" w:hAnsi="Times New Roman" w:cs="Times New Roman"/>
                <w:sz w:val="24"/>
                <w:szCs w:val="24"/>
              </w:rPr>
              <w:t>, kurie atitinka Europos Parlamento ir Tarybos direktyvą</w:t>
            </w:r>
            <w:r w:rsidR="00091786" w:rsidRPr="00E76D0B">
              <w:rPr>
                <w:rFonts w:ascii="Times New Roman" w:hAnsi="Times New Roman" w:cs="Times New Roman"/>
                <w:sz w:val="24"/>
                <w:szCs w:val="24"/>
              </w:rPr>
              <w:t xml:space="preserve"> 2009/125/EB, nustatančią ekologinio projektavimo reikalavimų su energija susijusiems gaminiams nustatymo sistemą</w:t>
            </w:r>
            <w:r w:rsidR="00E5721D" w:rsidRPr="00E76D0B">
              <w:rPr>
                <w:rFonts w:ascii="Times New Roman" w:hAnsi="Times New Roman" w:cs="Times New Roman"/>
                <w:sz w:val="24"/>
                <w:szCs w:val="24"/>
              </w:rPr>
              <w:t>.</w:t>
            </w:r>
          </w:p>
        </w:tc>
        <w:tc>
          <w:tcPr>
            <w:tcW w:w="7194" w:type="dxa"/>
            <w:shd w:val="clear" w:color="auto" w:fill="auto"/>
          </w:tcPr>
          <w:p w14:paraId="0866C176" w14:textId="77777777" w:rsidR="000978FA" w:rsidRPr="00E76D0B" w:rsidRDefault="000978FA" w:rsidP="00E76D0B">
            <w:pPr>
              <w:spacing w:line="276" w:lineRule="auto"/>
              <w:jc w:val="both"/>
              <w:rPr>
                <w:rFonts w:ascii="Times New Roman" w:hAnsi="Times New Roman" w:cs="Times New Roman"/>
                <w:b/>
                <w:sz w:val="24"/>
                <w:szCs w:val="24"/>
              </w:rPr>
            </w:pPr>
            <w:r w:rsidRPr="00E76D0B">
              <w:rPr>
                <w:rFonts w:ascii="Times New Roman" w:hAnsi="Times New Roman" w:cs="Times New Roman"/>
                <w:b/>
                <w:sz w:val="24"/>
                <w:szCs w:val="24"/>
              </w:rPr>
              <w:t>Neatsižvelgta.</w:t>
            </w:r>
          </w:p>
          <w:p w14:paraId="136DA8FC" w14:textId="77777777" w:rsidR="00E05A97" w:rsidRPr="00E76D0B" w:rsidRDefault="00D902BD"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Europos Parlamento ir Tarybos direktyva 2009/125/EB</w:t>
            </w:r>
            <w:r w:rsidR="0013493C" w:rsidRPr="00E76D0B">
              <w:rPr>
                <w:rFonts w:ascii="Times New Roman" w:hAnsi="Times New Roman" w:cs="Times New Roman"/>
                <w:sz w:val="24"/>
                <w:szCs w:val="24"/>
              </w:rPr>
              <w:t xml:space="preserve"> (toliau – Direktyva)</w:t>
            </w:r>
            <w:r w:rsidRPr="00E76D0B">
              <w:rPr>
                <w:rFonts w:ascii="Times New Roman" w:hAnsi="Times New Roman" w:cs="Times New Roman"/>
                <w:sz w:val="24"/>
                <w:szCs w:val="24"/>
              </w:rPr>
              <w:t>, nustatanti ekologinio projektavimo reikalavimų su energija susijusiems gaminiams nustatymo sistemą nėra tiesioginio taikymo dokumentas</w:t>
            </w:r>
            <w:r w:rsidR="0013493C" w:rsidRPr="00E76D0B">
              <w:rPr>
                <w:rFonts w:ascii="Times New Roman" w:hAnsi="Times New Roman" w:cs="Times New Roman"/>
                <w:sz w:val="24"/>
                <w:szCs w:val="24"/>
              </w:rPr>
              <w:t xml:space="preserve">, todėl PFSA negalime kelti reikalavimo finansuoti tokius projektus, kurie atitinka Direktyvos reikalavimus. </w:t>
            </w:r>
          </w:p>
          <w:p w14:paraId="1E3642C5" w14:textId="07FE2699" w:rsidR="00C97CBC" w:rsidRPr="00E76D0B" w:rsidRDefault="00A173F7"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Į</w:t>
            </w:r>
            <w:r w:rsidR="007913C9" w:rsidRPr="00E76D0B">
              <w:rPr>
                <w:rFonts w:ascii="Times New Roman" w:hAnsi="Times New Roman" w:cs="Times New Roman"/>
                <w:sz w:val="24"/>
                <w:szCs w:val="24"/>
              </w:rPr>
              <w:t>g</w:t>
            </w:r>
            <w:r w:rsidR="00E05A97" w:rsidRPr="00E76D0B">
              <w:rPr>
                <w:rFonts w:ascii="Times New Roman" w:hAnsi="Times New Roman" w:cs="Times New Roman"/>
                <w:sz w:val="24"/>
                <w:szCs w:val="24"/>
              </w:rPr>
              <w:t>yvendin</w:t>
            </w:r>
            <w:r w:rsidR="007913C9" w:rsidRPr="00E76D0B">
              <w:rPr>
                <w:rFonts w:ascii="Times New Roman" w:hAnsi="Times New Roman" w:cs="Times New Roman"/>
                <w:sz w:val="24"/>
                <w:szCs w:val="24"/>
              </w:rPr>
              <w:t>an</w:t>
            </w:r>
            <w:r w:rsidR="00E05A97" w:rsidRPr="00E76D0B">
              <w:rPr>
                <w:rFonts w:ascii="Times New Roman" w:hAnsi="Times New Roman" w:cs="Times New Roman"/>
                <w:sz w:val="24"/>
                <w:szCs w:val="24"/>
              </w:rPr>
              <w:t>t Direktyvos reikalavimus, buvo patvirtintas Komisijos Reglamentas (ES) 2015/1189 (toliau – Reglamentas), kuriuo nustatomi kietojo kuro katilų ekologinio projektavimo reikalavimai. Pažymėtina, kad Reglamentas yra taikomas</w:t>
            </w:r>
            <w:r w:rsidR="00BF7692" w:rsidRPr="00E76D0B">
              <w:rPr>
                <w:rFonts w:ascii="Times New Roman" w:hAnsi="Times New Roman" w:cs="Times New Roman"/>
                <w:sz w:val="24"/>
                <w:szCs w:val="24"/>
              </w:rPr>
              <w:t xml:space="preserve"> </w:t>
            </w:r>
            <w:r w:rsidRPr="00E76D0B">
              <w:rPr>
                <w:rFonts w:ascii="Times New Roman" w:hAnsi="Times New Roman" w:cs="Times New Roman"/>
                <w:sz w:val="24"/>
                <w:szCs w:val="24"/>
              </w:rPr>
              <w:t xml:space="preserve">iki </w:t>
            </w:r>
            <w:r w:rsidR="00257F43" w:rsidRPr="00E76D0B">
              <w:rPr>
                <w:rFonts w:ascii="Times New Roman" w:hAnsi="Times New Roman" w:cs="Times New Roman"/>
                <w:sz w:val="24"/>
                <w:szCs w:val="24"/>
              </w:rPr>
              <w:t>500</w:t>
            </w:r>
            <w:r w:rsidRPr="00E76D0B">
              <w:rPr>
                <w:rFonts w:ascii="Times New Roman" w:hAnsi="Times New Roman" w:cs="Times New Roman"/>
                <w:sz w:val="24"/>
                <w:szCs w:val="24"/>
              </w:rPr>
              <w:t xml:space="preserve"> </w:t>
            </w:r>
            <w:r w:rsidR="00257F43" w:rsidRPr="00E76D0B">
              <w:rPr>
                <w:rFonts w:ascii="Times New Roman" w:hAnsi="Times New Roman" w:cs="Times New Roman"/>
                <w:sz w:val="24"/>
                <w:szCs w:val="24"/>
              </w:rPr>
              <w:t>k</w:t>
            </w:r>
            <w:r w:rsidRPr="00E76D0B">
              <w:rPr>
                <w:rFonts w:ascii="Times New Roman" w:hAnsi="Times New Roman" w:cs="Times New Roman"/>
                <w:sz w:val="24"/>
                <w:szCs w:val="24"/>
              </w:rPr>
              <w:t xml:space="preserve">W šiluminės galios </w:t>
            </w:r>
            <w:r w:rsidR="00D171C8" w:rsidRPr="00E76D0B">
              <w:rPr>
                <w:rFonts w:ascii="Times New Roman" w:hAnsi="Times New Roman" w:cs="Times New Roman"/>
                <w:sz w:val="24"/>
                <w:szCs w:val="24"/>
              </w:rPr>
              <w:t>biokurą naudojantiems šilumos gamybos įrenginiams</w:t>
            </w:r>
            <w:r w:rsidR="00257F43" w:rsidRPr="00E76D0B">
              <w:rPr>
                <w:rFonts w:ascii="Times New Roman" w:hAnsi="Times New Roman" w:cs="Times New Roman"/>
                <w:sz w:val="24"/>
                <w:szCs w:val="24"/>
              </w:rPr>
              <w:t>. Kadangi pagal priemonę planuojami įgyvendinti projektai yra ženkliai didesni (projektų šiluminė galia iki 10 MW), manome, kad papildomai detalizuoti keliamus reikalavimus katilams  iki 500 kW šiluminės galios nėra tikslinga.</w:t>
            </w:r>
          </w:p>
        </w:tc>
      </w:tr>
      <w:tr w:rsidR="006C5A75" w:rsidRPr="00E76D0B" w14:paraId="51D45EDF" w14:textId="77777777" w:rsidTr="00E503A0">
        <w:tc>
          <w:tcPr>
            <w:tcW w:w="14560" w:type="dxa"/>
            <w:gridSpan w:val="3"/>
            <w:shd w:val="clear" w:color="auto" w:fill="F2F2F2" w:themeFill="background1" w:themeFillShade="F2"/>
          </w:tcPr>
          <w:p w14:paraId="54B228CF" w14:textId="75EBC969" w:rsidR="006C5A75" w:rsidRPr="00E76D0B" w:rsidRDefault="00CB15F6" w:rsidP="00E76D0B">
            <w:pPr>
              <w:spacing w:line="276" w:lineRule="auto"/>
              <w:jc w:val="center"/>
              <w:rPr>
                <w:rFonts w:ascii="Times New Roman" w:hAnsi="Times New Roman" w:cs="Times New Roman"/>
                <w:b/>
                <w:sz w:val="24"/>
                <w:szCs w:val="24"/>
              </w:rPr>
            </w:pPr>
            <w:r w:rsidRPr="00E76D0B">
              <w:rPr>
                <w:rFonts w:ascii="Times New Roman" w:hAnsi="Times New Roman" w:cs="Times New Roman"/>
                <w:b/>
                <w:bCs/>
                <w:sz w:val="24"/>
                <w:szCs w:val="24"/>
              </w:rPr>
              <w:t>Šiaulių miesto savivaldybės gyventojų asociacij</w:t>
            </w:r>
            <w:r w:rsidR="007A2795" w:rsidRPr="00E76D0B">
              <w:rPr>
                <w:rFonts w:ascii="Times New Roman" w:hAnsi="Times New Roman" w:cs="Times New Roman"/>
                <w:b/>
                <w:bCs/>
                <w:sz w:val="24"/>
                <w:szCs w:val="24"/>
              </w:rPr>
              <w:t>os</w:t>
            </w:r>
            <w:r w:rsidRPr="00E76D0B">
              <w:rPr>
                <w:rFonts w:ascii="Times New Roman" w:hAnsi="Times New Roman" w:cs="Times New Roman"/>
                <w:b/>
                <w:bCs/>
                <w:sz w:val="24"/>
                <w:szCs w:val="24"/>
              </w:rPr>
              <w:t xml:space="preserve"> "Visuomeninės iniciatyvos"</w:t>
            </w:r>
            <w:r w:rsidR="00BF7A79" w:rsidRPr="00E76D0B">
              <w:rPr>
                <w:rFonts w:ascii="Times New Roman" w:hAnsi="Times New Roman" w:cs="Times New Roman"/>
                <w:b/>
                <w:bCs/>
                <w:sz w:val="24"/>
                <w:szCs w:val="24"/>
              </w:rPr>
              <w:t xml:space="preserve"> 2017 m. gegužės 5 d. raštas Nr. 34 V</w:t>
            </w:r>
          </w:p>
        </w:tc>
      </w:tr>
      <w:tr w:rsidR="003151FA" w:rsidRPr="00E76D0B" w14:paraId="59EC3476" w14:textId="77777777" w:rsidTr="005D518E">
        <w:tc>
          <w:tcPr>
            <w:tcW w:w="704" w:type="dxa"/>
          </w:tcPr>
          <w:p w14:paraId="5B486A66" w14:textId="32F35660" w:rsidR="003151FA" w:rsidRPr="00E76D0B" w:rsidRDefault="00B575DE"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4</w:t>
            </w:r>
            <w:r w:rsidR="001C48C0" w:rsidRPr="00E76D0B">
              <w:rPr>
                <w:rFonts w:ascii="Times New Roman" w:hAnsi="Times New Roman" w:cs="Times New Roman"/>
                <w:sz w:val="24"/>
                <w:szCs w:val="24"/>
              </w:rPr>
              <w:t>.</w:t>
            </w:r>
          </w:p>
        </w:tc>
        <w:tc>
          <w:tcPr>
            <w:tcW w:w="6662" w:type="dxa"/>
          </w:tcPr>
          <w:p w14:paraId="0426BFA6" w14:textId="00D7A620" w:rsidR="003151FA" w:rsidRPr="00E76D0B" w:rsidRDefault="00B738EB" w:rsidP="00E76D0B">
            <w:pPr>
              <w:spacing w:line="276" w:lineRule="auto"/>
              <w:jc w:val="both"/>
              <w:rPr>
                <w:rFonts w:ascii="Times New Roman" w:eastAsia="Times New Roman" w:hAnsi="Times New Roman" w:cs="Times New Roman"/>
                <w:bCs/>
                <w:sz w:val="24"/>
                <w:szCs w:val="24"/>
              </w:rPr>
            </w:pPr>
            <w:r w:rsidRPr="00E76D0B">
              <w:rPr>
                <w:rFonts w:ascii="Times New Roman" w:hAnsi="Times New Roman" w:cs="Times New Roman"/>
                <w:sz w:val="24"/>
                <w:szCs w:val="24"/>
              </w:rPr>
              <w:t>Siūlo</w:t>
            </w:r>
            <w:r w:rsidR="00293FE4" w:rsidRPr="00E76D0B">
              <w:rPr>
                <w:rFonts w:ascii="Times New Roman" w:hAnsi="Times New Roman" w:cs="Times New Roman"/>
                <w:sz w:val="24"/>
                <w:szCs w:val="24"/>
              </w:rPr>
              <w:t>ma</w:t>
            </w:r>
            <w:r w:rsidRPr="00E76D0B">
              <w:rPr>
                <w:rFonts w:ascii="Times New Roman" w:hAnsi="Times New Roman" w:cs="Times New Roman"/>
                <w:sz w:val="24"/>
                <w:szCs w:val="24"/>
              </w:rPr>
              <w:t xml:space="preserve"> pa</w:t>
            </w:r>
            <w:r w:rsidR="00293FE4" w:rsidRPr="00E76D0B">
              <w:rPr>
                <w:rFonts w:ascii="Times New Roman" w:hAnsi="Times New Roman" w:cs="Times New Roman"/>
                <w:sz w:val="24"/>
                <w:szCs w:val="24"/>
              </w:rPr>
              <w:t xml:space="preserve">keisti </w:t>
            </w:r>
            <w:r w:rsidR="00E1363C" w:rsidRPr="00E76D0B">
              <w:rPr>
                <w:rFonts w:ascii="Times New Roman" w:hAnsi="Times New Roman" w:cs="Times New Roman"/>
                <w:sz w:val="24"/>
                <w:szCs w:val="24"/>
              </w:rPr>
              <w:t>PFSA</w:t>
            </w:r>
            <w:r w:rsidR="00293FE4" w:rsidRPr="00E76D0B">
              <w:rPr>
                <w:rFonts w:ascii="Times New Roman" w:hAnsi="Times New Roman" w:cs="Times New Roman"/>
                <w:sz w:val="24"/>
                <w:szCs w:val="24"/>
              </w:rPr>
              <w:t xml:space="preserve"> 19 punktą </w:t>
            </w:r>
            <w:r w:rsidR="00293FE4" w:rsidRPr="00E76D0B">
              <w:rPr>
                <w:rFonts w:ascii="Times New Roman" w:hAnsi="Times New Roman" w:cs="Times New Roman"/>
                <w:i/>
                <w:sz w:val="24"/>
                <w:szCs w:val="24"/>
              </w:rPr>
              <w:t>„</w:t>
            </w:r>
            <w:r w:rsidR="00293FE4" w:rsidRPr="00E76D0B">
              <w:rPr>
                <w:rFonts w:ascii="Times New Roman" w:eastAsia="Times New Roman" w:hAnsi="Times New Roman" w:cs="Times New Roman"/>
                <w:bCs/>
                <w:i/>
                <w:sz w:val="24"/>
                <w:szCs w:val="24"/>
              </w:rPr>
              <w:t>Projektas negali būti įgyvendinamas centralizuoto šilumos tiekimo sistemose, kuriose biokuro dalis šilumos gamybos kuro balanse sudaro daugiau kaip 70 procentų.“</w:t>
            </w:r>
            <w:r w:rsidR="00293FE4" w:rsidRPr="00E76D0B">
              <w:rPr>
                <w:rFonts w:ascii="Times New Roman" w:eastAsia="Times New Roman" w:hAnsi="Times New Roman" w:cs="Times New Roman"/>
                <w:bCs/>
                <w:sz w:val="24"/>
                <w:szCs w:val="24"/>
              </w:rPr>
              <w:t xml:space="preserve"> </w:t>
            </w:r>
            <w:r w:rsidR="00AB67F4" w:rsidRPr="00E76D0B">
              <w:rPr>
                <w:rFonts w:ascii="Times New Roman" w:eastAsia="Times New Roman" w:hAnsi="Times New Roman" w:cs="Times New Roman"/>
                <w:bCs/>
                <w:sz w:val="24"/>
                <w:szCs w:val="24"/>
              </w:rPr>
              <w:t>į -  „</w:t>
            </w:r>
            <w:r w:rsidR="00AB67F4" w:rsidRPr="00E76D0B">
              <w:rPr>
                <w:rFonts w:ascii="Times New Roman" w:eastAsia="Times New Roman" w:hAnsi="Times New Roman" w:cs="Times New Roman"/>
                <w:bCs/>
                <w:i/>
                <w:sz w:val="24"/>
                <w:szCs w:val="24"/>
              </w:rPr>
              <w:t>Pirmenybė teikiama projektams, kuriems naudos ir kokybės vertinimo metu suteikiama ne mažiau kaip 20 balų (Aprašo 2 priedas) ir kurie yra įgyvendinami tose centralizuoto šilumos tiekimo sistemose, kuriose biokuro dalis šilumos gamybos kuro balanse sudaro ne daugiau kaip 70 procentų</w:t>
            </w:r>
            <w:r w:rsidR="00AB67F4" w:rsidRPr="00E76D0B">
              <w:rPr>
                <w:rFonts w:ascii="Times New Roman" w:eastAsia="Times New Roman" w:hAnsi="Times New Roman" w:cs="Times New Roman"/>
                <w:bCs/>
                <w:sz w:val="24"/>
                <w:szCs w:val="24"/>
              </w:rPr>
              <w:t>“. Atitinkamai pakoreguoti ir kitus aprašo punktus.</w:t>
            </w:r>
          </w:p>
        </w:tc>
        <w:tc>
          <w:tcPr>
            <w:tcW w:w="7194" w:type="dxa"/>
          </w:tcPr>
          <w:p w14:paraId="26017813" w14:textId="77777777" w:rsidR="001B017E" w:rsidRPr="00E76D0B" w:rsidRDefault="001B017E" w:rsidP="00E76D0B">
            <w:pPr>
              <w:spacing w:line="276" w:lineRule="auto"/>
              <w:jc w:val="both"/>
              <w:rPr>
                <w:rFonts w:ascii="Times New Roman" w:hAnsi="Times New Roman" w:cs="Times New Roman"/>
                <w:b/>
                <w:sz w:val="24"/>
                <w:szCs w:val="24"/>
              </w:rPr>
            </w:pPr>
            <w:r w:rsidRPr="00E76D0B">
              <w:rPr>
                <w:rFonts w:ascii="Times New Roman" w:hAnsi="Times New Roman" w:cs="Times New Roman"/>
                <w:b/>
                <w:sz w:val="24"/>
                <w:szCs w:val="24"/>
              </w:rPr>
              <w:t>Neatsižvelgta.</w:t>
            </w:r>
          </w:p>
          <w:p w14:paraId="57196143" w14:textId="10920D61" w:rsidR="00B05DCC" w:rsidRPr="00E76D0B" w:rsidRDefault="00732E1A"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P</w:t>
            </w:r>
            <w:r w:rsidR="00B05DCC" w:rsidRPr="00E76D0B">
              <w:rPr>
                <w:rFonts w:ascii="Times New Roman" w:hAnsi="Times New Roman" w:cs="Times New Roman"/>
                <w:sz w:val="24"/>
                <w:szCs w:val="24"/>
              </w:rPr>
              <w:t>FSA</w:t>
            </w:r>
            <w:r w:rsidRPr="00E76D0B">
              <w:rPr>
                <w:rFonts w:ascii="Times New Roman" w:hAnsi="Times New Roman" w:cs="Times New Roman"/>
                <w:sz w:val="24"/>
                <w:szCs w:val="24"/>
              </w:rPr>
              <w:t xml:space="preserve"> reikalavimas</w:t>
            </w:r>
            <w:r w:rsidR="0074095D" w:rsidRPr="00E76D0B">
              <w:rPr>
                <w:rFonts w:ascii="Times New Roman" w:hAnsi="Times New Roman" w:cs="Times New Roman"/>
                <w:sz w:val="24"/>
                <w:szCs w:val="24"/>
              </w:rPr>
              <w:t xml:space="preserve">, kad </w:t>
            </w:r>
            <w:r w:rsidR="00BD239A" w:rsidRPr="00E76D0B">
              <w:rPr>
                <w:rFonts w:ascii="Times New Roman" w:hAnsi="Times New Roman" w:cs="Times New Roman"/>
                <w:sz w:val="24"/>
                <w:szCs w:val="24"/>
              </w:rPr>
              <w:t xml:space="preserve">projektai negali būti įgyvendinami </w:t>
            </w:r>
            <w:r w:rsidR="0074095D" w:rsidRPr="00E76D0B">
              <w:rPr>
                <w:rFonts w:ascii="Times New Roman" w:eastAsia="Times New Roman" w:hAnsi="Times New Roman" w:cs="Times New Roman"/>
                <w:bCs/>
                <w:sz w:val="24"/>
                <w:szCs w:val="24"/>
              </w:rPr>
              <w:t>centralizuoto šilumos tiekimo sistemose, kuriose biokuro dalis šilumos gamybos kuro balanse sudaro daugiau kaip 70 procentų</w:t>
            </w:r>
            <w:r w:rsidR="00122B35" w:rsidRPr="00E76D0B">
              <w:rPr>
                <w:rFonts w:ascii="Times New Roman" w:hAnsi="Times New Roman" w:cs="Times New Roman"/>
                <w:sz w:val="24"/>
                <w:szCs w:val="24"/>
              </w:rPr>
              <w:t xml:space="preserve">, </w:t>
            </w:r>
            <w:r w:rsidR="001170C3" w:rsidRPr="00E76D0B">
              <w:rPr>
                <w:rFonts w:ascii="Times New Roman" w:hAnsi="Times New Roman" w:cs="Times New Roman"/>
                <w:sz w:val="24"/>
                <w:szCs w:val="24"/>
              </w:rPr>
              <w:t xml:space="preserve">suformuluotas </w:t>
            </w:r>
            <w:r w:rsidR="00122B35" w:rsidRPr="00E76D0B">
              <w:rPr>
                <w:rFonts w:ascii="Times New Roman" w:hAnsi="Times New Roman" w:cs="Times New Roman"/>
                <w:sz w:val="24"/>
                <w:szCs w:val="24"/>
              </w:rPr>
              <w:t xml:space="preserve">siekiant užtikrinti </w:t>
            </w:r>
            <w:r w:rsidR="00947440" w:rsidRPr="00E76D0B">
              <w:rPr>
                <w:rFonts w:ascii="Times New Roman" w:hAnsi="Times New Roman" w:cs="Times New Roman"/>
                <w:sz w:val="24"/>
                <w:szCs w:val="24"/>
              </w:rPr>
              <w:t>į</w:t>
            </w:r>
            <w:r w:rsidR="00B05DCC" w:rsidRPr="00E76D0B">
              <w:rPr>
                <w:rFonts w:ascii="Times New Roman" w:hAnsi="Times New Roman" w:cs="Times New Roman"/>
                <w:sz w:val="24"/>
                <w:szCs w:val="24"/>
              </w:rPr>
              <w:t xml:space="preserve">gyvendinamų projektų atitiktį </w:t>
            </w:r>
            <w:r w:rsidR="00122B35" w:rsidRPr="00E76D0B">
              <w:rPr>
                <w:rFonts w:ascii="Times New Roman" w:hAnsi="Times New Roman" w:cs="Times New Roman"/>
                <w:sz w:val="24"/>
                <w:szCs w:val="24"/>
              </w:rPr>
              <w:t>Nacionalinė</w:t>
            </w:r>
            <w:r w:rsidR="00977B92" w:rsidRPr="00E76D0B">
              <w:rPr>
                <w:rFonts w:ascii="Times New Roman" w:hAnsi="Times New Roman" w:cs="Times New Roman"/>
                <w:sz w:val="24"/>
                <w:szCs w:val="24"/>
              </w:rPr>
              <w:t>s</w:t>
            </w:r>
            <w:r w:rsidR="00122B35" w:rsidRPr="00E76D0B">
              <w:rPr>
                <w:rFonts w:ascii="Times New Roman" w:hAnsi="Times New Roman" w:cs="Times New Roman"/>
                <w:sz w:val="24"/>
                <w:szCs w:val="24"/>
              </w:rPr>
              <w:t xml:space="preserve"> šilumos ūkio plėtros 2015-2021 metų program</w:t>
            </w:r>
            <w:r w:rsidR="001170C3" w:rsidRPr="00E76D0B">
              <w:rPr>
                <w:rFonts w:ascii="Times New Roman" w:hAnsi="Times New Roman" w:cs="Times New Roman"/>
                <w:sz w:val="24"/>
                <w:szCs w:val="24"/>
              </w:rPr>
              <w:t>o</w:t>
            </w:r>
            <w:r w:rsidR="001650B1" w:rsidRPr="00E76D0B">
              <w:rPr>
                <w:rFonts w:ascii="Times New Roman" w:hAnsi="Times New Roman" w:cs="Times New Roman"/>
                <w:sz w:val="24"/>
                <w:szCs w:val="24"/>
              </w:rPr>
              <w:t>s</w:t>
            </w:r>
            <w:r w:rsidR="00947440" w:rsidRPr="00E76D0B">
              <w:rPr>
                <w:rFonts w:ascii="Times New Roman" w:hAnsi="Times New Roman" w:cs="Times New Roman"/>
                <w:sz w:val="24"/>
                <w:szCs w:val="24"/>
              </w:rPr>
              <w:t xml:space="preserve"> (toliau – Programa)</w:t>
            </w:r>
            <w:r w:rsidR="001650B1" w:rsidRPr="00E76D0B">
              <w:rPr>
                <w:rFonts w:ascii="Times New Roman" w:hAnsi="Times New Roman" w:cs="Times New Roman"/>
                <w:sz w:val="24"/>
                <w:szCs w:val="24"/>
              </w:rPr>
              <w:t xml:space="preserve"> </w:t>
            </w:r>
            <w:r w:rsidR="001170C3" w:rsidRPr="00E76D0B">
              <w:rPr>
                <w:rFonts w:ascii="Times New Roman" w:hAnsi="Times New Roman" w:cs="Times New Roman"/>
                <w:sz w:val="24"/>
                <w:szCs w:val="24"/>
              </w:rPr>
              <w:t>tikslams</w:t>
            </w:r>
            <w:r w:rsidR="00947440" w:rsidRPr="00E76D0B">
              <w:rPr>
                <w:rFonts w:ascii="Times New Roman" w:hAnsi="Times New Roman" w:cs="Times New Roman"/>
                <w:sz w:val="24"/>
                <w:szCs w:val="24"/>
              </w:rPr>
              <w:t xml:space="preserve"> optimaliam šilumos gamybos kuro balansui. </w:t>
            </w:r>
            <w:r w:rsidR="001650B1" w:rsidRPr="00E76D0B">
              <w:rPr>
                <w:rFonts w:ascii="Times New Roman" w:hAnsi="Times New Roman" w:cs="Times New Roman"/>
                <w:sz w:val="24"/>
                <w:szCs w:val="24"/>
              </w:rPr>
              <w:t xml:space="preserve">Programoje nustatyta biokuro dalis šilumos gamybos kuro balanse 2021 metais – </w:t>
            </w:r>
            <w:r w:rsidR="00977B92" w:rsidRPr="00E76D0B">
              <w:rPr>
                <w:rFonts w:ascii="Times New Roman" w:hAnsi="Times New Roman" w:cs="Times New Roman"/>
                <w:sz w:val="24"/>
                <w:szCs w:val="24"/>
              </w:rPr>
              <w:t xml:space="preserve"> 70 procentų, todėl siekiama </w:t>
            </w:r>
            <w:r w:rsidR="001435B4" w:rsidRPr="00E76D0B">
              <w:rPr>
                <w:rFonts w:ascii="Times New Roman" w:hAnsi="Times New Roman" w:cs="Times New Roman"/>
                <w:sz w:val="24"/>
                <w:szCs w:val="24"/>
              </w:rPr>
              <w:t>finansuoti tuos projektus, kurie labiau prisidėtų prie Programos įgyvendinimo.</w:t>
            </w:r>
          </w:p>
          <w:p w14:paraId="67F5C0A4" w14:textId="5B49E46E" w:rsidR="001C48C0" w:rsidRPr="00E76D0B" w:rsidRDefault="001435B4"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 xml:space="preserve">Pažymėtina, kad </w:t>
            </w:r>
            <w:r w:rsidR="00BB0C27" w:rsidRPr="00E76D0B">
              <w:rPr>
                <w:rFonts w:ascii="Times New Roman" w:hAnsi="Times New Roman" w:cs="Times New Roman"/>
                <w:sz w:val="24"/>
                <w:szCs w:val="24"/>
              </w:rPr>
              <w:t>pirmuoju kvietimu neišnaudojus visų</w:t>
            </w:r>
            <w:r w:rsidR="004238C0" w:rsidRPr="00E76D0B">
              <w:rPr>
                <w:rFonts w:ascii="Times New Roman" w:hAnsi="Times New Roman" w:cs="Times New Roman"/>
                <w:sz w:val="24"/>
                <w:szCs w:val="24"/>
              </w:rPr>
              <w:t xml:space="preserve"> priemonei skirtų</w:t>
            </w:r>
            <w:r w:rsidR="00BB0C27" w:rsidRPr="00E76D0B">
              <w:rPr>
                <w:rFonts w:ascii="Times New Roman" w:hAnsi="Times New Roman" w:cs="Times New Roman"/>
                <w:sz w:val="24"/>
                <w:szCs w:val="24"/>
              </w:rPr>
              <w:t xml:space="preserve"> </w:t>
            </w:r>
            <w:r w:rsidR="00E712C4" w:rsidRPr="00E76D0B">
              <w:rPr>
                <w:rFonts w:ascii="Times New Roman" w:hAnsi="Times New Roman" w:cs="Times New Roman"/>
                <w:sz w:val="24"/>
                <w:szCs w:val="24"/>
              </w:rPr>
              <w:t xml:space="preserve">lėšų, svarstysime galimybę finansuoti </w:t>
            </w:r>
            <w:r w:rsidR="004238C0" w:rsidRPr="00E76D0B">
              <w:rPr>
                <w:rFonts w:ascii="Times New Roman" w:hAnsi="Times New Roman" w:cs="Times New Roman"/>
                <w:sz w:val="24"/>
                <w:szCs w:val="24"/>
              </w:rPr>
              <w:t xml:space="preserve">ir tuos projektus, kurie būtų įgyvendinami </w:t>
            </w:r>
            <w:r w:rsidR="004238C0" w:rsidRPr="00E76D0B">
              <w:rPr>
                <w:rFonts w:ascii="Times New Roman" w:eastAsia="Times New Roman" w:hAnsi="Times New Roman" w:cs="Times New Roman"/>
                <w:bCs/>
                <w:sz w:val="24"/>
                <w:szCs w:val="24"/>
              </w:rPr>
              <w:t xml:space="preserve">centralizuoto šilumos tiekimo sistemose, kuriose biokuro dalis šilumos gamybos kuro balanse sudaro </w:t>
            </w:r>
            <w:r w:rsidR="0071728A" w:rsidRPr="00E76D0B">
              <w:rPr>
                <w:rFonts w:ascii="Times New Roman" w:eastAsia="Times New Roman" w:hAnsi="Times New Roman" w:cs="Times New Roman"/>
                <w:bCs/>
                <w:sz w:val="24"/>
                <w:szCs w:val="24"/>
              </w:rPr>
              <w:t xml:space="preserve">ir </w:t>
            </w:r>
            <w:r w:rsidR="004238C0" w:rsidRPr="00E76D0B">
              <w:rPr>
                <w:rFonts w:ascii="Times New Roman" w:eastAsia="Times New Roman" w:hAnsi="Times New Roman" w:cs="Times New Roman"/>
                <w:bCs/>
                <w:sz w:val="24"/>
                <w:szCs w:val="24"/>
              </w:rPr>
              <w:t>daugiau kaip 70 procentų</w:t>
            </w:r>
            <w:r w:rsidR="0071728A" w:rsidRPr="00E76D0B">
              <w:rPr>
                <w:rFonts w:ascii="Times New Roman" w:eastAsia="Times New Roman" w:hAnsi="Times New Roman" w:cs="Times New Roman"/>
                <w:bCs/>
                <w:sz w:val="24"/>
                <w:szCs w:val="24"/>
              </w:rPr>
              <w:t>.</w:t>
            </w:r>
          </w:p>
        </w:tc>
      </w:tr>
      <w:tr w:rsidR="00E900BD" w:rsidRPr="00E76D0B" w14:paraId="2DA32645" w14:textId="77777777" w:rsidTr="00E503A0">
        <w:tc>
          <w:tcPr>
            <w:tcW w:w="14560" w:type="dxa"/>
            <w:gridSpan w:val="3"/>
            <w:shd w:val="clear" w:color="auto" w:fill="F2F2F2" w:themeFill="background1" w:themeFillShade="F2"/>
          </w:tcPr>
          <w:p w14:paraId="6A5A84BD" w14:textId="780D3FDA" w:rsidR="00E900BD" w:rsidRPr="00E76D0B" w:rsidRDefault="007A2795" w:rsidP="00E76D0B">
            <w:pPr>
              <w:spacing w:line="276" w:lineRule="auto"/>
              <w:jc w:val="center"/>
              <w:rPr>
                <w:rFonts w:ascii="Times New Roman" w:hAnsi="Times New Roman" w:cs="Times New Roman"/>
                <w:b/>
                <w:sz w:val="24"/>
                <w:szCs w:val="24"/>
              </w:rPr>
            </w:pPr>
            <w:r w:rsidRPr="00E76D0B">
              <w:rPr>
                <w:rFonts w:ascii="Times New Roman" w:hAnsi="Times New Roman" w:cs="Times New Roman"/>
                <w:b/>
                <w:sz w:val="24"/>
                <w:szCs w:val="24"/>
              </w:rPr>
              <w:t xml:space="preserve">Viešosios įstaigos Lietuvos verslo paramos agentūra 2017 m. gegužės 10 d. raštas Nr. </w:t>
            </w:r>
            <w:r w:rsidR="00CF5EDD" w:rsidRPr="00E76D0B">
              <w:rPr>
                <w:rFonts w:ascii="Times New Roman" w:hAnsi="Times New Roman" w:cs="Times New Roman"/>
                <w:b/>
                <w:sz w:val="24"/>
                <w:szCs w:val="24"/>
              </w:rPr>
              <w:t>2590(3.14)</w:t>
            </w:r>
          </w:p>
        </w:tc>
      </w:tr>
      <w:tr w:rsidR="007A2795" w:rsidRPr="00E76D0B" w14:paraId="4F65560B" w14:textId="77777777" w:rsidTr="009E4191">
        <w:tc>
          <w:tcPr>
            <w:tcW w:w="704" w:type="dxa"/>
          </w:tcPr>
          <w:p w14:paraId="39D09DC1" w14:textId="0C99A9AB" w:rsidR="007A2795" w:rsidRPr="00E76D0B" w:rsidRDefault="007A2795"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lastRenderedPageBreak/>
              <w:t>5.</w:t>
            </w:r>
          </w:p>
        </w:tc>
        <w:tc>
          <w:tcPr>
            <w:tcW w:w="6662" w:type="dxa"/>
            <w:shd w:val="clear" w:color="auto" w:fill="auto"/>
          </w:tcPr>
          <w:p w14:paraId="4803A461" w14:textId="77777777" w:rsidR="007A2795" w:rsidRPr="00E76D0B" w:rsidRDefault="007A2795"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4 p.</w:t>
            </w:r>
          </w:p>
          <w:p w14:paraId="039D7E3B" w14:textId="1D58BFB8" w:rsidR="00086B4D" w:rsidRPr="00E76D0B" w:rsidRDefault="007A2795"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Siūlome formuluoti „Didelė įmonė – įmonė neatitinkanti labai mažos, mažos ir vidutinės įmonių apibrėžties, kaip nustatyta Bendrojo bendrosios išimties reglamento 1 priede.“</w:t>
            </w:r>
          </w:p>
          <w:p w14:paraId="2A78F6F4" w14:textId="77777777" w:rsidR="00E76D0B" w:rsidRPr="00E76D0B" w:rsidRDefault="00E76D0B" w:rsidP="00E76D0B">
            <w:pPr>
              <w:spacing w:line="276" w:lineRule="auto"/>
              <w:rPr>
                <w:rFonts w:ascii="Times New Roman" w:hAnsi="Times New Roman" w:cs="Times New Roman"/>
                <w:sz w:val="24"/>
                <w:szCs w:val="24"/>
              </w:rPr>
            </w:pPr>
          </w:p>
          <w:p w14:paraId="1340C703" w14:textId="09CA21A2" w:rsidR="007A2795" w:rsidRPr="00E76D0B" w:rsidRDefault="007A2795"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Kadangi Bendrasis bendrosios išimties reglamentas išskiria ir labai mažos įmonės apibrėžimą, siūlome labai mažos įmonės apibrėžimą įtraukti ir į PFSA, arba įvardinti, kad labai mažos įmonės nėra tinkamos finansuoti.</w:t>
            </w:r>
          </w:p>
        </w:tc>
        <w:tc>
          <w:tcPr>
            <w:tcW w:w="7194" w:type="dxa"/>
            <w:shd w:val="clear" w:color="auto" w:fill="auto"/>
          </w:tcPr>
          <w:p w14:paraId="60821457" w14:textId="77777777" w:rsidR="00D95E12" w:rsidRPr="00E76D0B" w:rsidRDefault="00D95E12" w:rsidP="00E76D0B">
            <w:pPr>
              <w:spacing w:line="276" w:lineRule="auto"/>
              <w:rPr>
                <w:rFonts w:ascii="Times New Roman" w:hAnsi="Times New Roman" w:cs="Times New Roman"/>
                <w:b/>
                <w:sz w:val="24"/>
                <w:szCs w:val="24"/>
              </w:rPr>
            </w:pPr>
            <w:r w:rsidRPr="00E76D0B">
              <w:rPr>
                <w:rFonts w:ascii="Times New Roman" w:hAnsi="Times New Roman" w:cs="Times New Roman"/>
                <w:b/>
                <w:sz w:val="24"/>
                <w:szCs w:val="24"/>
              </w:rPr>
              <w:t>Atsižvelgta.</w:t>
            </w:r>
          </w:p>
          <w:p w14:paraId="0F4822EB" w14:textId="77777777" w:rsidR="00D95E12" w:rsidRPr="00E76D0B" w:rsidRDefault="00D95E12" w:rsidP="00E76D0B">
            <w:pPr>
              <w:spacing w:line="276" w:lineRule="auto"/>
              <w:rPr>
                <w:rFonts w:ascii="Times New Roman" w:hAnsi="Times New Roman" w:cs="Times New Roman"/>
                <w:sz w:val="24"/>
                <w:szCs w:val="24"/>
              </w:rPr>
            </w:pPr>
            <w:r w:rsidRPr="00E76D0B">
              <w:rPr>
                <w:rFonts w:ascii="Times New Roman" w:hAnsi="Times New Roman" w:cs="Times New Roman"/>
                <w:bCs/>
                <w:sz w:val="24"/>
                <w:szCs w:val="24"/>
              </w:rPr>
              <w:t>PFSA 4 p. išdėstytas taip: „4. Didelė įmonė</w:t>
            </w:r>
            <w:r w:rsidRPr="00E76D0B">
              <w:rPr>
                <w:rFonts w:ascii="Times New Roman" w:hAnsi="Times New Roman" w:cs="Times New Roman"/>
                <w:b/>
                <w:bCs/>
                <w:sz w:val="24"/>
                <w:szCs w:val="24"/>
              </w:rPr>
              <w:t xml:space="preserve"> </w:t>
            </w:r>
            <w:r w:rsidRPr="00E76D0B">
              <w:rPr>
                <w:rFonts w:ascii="Times New Roman" w:hAnsi="Times New Roman" w:cs="Times New Roman"/>
                <w:bCs/>
                <w:sz w:val="24"/>
                <w:szCs w:val="24"/>
              </w:rPr>
              <w:t xml:space="preserve">suprantama kaip įmonė, neatitinkanti labai mažos, mažos ir vidutinės įmonių apibrėžties, kaip nustatyta </w:t>
            </w:r>
            <w:r w:rsidRPr="00E76D0B">
              <w:rPr>
                <w:rFonts w:ascii="Times New Roman" w:hAnsi="Times New Roman" w:cs="Times New Roman"/>
                <w:sz w:val="24"/>
                <w:szCs w:val="24"/>
              </w:rPr>
              <w:t>Bendrojo bendrosios išimties reglamento 1 priede.“</w:t>
            </w:r>
          </w:p>
          <w:p w14:paraId="063BC2AF" w14:textId="77777777" w:rsidR="00D95E12" w:rsidRPr="00E76D0B" w:rsidRDefault="00D95E12" w:rsidP="00E76D0B">
            <w:pPr>
              <w:spacing w:line="276" w:lineRule="auto"/>
              <w:rPr>
                <w:rFonts w:ascii="Times New Roman" w:hAnsi="Times New Roman" w:cs="Times New Roman"/>
                <w:sz w:val="24"/>
                <w:szCs w:val="24"/>
              </w:rPr>
            </w:pPr>
          </w:p>
          <w:p w14:paraId="7F9D91A6" w14:textId="77777777" w:rsidR="007A2795" w:rsidRPr="00E76D0B" w:rsidRDefault="00286F93" w:rsidP="00E76D0B">
            <w:pPr>
              <w:spacing w:line="276" w:lineRule="auto"/>
              <w:rPr>
                <w:rFonts w:ascii="Times New Roman" w:hAnsi="Times New Roman" w:cs="Times New Roman"/>
                <w:b/>
                <w:sz w:val="24"/>
                <w:szCs w:val="24"/>
              </w:rPr>
            </w:pPr>
            <w:r w:rsidRPr="00E76D0B">
              <w:rPr>
                <w:rFonts w:ascii="Times New Roman" w:hAnsi="Times New Roman" w:cs="Times New Roman"/>
                <w:b/>
                <w:sz w:val="24"/>
                <w:szCs w:val="24"/>
              </w:rPr>
              <w:t>Atsižvelgta.</w:t>
            </w:r>
          </w:p>
          <w:p w14:paraId="6EB72767" w14:textId="77777777" w:rsidR="009E4191" w:rsidRPr="00E76D0B" w:rsidRDefault="009E4191" w:rsidP="00E76D0B">
            <w:pPr>
              <w:spacing w:line="276" w:lineRule="auto"/>
              <w:ind w:left="29"/>
              <w:jc w:val="both"/>
              <w:rPr>
                <w:rFonts w:ascii="Times New Roman" w:hAnsi="Times New Roman" w:cs="Times New Roman"/>
                <w:iCs/>
                <w:sz w:val="24"/>
                <w:szCs w:val="24"/>
              </w:rPr>
            </w:pPr>
            <w:r w:rsidRPr="00E76D0B">
              <w:rPr>
                <w:rFonts w:ascii="Times New Roman" w:hAnsi="Times New Roman" w:cs="Times New Roman"/>
                <w:iCs/>
                <w:sz w:val="24"/>
                <w:szCs w:val="24"/>
              </w:rPr>
              <w:t>PFSA papildytas labai mažų įmonių apibrėžimu:</w:t>
            </w:r>
          </w:p>
          <w:p w14:paraId="371F8606" w14:textId="036F9A06" w:rsidR="00D544DE" w:rsidRPr="00E76D0B" w:rsidRDefault="009E4191" w:rsidP="00E76D0B">
            <w:pPr>
              <w:spacing w:line="276" w:lineRule="auto"/>
              <w:rPr>
                <w:rFonts w:ascii="Times New Roman" w:hAnsi="Times New Roman" w:cs="Times New Roman"/>
                <w:b/>
                <w:sz w:val="24"/>
                <w:szCs w:val="24"/>
              </w:rPr>
            </w:pPr>
            <w:r w:rsidRPr="00E76D0B">
              <w:rPr>
                <w:rFonts w:ascii="Times New Roman" w:hAnsi="Times New Roman" w:cs="Times New Roman"/>
                <w:b/>
                <w:iCs/>
                <w:sz w:val="24"/>
                <w:szCs w:val="24"/>
              </w:rPr>
              <w:t>„</w:t>
            </w:r>
            <w:r w:rsidRPr="00E76D0B">
              <w:rPr>
                <w:rFonts w:ascii="Times New Roman" w:hAnsi="Times New Roman" w:cs="Times New Roman"/>
                <w:b/>
                <w:sz w:val="24"/>
                <w:szCs w:val="24"/>
              </w:rPr>
              <w:t xml:space="preserve"> Labai maža įmonė suprantama taip, kaip apibrėžta Bendrojo bendrosios išimties reglamento 1 priede.</w:t>
            </w:r>
            <w:r w:rsidRPr="00E76D0B">
              <w:rPr>
                <w:rFonts w:ascii="Times New Roman" w:hAnsi="Times New Roman" w:cs="Times New Roman"/>
                <w:sz w:val="24"/>
                <w:szCs w:val="24"/>
              </w:rPr>
              <w:t>“</w:t>
            </w:r>
            <w:r w:rsidRPr="00E76D0B">
              <w:rPr>
                <w:rFonts w:ascii="Times New Roman" w:hAnsi="Times New Roman" w:cs="Times New Roman"/>
                <w:iCs/>
                <w:sz w:val="24"/>
                <w:szCs w:val="24"/>
              </w:rPr>
              <w:t>,</w:t>
            </w:r>
          </w:p>
        </w:tc>
      </w:tr>
      <w:tr w:rsidR="00421C7A" w:rsidRPr="00E76D0B" w14:paraId="62EC7D4A" w14:textId="77777777" w:rsidTr="005D518E">
        <w:tc>
          <w:tcPr>
            <w:tcW w:w="704" w:type="dxa"/>
          </w:tcPr>
          <w:p w14:paraId="24D8F597" w14:textId="21DEE357" w:rsidR="00421C7A" w:rsidRPr="00E76D0B" w:rsidRDefault="00421C7A"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6.</w:t>
            </w:r>
          </w:p>
        </w:tc>
        <w:tc>
          <w:tcPr>
            <w:tcW w:w="6662" w:type="dxa"/>
          </w:tcPr>
          <w:p w14:paraId="041E0120" w14:textId="71C36D5D" w:rsidR="00F31693" w:rsidRPr="00E76D0B" w:rsidRDefault="00F31693"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11 p.</w:t>
            </w:r>
          </w:p>
          <w:p w14:paraId="32525F26" w14:textId="3BB0AE5D" w:rsidR="00421C7A" w:rsidRPr="00E76D0B" w:rsidRDefault="00F31693"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Siūlome į PFSA įtraukti šilumos gamybos įrenginių apibrėžimą arba nuorodą į dokumentą, kuriame toks apibrėžimas yra pateiktas.</w:t>
            </w:r>
          </w:p>
        </w:tc>
        <w:tc>
          <w:tcPr>
            <w:tcW w:w="7194" w:type="dxa"/>
          </w:tcPr>
          <w:p w14:paraId="4771FBD9" w14:textId="29B3D03D" w:rsidR="00286F93" w:rsidRPr="00E76D0B" w:rsidRDefault="00173C81" w:rsidP="00E76D0B">
            <w:pPr>
              <w:spacing w:line="276" w:lineRule="auto"/>
              <w:jc w:val="both"/>
              <w:rPr>
                <w:rFonts w:ascii="Times New Roman" w:hAnsi="Times New Roman" w:cs="Times New Roman"/>
                <w:iCs/>
                <w:sz w:val="24"/>
                <w:szCs w:val="24"/>
              </w:rPr>
            </w:pPr>
            <w:r w:rsidRPr="00E76D0B">
              <w:rPr>
                <w:rFonts w:ascii="Times New Roman" w:hAnsi="Times New Roman" w:cs="Times New Roman"/>
                <w:b/>
                <w:sz w:val="24"/>
                <w:szCs w:val="24"/>
              </w:rPr>
              <w:t>Atsižvelgta.</w:t>
            </w:r>
          </w:p>
          <w:p w14:paraId="00A42A62" w14:textId="7780D6E7" w:rsidR="00AD52EB" w:rsidRPr="00E76D0B" w:rsidRDefault="00AD52EB"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PFSA papildyta</w:t>
            </w:r>
            <w:r w:rsidR="00F05DCB" w:rsidRPr="00E76D0B">
              <w:rPr>
                <w:rFonts w:ascii="Times New Roman" w:hAnsi="Times New Roman" w:cs="Times New Roman"/>
                <w:iCs/>
                <w:sz w:val="24"/>
                <w:szCs w:val="24"/>
              </w:rPr>
              <w:t>s</w:t>
            </w:r>
            <w:r w:rsidRPr="00E76D0B">
              <w:rPr>
                <w:rFonts w:ascii="Times New Roman" w:hAnsi="Times New Roman" w:cs="Times New Roman"/>
                <w:iCs/>
                <w:sz w:val="24"/>
                <w:szCs w:val="24"/>
              </w:rPr>
              <w:t xml:space="preserve"> apibrėžimu:</w:t>
            </w:r>
          </w:p>
          <w:p w14:paraId="1D18FE9D" w14:textId="5625BBD8" w:rsidR="00421C7A" w:rsidRPr="00E76D0B" w:rsidRDefault="00051D73"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Šilumos gamybos įrenginys</w:t>
            </w:r>
            <w:r w:rsidR="003E157E" w:rsidRPr="00E76D0B">
              <w:rPr>
                <w:rFonts w:ascii="Times New Roman" w:hAnsi="Times New Roman" w:cs="Times New Roman"/>
                <w:iCs/>
                <w:sz w:val="24"/>
                <w:szCs w:val="24"/>
              </w:rPr>
              <w:t xml:space="preserve"> yra suprantamas taip</w:t>
            </w:r>
            <w:r w:rsidR="00CB7985" w:rsidRPr="00E76D0B">
              <w:rPr>
                <w:rFonts w:ascii="Times New Roman" w:hAnsi="Times New Roman" w:cs="Times New Roman"/>
                <w:iCs/>
                <w:sz w:val="24"/>
                <w:szCs w:val="24"/>
              </w:rPr>
              <w:t>,</w:t>
            </w:r>
            <w:r w:rsidR="003E157E" w:rsidRPr="00E76D0B">
              <w:rPr>
                <w:rFonts w:ascii="Times New Roman" w:hAnsi="Times New Roman" w:cs="Times New Roman"/>
                <w:iCs/>
                <w:sz w:val="24"/>
                <w:szCs w:val="24"/>
              </w:rPr>
              <w:t xml:space="preserve"> kaip </w:t>
            </w:r>
            <w:r w:rsidR="00173C81" w:rsidRPr="00E76D0B">
              <w:rPr>
                <w:rFonts w:ascii="Times New Roman" w:hAnsi="Times New Roman" w:cs="Times New Roman"/>
                <w:iCs/>
                <w:sz w:val="24"/>
                <w:szCs w:val="24"/>
              </w:rPr>
              <w:t>vartojamas</w:t>
            </w:r>
            <w:r w:rsidR="00CB7985" w:rsidRPr="00E76D0B">
              <w:rPr>
                <w:rFonts w:ascii="Times New Roman" w:hAnsi="Times New Roman" w:cs="Times New Roman"/>
                <w:iCs/>
                <w:sz w:val="24"/>
                <w:szCs w:val="24"/>
              </w:rPr>
              <w:t xml:space="preserve"> </w:t>
            </w:r>
            <w:r w:rsidR="00E556EE" w:rsidRPr="00E76D0B">
              <w:rPr>
                <w:rFonts w:ascii="Times New Roman" w:hAnsi="Times New Roman" w:cs="Times New Roman"/>
                <w:iCs/>
                <w:sz w:val="24"/>
                <w:szCs w:val="24"/>
              </w:rPr>
              <w:t>Šilumos gamybos statinių ir šilumos perdavimo tinklų, statinių (šildymo ir karšto vandens sistemų) statybos rūšių ir šilumos gamybos ir šilumos perdavimo įrenginių įrengimo darbų rūšių apraš</w:t>
            </w:r>
            <w:r w:rsidR="003E157E" w:rsidRPr="00E76D0B">
              <w:rPr>
                <w:rFonts w:ascii="Times New Roman" w:hAnsi="Times New Roman" w:cs="Times New Roman"/>
                <w:iCs/>
                <w:sz w:val="24"/>
                <w:szCs w:val="24"/>
              </w:rPr>
              <w:t>e</w:t>
            </w:r>
            <w:r w:rsidR="00E556EE" w:rsidRPr="00E76D0B">
              <w:rPr>
                <w:rFonts w:ascii="Times New Roman" w:hAnsi="Times New Roman" w:cs="Times New Roman"/>
                <w:iCs/>
                <w:sz w:val="24"/>
                <w:szCs w:val="24"/>
              </w:rPr>
              <w:t>, patvirtint</w:t>
            </w:r>
            <w:r w:rsidR="003E157E" w:rsidRPr="00E76D0B">
              <w:rPr>
                <w:rFonts w:ascii="Times New Roman" w:hAnsi="Times New Roman" w:cs="Times New Roman"/>
                <w:iCs/>
                <w:sz w:val="24"/>
                <w:szCs w:val="24"/>
              </w:rPr>
              <w:t>ame</w:t>
            </w:r>
            <w:r w:rsidR="00E556EE" w:rsidRPr="00E76D0B">
              <w:rPr>
                <w:rFonts w:ascii="Times New Roman" w:hAnsi="Times New Roman" w:cs="Times New Roman"/>
                <w:iCs/>
                <w:sz w:val="24"/>
                <w:szCs w:val="24"/>
              </w:rPr>
              <w:t xml:space="preserve"> Lietuvos Respublikos energetikos ministro 2009 m. r</w:t>
            </w:r>
            <w:r w:rsidR="003E157E" w:rsidRPr="00E76D0B">
              <w:rPr>
                <w:rFonts w:ascii="Times New Roman" w:hAnsi="Times New Roman" w:cs="Times New Roman"/>
                <w:iCs/>
                <w:sz w:val="24"/>
                <w:szCs w:val="24"/>
              </w:rPr>
              <w:t>ugsėjo 29 d. įsakymu Nr. 1-172</w:t>
            </w:r>
            <w:r w:rsidR="00AB68A9" w:rsidRPr="00E76D0B">
              <w:rPr>
                <w:rFonts w:ascii="Times New Roman" w:hAnsi="Times New Roman" w:cs="Times New Roman"/>
                <w:iCs/>
                <w:sz w:val="24"/>
                <w:szCs w:val="24"/>
              </w:rPr>
              <w:t>.</w:t>
            </w:r>
          </w:p>
        </w:tc>
      </w:tr>
      <w:tr w:rsidR="00066B66" w:rsidRPr="00E76D0B" w14:paraId="6AEE2246" w14:textId="77777777" w:rsidTr="005D518E">
        <w:tc>
          <w:tcPr>
            <w:tcW w:w="704" w:type="dxa"/>
          </w:tcPr>
          <w:p w14:paraId="2130E6C4" w14:textId="37497175" w:rsidR="00066B66" w:rsidRPr="00E76D0B" w:rsidRDefault="00817BC0"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7.</w:t>
            </w:r>
          </w:p>
        </w:tc>
        <w:tc>
          <w:tcPr>
            <w:tcW w:w="6662" w:type="dxa"/>
          </w:tcPr>
          <w:p w14:paraId="579CDBE5" w14:textId="77777777" w:rsidR="00817BC0" w:rsidRPr="00E76D0B" w:rsidRDefault="00817BC0"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 xml:space="preserve">PFSA 13 p. </w:t>
            </w:r>
          </w:p>
          <w:p w14:paraId="21251B9F" w14:textId="0B3AF27A" w:rsidR="00715545" w:rsidRPr="00E76D0B" w:rsidRDefault="00715545" w:rsidP="00E76D0B">
            <w:pPr>
              <w:tabs>
                <w:tab w:val="left" w:pos="0"/>
                <w:tab w:val="left" w:pos="851"/>
              </w:tabs>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 xml:space="preserve">Pagal Aprašo 13 p. galimi pareiškėjai – šilumos tiekėjai ir nepriklausomi šilumos gamintojai, </w:t>
            </w:r>
            <w:r w:rsidRPr="00E76D0B">
              <w:rPr>
                <w:rFonts w:ascii="Times New Roman" w:hAnsi="Times New Roman" w:cs="Times New Roman"/>
                <w:b/>
                <w:sz w:val="24"/>
                <w:szCs w:val="24"/>
              </w:rPr>
              <w:t>eksploatuojantys</w:t>
            </w:r>
            <w:r w:rsidRPr="00E76D0B">
              <w:rPr>
                <w:rFonts w:ascii="Times New Roman" w:hAnsi="Times New Roman" w:cs="Times New Roman"/>
                <w:color w:val="FF0000"/>
                <w:sz w:val="24"/>
                <w:szCs w:val="24"/>
              </w:rPr>
              <w:t xml:space="preserve"> </w:t>
            </w:r>
            <w:r w:rsidRPr="00E76D0B">
              <w:rPr>
                <w:rFonts w:ascii="Times New Roman" w:hAnsi="Times New Roman" w:cs="Times New Roman"/>
                <w:sz w:val="24"/>
                <w:szCs w:val="24"/>
              </w:rPr>
              <w:t>iškastinį kurą naudojančius šilumos gamybos įrenginius.</w:t>
            </w:r>
          </w:p>
          <w:p w14:paraId="0BD09831" w14:textId="5B427F93" w:rsidR="00715545" w:rsidRPr="00E76D0B" w:rsidRDefault="00715545" w:rsidP="00E76D0B">
            <w:pPr>
              <w:tabs>
                <w:tab w:val="left" w:pos="0"/>
                <w:tab w:val="left" w:pos="851"/>
              </w:tabs>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Siekiant padidinti konkurenciją, siūlome sudaryti galimybę paramą gauti ir naujiems šilumos gamintojams.</w:t>
            </w:r>
          </w:p>
          <w:p w14:paraId="03F63B65" w14:textId="505DA7EF" w:rsidR="00D544DE" w:rsidRPr="00E76D0B" w:rsidRDefault="00D544DE" w:rsidP="00E76D0B">
            <w:pPr>
              <w:spacing w:line="276" w:lineRule="auto"/>
              <w:jc w:val="both"/>
              <w:rPr>
                <w:rFonts w:ascii="Times New Roman" w:hAnsi="Times New Roman" w:cs="Times New Roman"/>
                <w:sz w:val="24"/>
                <w:szCs w:val="24"/>
              </w:rPr>
            </w:pPr>
          </w:p>
          <w:p w14:paraId="3400670C" w14:textId="77777777" w:rsidR="001F16A9" w:rsidRPr="00E76D0B" w:rsidRDefault="001F16A9" w:rsidP="00E76D0B">
            <w:pPr>
              <w:spacing w:line="276" w:lineRule="auto"/>
              <w:jc w:val="both"/>
              <w:rPr>
                <w:rFonts w:ascii="Times New Roman" w:hAnsi="Times New Roman" w:cs="Times New Roman"/>
                <w:sz w:val="24"/>
                <w:szCs w:val="24"/>
              </w:rPr>
            </w:pPr>
          </w:p>
          <w:p w14:paraId="6C11B20F" w14:textId="381B220E" w:rsidR="00066B66" w:rsidRPr="00E76D0B" w:rsidRDefault="00715545"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Be to siūlome įtraukti šilumos gamintojo sąvoką arba nuorodą į dokumentą, kuriame ši sąvoka pateikta.</w:t>
            </w:r>
          </w:p>
        </w:tc>
        <w:tc>
          <w:tcPr>
            <w:tcW w:w="7194" w:type="dxa"/>
          </w:tcPr>
          <w:p w14:paraId="5616A0A0" w14:textId="77777777" w:rsidR="00AD115A" w:rsidRPr="00E76D0B" w:rsidRDefault="00AD115A"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Neatsižvelgta.</w:t>
            </w:r>
          </w:p>
          <w:p w14:paraId="71812760" w14:textId="3DB3C6AF" w:rsidR="00066B66" w:rsidRPr="00E76D0B" w:rsidRDefault="00AD115A"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P</w:t>
            </w:r>
            <w:r w:rsidR="004F12F9" w:rsidRPr="00E76D0B">
              <w:rPr>
                <w:rFonts w:ascii="Times New Roman" w:hAnsi="Times New Roman" w:cs="Times New Roman"/>
                <w:iCs/>
                <w:sz w:val="24"/>
                <w:szCs w:val="24"/>
              </w:rPr>
              <w:t>agal 2014-2020 metų Europos Sąjungos fondų investicijų veiksmų programą</w:t>
            </w:r>
            <w:r w:rsidR="0023271F" w:rsidRPr="00E76D0B">
              <w:rPr>
                <w:rFonts w:ascii="Times New Roman" w:hAnsi="Times New Roman" w:cs="Times New Roman"/>
                <w:iCs/>
                <w:sz w:val="24"/>
                <w:szCs w:val="24"/>
              </w:rPr>
              <w:t xml:space="preserve"> (toliau – Veiksmų programa)</w:t>
            </w:r>
            <w:r w:rsidR="004F12F9" w:rsidRPr="00E76D0B">
              <w:rPr>
                <w:rFonts w:ascii="Times New Roman" w:hAnsi="Times New Roman" w:cs="Times New Roman"/>
                <w:iCs/>
                <w:sz w:val="24"/>
                <w:szCs w:val="24"/>
              </w:rPr>
              <w:t>, 4.1. investicinio prioriteto įgyvendinimo veikla – „AEI panaudojimas šilumos gamybai, keičiant senus, iškastinį kurą naudojančius, susidėvėjusius katilus į naujus ir efektyvius biokuro katilus“</w:t>
            </w:r>
            <w:r w:rsidR="0023271F" w:rsidRPr="00E76D0B">
              <w:rPr>
                <w:rFonts w:ascii="Times New Roman" w:hAnsi="Times New Roman" w:cs="Times New Roman"/>
                <w:iCs/>
                <w:sz w:val="24"/>
                <w:szCs w:val="24"/>
              </w:rPr>
              <w:t>. Toks pakeitimas nebeatitiktų Veiksmų programoje numatytos veiklos.</w:t>
            </w:r>
            <w:r w:rsidR="001F16A9" w:rsidRPr="00E76D0B">
              <w:rPr>
                <w:rFonts w:ascii="Times New Roman" w:hAnsi="Times New Roman" w:cs="Times New Roman"/>
                <w:iCs/>
                <w:sz w:val="24"/>
                <w:szCs w:val="24"/>
              </w:rPr>
              <w:t xml:space="preserve"> </w:t>
            </w:r>
          </w:p>
          <w:p w14:paraId="34D9FE6B" w14:textId="09BBEAAC" w:rsidR="001F16A9" w:rsidRPr="00E76D0B" w:rsidRDefault="001F16A9" w:rsidP="00E76D0B">
            <w:pPr>
              <w:spacing w:line="276" w:lineRule="auto"/>
              <w:jc w:val="both"/>
              <w:rPr>
                <w:rFonts w:ascii="Times New Roman" w:hAnsi="Times New Roman" w:cs="Times New Roman"/>
                <w:iCs/>
                <w:sz w:val="24"/>
                <w:szCs w:val="24"/>
              </w:rPr>
            </w:pPr>
          </w:p>
          <w:p w14:paraId="092686FA" w14:textId="1321DA99" w:rsidR="001F16A9" w:rsidRPr="00E76D0B" w:rsidRDefault="000201AC"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Atsižvelgta.</w:t>
            </w:r>
          </w:p>
          <w:p w14:paraId="14CBE6FE" w14:textId="35B323A9" w:rsidR="000201AC" w:rsidRPr="00E76D0B" w:rsidRDefault="002B4859"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Papildyta sąvokomis:</w:t>
            </w:r>
          </w:p>
          <w:p w14:paraId="346BE67C" w14:textId="09396318" w:rsidR="002B4859" w:rsidRPr="00E76D0B" w:rsidRDefault="002B4859"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w:t>
            </w:r>
            <w:r w:rsidRPr="00E76D0B">
              <w:rPr>
                <w:rFonts w:ascii="Times New Roman" w:hAnsi="Times New Roman" w:cs="Times New Roman"/>
                <w:b/>
                <w:sz w:val="24"/>
                <w:szCs w:val="24"/>
              </w:rPr>
              <w:t>Šilumos tiekėjas suprantamas taip, kaip apibrėžta Lietuvos Respublikos šilumos ūkio įstatyme</w:t>
            </w:r>
            <w:r w:rsidRPr="00E76D0B">
              <w:rPr>
                <w:rFonts w:ascii="Times New Roman" w:hAnsi="Times New Roman" w:cs="Times New Roman"/>
                <w:sz w:val="24"/>
                <w:szCs w:val="24"/>
              </w:rPr>
              <w:t>.“</w:t>
            </w:r>
          </w:p>
          <w:p w14:paraId="7DE8E6E0" w14:textId="671E1A64" w:rsidR="00D7215C" w:rsidRPr="00E76D0B" w:rsidRDefault="002B4859"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w:t>
            </w:r>
            <w:r w:rsidRPr="00E76D0B">
              <w:rPr>
                <w:rFonts w:ascii="Times New Roman" w:hAnsi="Times New Roman" w:cs="Times New Roman"/>
                <w:b/>
                <w:sz w:val="24"/>
                <w:szCs w:val="24"/>
              </w:rPr>
              <w:t>Nepriklausomas šilumos gamintojas suprantamas taip, kaip Lietuvos Respublikos šilumos ūkio įstatyme</w:t>
            </w:r>
            <w:r w:rsidRPr="00E76D0B">
              <w:rPr>
                <w:rFonts w:ascii="Times New Roman" w:hAnsi="Times New Roman" w:cs="Times New Roman"/>
                <w:sz w:val="24"/>
                <w:szCs w:val="24"/>
              </w:rPr>
              <w:t>.“</w:t>
            </w:r>
          </w:p>
        </w:tc>
      </w:tr>
      <w:tr w:rsidR="0063012D" w:rsidRPr="00E76D0B" w14:paraId="4B35FEE8" w14:textId="77777777" w:rsidTr="00A81316">
        <w:tc>
          <w:tcPr>
            <w:tcW w:w="704" w:type="dxa"/>
          </w:tcPr>
          <w:p w14:paraId="21CE8F0F" w14:textId="5175DE8B" w:rsidR="0063012D" w:rsidRPr="00E76D0B" w:rsidRDefault="003D6708"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8.</w:t>
            </w:r>
          </w:p>
        </w:tc>
        <w:tc>
          <w:tcPr>
            <w:tcW w:w="6662" w:type="dxa"/>
            <w:shd w:val="clear" w:color="auto" w:fill="auto"/>
          </w:tcPr>
          <w:p w14:paraId="75900EE6" w14:textId="77777777" w:rsidR="003D6708" w:rsidRPr="00E76D0B" w:rsidRDefault="003D6708"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18 p.</w:t>
            </w:r>
          </w:p>
          <w:p w14:paraId="0C530001" w14:textId="408328F9" w:rsidR="0063012D" w:rsidRPr="00E76D0B" w:rsidRDefault="003D6708"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lastRenderedPageBreak/>
              <w:t>Siūlome įvardinti dokumentus, kuriuos turi pateikti pareiškėjas norėdamas įrodyti, kad investicija yra DIDELIO energinio efektyvumo centralizuoto šilumos ir vėsumos tiekimo sistemos dalis.</w:t>
            </w:r>
          </w:p>
        </w:tc>
        <w:tc>
          <w:tcPr>
            <w:tcW w:w="7194" w:type="dxa"/>
            <w:shd w:val="clear" w:color="auto" w:fill="auto"/>
          </w:tcPr>
          <w:p w14:paraId="2F586E47" w14:textId="018229C0" w:rsidR="00A81316" w:rsidRPr="00E76D0B" w:rsidRDefault="00A81316"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lastRenderedPageBreak/>
              <w:t>Atsižvelgta.</w:t>
            </w:r>
          </w:p>
          <w:p w14:paraId="798855D5" w14:textId="231B2A07" w:rsidR="005A3CF8" w:rsidRPr="00E76D0B" w:rsidRDefault="006C06E8"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lastRenderedPageBreak/>
              <w:t>PFSA papildytas 58.16</w:t>
            </w:r>
            <w:r w:rsidR="005A3CF8" w:rsidRPr="00E76D0B">
              <w:rPr>
                <w:rFonts w:ascii="Times New Roman" w:hAnsi="Times New Roman" w:cs="Times New Roman"/>
                <w:iCs/>
                <w:sz w:val="24"/>
                <w:szCs w:val="24"/>
              </w:rPr>
              <w:t>. punkt</w:t>
            </w:r>
            <w:r w:rsidRPr="00E76D0B">
              <w:rPr>
                <w:rFonts w:ascii="Times New Roman" w:hAnsi="Times New Roman" w:cs="Times New Roman"/>
                <w:iCs/>
                <w:sz w:val="24"/>
                <w:szCs w:val="24"/>
              </w:rPr>
              <w:t>u</w:t>
            </w:r>
            <w:r w:rsidR="005A3CF8" w:rsidRPr="00E76D0B">
              <w:rPr>
                <w:rFonts w:ascii="Times New Roman" w:hAnsi="Times New Roman" w:cs="Times New Roman"/>
                <w:iCs/>
                <w:sz w:val="24"/>
                <w:szCs w:val="24"/>
              </w:rPr>
              <w:t>:</w:t>
            </w:r>
          </w:p>
          <w:p w14:paraId="6733D9C3" w14:textId="5847FF8C" w:rsidR="002E559F" w:rsidRPr="00E76D0B" w:rsidRDefault="005A3CF8" w:rsidP="00E76D0B">
            <w:pPr>
              <w:tabs>
                <w:tab w:val="left" w:pos="1418"/>
                <w:tab w:val="left" w:pos="1560"/>
              </w:tabs>
              <w:spacing w:line="276" w:lineRule="auto"/>
              <w:jc w:val="both"/>
              <w:rPr>
                <w:rFonts w:ascii="Times New Roman" w:hAnsi="Times New Roman" w:cs="Times New Roman"/>
                <w:sz w:val="24"/>
                <w:szCs w:val="24"/>
              </w:rPr>
            </w:pPr>
            <w:r w:rsidRPr="00E76D0B">
              <w:rPr>
                <w:rFonts w:ascii="Times New Roman" w:hAnsi="Times New Roman" w:cs="Times New Roman"/>
                <w:bCs/>
                <w:sz w:val="24"/>
                <w:szCs w:val="24"/>
                <w:lang w:eastAsia="lt-LT"/>
              </w:rPr>
              <w:t>„</w:t>
            </w:r>
            <w:r w:rsidR="006C06E8" w:rsidRPr="00E76D0B">
              <w:rPr>
                <w:rFonts w:ascii="Times New Roman" w:hAnsi="Times New Roman" w:cs="Times New Roman"/>
                <w:b/>
                <w:bCs/>
                <w:sz w:val="24"/>
                <w:szCs w:val="24"/>
                <w:lang w:eastAsia="lt-LT"/>
              </w:rPr>
              <w:t>58.16</w:t>
            </w:r>
            <w:r w:rsidRPr="00E76D0B">
              <w:rPr>
                <w:rFonts w:ascii="Times New Roman" w:hAnsi="Times New Roman" w:cs="Times New Roman"/>
                <w:b/>
                <w:bCs/>
                <w:sz w:val="24"/>
                <w:szCs w:val="24"/>
                <w:lang w:eastAsia="lt-LT"/>
              </w:rPr>
              <w:t xml:space="preserve">. </w:t>
            </w:r>
            <w:r w:rsidRPr="00E76D0B">
              <w:rPr>
                <w:rStyle w:val="footer-left-span1"/>
                <w:rFonts w:ascii="Times New Roman" w:hAnsi="Times New Roman" w:cs="Times New Roman"/>
                <w:b/>
                <w:sz w:val="24"/>
                <w:szCs w:val="24"/>
                <w:specVanish w:val="0"/>
              </w:rPr>
              <w:t xml:space="preserve"> </w:t>
            </w:r>
            <w:r w:rsidR="002E559F" w:rsidRPr="00E76D0B">
              <w:rPr>
                <w:rStyle w:val="footer-left-span1"/>
                <w:rFonts w:ascii="Times New Roman" w:hAnsi="Times New Roman" w:cs="Times New Roman"/>
                <w:b/>
                <w:sz w:val="24"/>
                <w:szCs w:val="24"/>
                <w:specVanish w:val="0"/>
              </w:rPr>
              <w:t xml:space="preserve">kiti būtini dokumentai, </w:t>
            </w:r>
            <w:r w:rsidR="002E559F" w:rsidRPr="00E76D0B">
              <w:rPr>
                <w:rFonts w:ascii="Times New Roman" w:hAnsi="Times New Roman" w:cs="Times New Roman"/>
                <w:b/>
                <w:sz w:val="24"/>
                <w:szCs w:val="24"/>
              </w:rPr>
              <w:t>jų nuorašai arba kopijos</w:t>
            </w:r>
            <w:r w:rsidR="002E559F" w:rsidRPr="00E76D0B">
              <w:rPr>
                <w:rStyle w:val="footer-left-span1"/>
                <w:rFonts w:ascii="Times New Roman" w:hAnsi="Times New Roman" w:cs="Times New Roman"/>
                <w:b/>
                <w:sz w:val="24"/>
                <w:szCs w:val="24"/>
                <w:specVanish w:val="0"/>
              </w:rPr>
              <w:t xml:space="preserve"> arba informacija </w:t>
            </w:r>
            <w:r w:rsidR="002E559F" w:rsidRPr="00E76D0B">
              <w:rPr>
                <w:rFonts w:ascii="Times New Roman" w:hAnsi="Times New Roman" w:cs="Times New Roman"/>
                <w:b/>
                <w:sz w:val="24"/>
                <w:szCs w:val="24"/>
              </w:rPr>
              <w:t xml:space="preserve">(pvz.: Valstybinės kainų ir energetikos kontrolės komisijos ar kitos kompetentingos institucijos skelbiami duomenys (nuoroda), pateiktos pažymos ir kt.) </w:t>
            </w:r>
            <w:r w:rsidR="002E559F" w:rsidRPr="00E76D0B">
              <w:rPr>
                <w:rStyle w:val="footer-left-span1"/>
                <w:rFonts w:ascii="Times New Roman" w:hAnsi="Times New Roman" w:cs="Times New Roman"/>
                <w:b/>
                <w:sz w:val="24"/>
                <w:szCs w:val="24"/>
                <w:specVanish w:val="0"/>
              </w:rPr>
              <w:t>reikalinga projekto atitikčiai  Aprašo 18 punktui įvertinti.</w:t>
            </w:r>
            <w:r w:rsidR="002E559F" w:rsidRPr="00E76D0B">
              <w:rPr>
                <w:rStyle w:val="footer-left-span1"/>
                <w:rFonts w:ascii="Times New Roman" w:hAnsi="Times New Roman" w:cs="Times New Roman"/>
                <w:sz w:val="24"/>
                <w:szCs w:val="24"/>
                <w:specVanish w:val="0"/>
              </w:rPr>
              <w:t>“</w:t>
            </w:r>
          </w:p>
        </w:tc>
      </w:tr>
      <w:tr w:rsidR="003D6708" w:rsidRPr="00E76D0B" w14:paraId="5781E33C" w14:textId="77777777" w:rsidTr="005D518E">
        <w:tc>
          <w:tcPr>
            <w:tcW w:w="704" w:type="dxa"/>
          </w:tcPr>
          <w:p w14:paraId="2DD5B43B" w14:textId="5BC484FA" w:rsidR="003D6708" w:rsidRPr="00E76D0B" w:rsidRDefault="001435E2"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lastRenderedPageBreak/>
              <w:t>9.</w:t>
            </w:r>
          </w:p>
        </w:tc>
        <w:tc>
          <w:tcPr>
            <w:tcW w:w="6662" w:type="dxa"/>
          </w:tcPr>
          <w:p w14:paraId="50564766" w14:textId="6E14C569" w:rsidR="001435E2" w:rsidRPr="00E76D0B" w:rsidRDefault="001435E2"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19 p.</w:t>
            </w:r>
          </w:p>
          <w:p w14:paraId="7A700A08" w14:textId="4C861EBE" w:rsidR="003D6708" w:rsidRPr="00E76D0B" w:rsidRDefault="001435E2"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Nėra aišku kas pateiks tokius duomenis. Jei projekto vykdytojas – kaip tokius duomenis patikrinti, jei pvz.: keli projekto vykdytojai pateikia skirtingus tos pačios sistemos duomenis siūlome nurodyti laikotarpį už kurį bus skaičiuojamas suvartoto kuro balansas.</w:t>
            </w:r>
          </w:p>
        </w:tc>
        <w:tc>
          <w:tcPr>
            <w:tcW w:w="7194" w:type="dxa"/>
          </w:tcPr>
          <w:p w14:paraId="4CA41B03" w14:textId="2BC2A094" w:rsidR="00681710" w:rsidRPr="00E76D0B" w:rsidRDefault="00681710"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Atsižvelgta.</w:t>
            </w:r>
          </w:p>
          <w:p w14:paraId="5E055D84" w14:textId="77777777" w:rsidR="00681710" w:rsidRPr="00E76D0B" w:rsidRDefault="00681710"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 xml:space="preserve">PFSA 19 punktas papildytas: </w:t>
            </w:r>
          </w:p>
          <w:p w14:paraId="373DC380" w14:textId="01C05AAE" w:rsidR="003D6708" w:rsidRPr="00E76D0B" w:rsidRDefault="00681710" w:rsidP="00E76D0B">
            <w:pPr>
              <w:spacing w:line="276" w:lineRule="auto"/>
              <w:jc w:val="both"/>
              <w:rPr>
                <w:rFonts w:ascii="Times New Roman" w:hAnsi="Times New Roman" w:cs="Times New Roman"/>
                <w:sz w:val="24"/>
                <w:szCs w:val="24"/>
              </w:rPr>
            </w:pPr>
            <w:r w:rsidRPr="00E76D0B">
              <w:rPr>
                <w:rFonts w:ascii="Times New Roman" w:hAnsi="Times New Roman" w:cs="Times New Roman"/>
                <w:iCs/>
                <w:sz w:val="24"/>
                <w:szCs w:val="24"/>
              </w:rPr>
              <w:t xml:space="preserve">„19. </w:t>
            </w:r>
            <w:r w:rsidRPr="00E76D0B">
              <w:rPr>
                <w:rFonts w:ascii="Times New Roman" w:eastAsia="Times New Roman" w:hAnsi="Times New Roman" w:cs="Times New Roman"/>
                <w:bCs/>
                <w:sz w:val="24"/>
                <w:szCs w:val="24"/>
              </w:rPr>
              <w:t xml:space="preserve">Projektas negali būti įgyvendinamas centralizuoto šilumos tiekimo sistemose, kuriose biokuro dalis šilumos gamybos kuro balanse sudaro daugiau kaip 70 procentų. </w:t>
            </w:r>
            <w:r w:rsidRPr="00E76D0B">
              <w:rPr>
                <w:rFonts w:ascii="Times New Roman" w:hAnsi="Times New Roman" w:cs="Times New Roman"/>
                <w:b/>
                <w:bCs/>
                <w:sz w:val="24"/>
                <w:szCs w:val="24"/>
                <w:lang w:eastAsia="lt-LT"/>
              </w:rPr>
              <w:t xml:space="preserve">Biokuro dalis </w:t>
            </w:r>
            <w:r w:rsidRPr="00E76D0B">
              <w:rPr>
                <w:rFonts w:ascii="Times New Roman" w:eastAsia="Times New Roman" w:hAnsi="Times New Roman" w:cs="Times New Roman"/>
                <w:b/>
                <w:bCs/>
                <w:sz w:val="24"/>
                <w:szCs w:val="24"/>
              </w:rPr>
              <w:t xml:space="preserve">šilumos gamybos kuro balanse </w:t>
            </w:r>
            <w:r w:rsidRPr="00E76D0B">
              <w:rPr>
                <w:rFonts w:ascii="Times New Roman" w:hAnsi="Times New Roman" w:cs="Times New Roman"/>
                <w:b/>
                <w:bCs/>
                <w:sz w:val="24"/>
                <w:szCs w:val="24"/>
                <w:lang w:eastAsia="lt-LT"/>
              </w:rPr>
              <w:t xml:space="preserve">(praėjusių trijų </w:t>
            </w:r>
            <w:r w:rsidRPr="00E76D0B">
              <w:rPr>
                <w:rFonts w:ascii="Times New Roman" w:hAnsi="Times New Roman" w:cs="Times New Roman"/>
                <w:b/>
                <w:sz w:val="24"/>
                <w:szCs w:val="24"/>
              </w:rPr>
              <w:t xml:space="preserve">metų vidurkis iki paraiškos pateikimo) </w:t>
            </w:r>
            <w:r w:rsidRPr="00E76D0B">
              <w:rPr>
                <w:rFonts w:ascii="Times New Roman" w:hAnsi="Times New Roman" w:cs="Times New Roman"/>
                <w:b/>
                <w:bCs/>
                <w:sz w:val="24"/>
                <w:szCs w:val="24"/>
                <w:lang w:eastAsia="lt-LT"/>
              </w:rPr>
              <w:t xml:space="preserve">nustatoma </w:t>
            </w:r>
            <w:r w:rsidRPr="00E76D0B">
              <w:rPr>
                <w:rFonts w:ascii="Times New Roman" w:hAnsi="Times New Roman" w:cs="Times New Roman"/>
                <w:b/>
                <w:sz w:val="24"/>
                <w:szCs w:val="24"/>
              </w:rPr>
              <w:t>vadovaujantis pagrįstais duomenimis, pateiktais investicijų projekte ir (ar) pridedamais dokumentais (pvz.: Valstybinės kainų ir energetikos kontrolės komisijos ar kitos kompetentingos institucijos skelbiamais duomenimis (nuoroda), pateiktomis pažymomis ir kt.).</w:t>
            </w:r>
            <w:r w:rsidRPr="00E76D0B">
              <w:rPr>
                <w:rFonts w:ascii="Times New Roman" w:hAnsi="Times New Roman" w:cs="Times New Roman"/>
                <w:sz w:val="24"/>
                <w:szCs w:val="24"/>
              </w:rPr>
              <w:t>“</w:t>
            </w:r>
          </w:p>
        </w:tc>
      </w:tr>
      <w:tr w:rsidR="003D6708" w:rsidRPr="00E76D0B" w14:paraId="39BCD2AF" w14:textId="77777777" w:rsidTr="005D518E">
        <w:tc>
          <w:tcPr>
            <w:tcW w:w="704" w:type="dxa"/>
          </w:tcPr>
          <w:p w14:paraId="0D313F40" w14:textId="738E691B" w:rsidR="003D6708" w:rsidRPr="00E76D0B" w:rsidRDefault="007C4853"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10.</w:t>
            </w:r>
          </w:p>
        </w:tc>
        <w:tc>
          <w:tcPr>
            <w:tcW w:w="6662" w:type="dxa"/>
          </w:tcPr>
          <w:p w14:paraId="16514DCC" w14:textId="77777777" w:rsidR="007510F9" w:rsidRPr="00E76D0B" w:rsidRDefault="005F7F4F"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31.5 p.</w:t>
            </w:r>
          </w:p>
          <w:p w14:paraId="355436CB" w14:textId="72893F60" w:rsidR="003D6708" w:rsidRPr="00E76D0B" w:rsidRDefault="005F7F4F" w:rsidP="00E76D0B">
            <w:pPr>
              <w:spacing w:line="276" w:lineRule="auto"/>
              <w:jc w:val="both"/>
              <w:rPr>
                <w:rFonts w:ascii="Times New Roman" w:hAnsi="Times New Roman" w:cs="Times New Roman"/>
                <w:i/>
                <w:sz w:val="24"/>
                <w:szCs w:val="24"/>
              </w:rPr>
            </w:pPr>
            <w:r w:rsidRPr="00E76D0B">
              <w:rPr>
                <w:rFonts w:ascii="Times New Roman" w:hAnsi="Times New Roman" w:cs="Times New Roman"/>
                <w:sz w:val="24"/>
                <w:szCs w:val="24"/>
              </w:rPr>
              <w:t>Ar tikrai reikalingas raštiškas susitikimas, nes 31.6 punkte numatyta, kad jei pareiškėjas turtą valdo ne nuosavybės teise, tuomet turi pateikti susitarimą su turto savininku. Jei pasirašomas susitarimas, savininkas neprieštarauja, kad būtų vykdomos projekto veiklos.</w:t>
            </w:r>
          </w:p>
        </w:tc>
        <w:tc>
          <w:tcPr>
            <w:tcW w:w="7194" w:type="dxa"/>
          </w:tcPr>
          <w:p w14:paraId="4715F381" w14:textId="07682DDB" w:rsidR="007510F9" w:rsidRPr="00E76D0B" w:rsidRDefault="007510F9"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Neatsižvelgta.</w:t>
            </w:r>
          </w:p>
          <w:p w14:paraId="7AC6DA97" w14:textId="55A408B7" w:rsidR="003D6708" w:rsidRPr="00E76D0B" w:rsidRDefault="002C7DE0"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31.5. punkt</w:t>
            </w:r>
            <w:r w:rsidR="00EC5D45" w:rsidRPr="00E76D0B">
              <w:rPr>
                <w:rFonts w:ascii="Times New Roman" w:hAnsi="Times New Roman" w:cs="Times New Roman"/>
                <w:iCs/>
                <w:sz w:val="24"/>
                <w:szCs w:val="24"/>
              </w:rPr>
              <w:t xml:space="preserve">e aprašytas sutikimas nurodo, kad tai bus turto savininko </w:t>
            </w:r>
            <w:r w:rsidR="003C2F2A" w:rsidRPr="00E76D0B">
              <w:rPr>
                <w:rFonts w:ascii="Times New Roman" w:hAnsi="Times New Roman" w:cs="Times New Roman"/>
                <w:iCs/>
                <w:sz w:val="24"/>
                <w:szCs w:val="24"/>
              </w:rPr>
              <w:t xml:space="preserve">leidimas vykdyti veiklas, tuo tarpu 31.6 punkte aprašyto susitarimo turinys būtų </w:t>
            </w:r>
            <w:r w:rsidR="00FC73A5" w:rsidRPr="00E76D0B">
              <w:rPr>
                <w:rFonts w:ascii="Times New Roman" w:hAnsi="Times New Roman" w:cs="Times New Roman"/>
                <w:iCs/>
                <w:sz w:val="24"/>
                <w:szCs w:val="24"/>
              </w:rPr>
              <w:t xml:space="preserve">kitas - </w:t>
            </w:r>
            <w:r w:rsidR="00FC73A5" w:rsidRPr="00E76D0B">
              <w:rPr>
                <w:rFonts w:ascii="Times New Roman" w:hAnsi="Times New Roman" w:cs="Times New Roman"/>
                <w:sz w:val="24"/>
                <w:szCs w:val="24"/>
              </w:rPr>
              <w:t xml:space="preserve"> santykiai pasibaigus arba nutrūkus teisiniams santykiams, kurių pagrindu pareiškėjas ar projekto vykdytojas valdo tiesiogiai su projektu susijusį turtą.</w:t>
            </w:r>
            <w:r w:rsidR="002157B8" w:rsidRPr="00E76D0B">
              <w:rPr>
                <w:rFonts w:ascii="Times New Roman" w:hAnsi="Times New Roman" w:cs="Times New Roman"/>
                <w:sz w:val="24"/>
                <w:szCs w:val="24"/>
              </w:rPr>
              <w:t xml:space="preserve"> Atsižvelgiant į tai, manome, kad abu punktai yra reikalingi.</w:t>
            </w:r>
          </w:p>
        </w:tc>
      </w:tr>
      <w:tr w:rsidR="003D6708" w:rsidRPr="00E76D0B" w14:paraId="733C1280" w14:textId="77777777" w:rsidTr="005D518E">
        <w:tc>
          <w:tcPr>
            <w:tcW w:w="704" w:type="dxa"/>
          </w:tcPr>
          <w:p w14:paraId="1BEB58EC" w14:textId="7E2B9ECE" w:rsidR="003D6708" w:rsidRPr="00E76D0B" w:rsidRDefault="007C4853"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11.</w:t>
            </w:r>
          </w:p>
        </w:tc>
        <w:tc>
          <w:tcPr>
            <w:tcW w:w="6662" w:type="dxa"/>
          </w:tcPr>
          <w:p w14:paraId="568AF4B9" w14:textId="2B315FD1" w:rsidR="003902B7" w:rsidRPr="00E76D0B" w:rsidRDefault="003902B7" w:rsidP="00E76D0B">
            <w:pPr>
              <w:tabs>
                <w:tab w:val="left" w:pos="1418"/>
              </w:tabs>
              <w:spacing w:line="276" w:lineRule="auto"/>
              <w:jc w:val="both"/>
              <w:rPr>
                <w:rFonts w:ascii="Times New Roman" w:hAnsi="Times New Roman" w:cs="Times New Roman"/>
                <w:sz w:val="24"/>
                <w:szCs w:val="24"/>
              </w:rPr>
            </w:pPr>
            <w:r w:rsidRPr="00E76D0B">
              <w:rPr>
                <w:rFonts w:ascii="Times New Roman" w:hAnsi="Times New Roman" w:cs="Times New Roman"/>
                <w:i/>
                <w:sz w:val="24"/>
                <w:szCs w:val="24"/>
              </w:rPr>
              <w:t>PFSA 31.6 p.</w:t>
            </w:r>
            <w:r w:rsidRPr="00E76D0B">
              <w:rPr>
                <w:rFonts w:ascii="Times New Roman" w:hAnsi="Times New Roman" w:cs="Times New Roman"/>
                <w:sz w:val="24"/>
                <w:szCs w:val="24"/>
              </w:rPr>
              <w:t xml:space="preserve"> nėra aišku ar papildomus susitarimus turi sudaryti visi pareiškėjai nekilnojamąjį turtą valdantys ne nuosavybės teise ar tik tie, kurių projekto įgyvendinimo metu ar poprojektiniu laikotarpiu pasibaigia teisiniai santykiai, kurių pagrindu pareiškėjas ar projekto vykdytojas valdo tiesiogiai su projektu susijusį turtą. Analogiška situacija buvo su šilumos priemone.</w:t>
            </w:r>
          </w:p>
          <w:p w14:paraId="2BDB3BD8" w14:textId="77777777" w:rsidR="003902B7" w:rsidRPr="00E76D0B" w:rsidRDefault="003902B7" w:rsidP="00E76D0B">
            <w:pPr>
              <w:tabs>
                <w:tab w:val="left" w:pos="1418"/>
              </w:tabs>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Siūlome formuluoti:</w:t>
            </w:r>
          </w:p>
          <w:sdt>
            <w:sdtPr>
              <w:rPr>
                <w:rFonts w:ascii="Times New Roman" w:hAnsi="Times New Roman" w:cs="Times New Roman"/>
                <w:sz w:val="24"/>
                <w:szCs w:val="24"/>
              </w:rPr>
              <w:alias w:val="31.6 pp."/>
              <w:tag w:val="part_047494caa72741079ab75800f4133bcd"/>
              <w:id w:val="-885875695"/>
            </w:sdtPr>
            <w:sdtEndPr/>
            <w:sdtContent>
              <w:p w14:paraId="149390C2" w14:textId="509AF26C" w:rsidR="003902B7" w:rsidRPr="00E76D0B" w:rsidRDefault="00584399" w:rsidP="00E76D0B">
                <w:pPr>
                  <w:tabs>
                    <w:tab w:val="left" w:pos="0"/>
                    <w:tab w:val="left" w:pos="851"/>
                  </w:tabs>
                  <w:spacing w:line="276" w:lineRule="auto"/>
                  <w:jc w:val="both"/>
                  <w:rPr>
                    <w:rFonts w:ascii="Times New Roman" w:hAnsi="Times New Roman" w:cs="Times New Roman"/>
                    <w:sz w:val="24"/>
                    <w:szCs w:val="24"/>
                  </w:rPr>
                </w:pPr>
                <w:sdt>
                  <w:sdtPr>
                    <w:rPr>
                      <w:rFonts w:ascii="Times New Roman" w:hAnsi="Times New Roman" w:cs="Times New Roman"/>
                      <w:sz w:val="24"/>
                      <w:szCs w:val="24"/>
                    </w:rPr>
                    <w:alias w:val="Numeris"/>
                    <w:tag w:val="nr_047494caa72741079ab75800f4133bcd"/>
                    <w:id w:val="-1806465345"/>
                  </w:sdtPr>
                  <w:sdtEndPr/>
                  <w:sdtContent>
                    <w:r w:rsidR="003902B7" w:rsidRPr="00E76D0B">
                      <w:rPr>
                        <w:rFonts w:ascii="Times New Roman" w:hAnsi="Times New Roman" w:cs="Times New Roman"/>
                        <w:sz w:val="24"/>
                        <w:szCs w:val="24"/>
                      </w:rPr>
                      <w:t>31.6</w:t>
                    </w:r>
                  </w:sdtContent>
                </w:sdt>
                <w:r w:rsidR="003902B7" w:rsidRPr="00E76D0B">
                  <w:rPr>
                    <w:rFonts w:ascii="Times New Roman" w:hAnsi="Times New Roman" w:cs="Times New Roman"/>
                    <w:sz w:val="24"/>
                    <w:szCs w:val="24"/>
                  </w:rPr>
                  <w:t>.</w:t>
                </w:r>
                <w:r w:rsidR="00B9781E" w:rsidRPr="00E76D0B">
                  <w:rPr>
                    <w:rFonts w:ascii="Times New Roman" w:hAnsi="Times New Roman" w:cs="Times New Roman"/>
                    <w:sz w:val="24"/>
                    <w:szCs w:val="24"/>
                  </w:rPr>
                  <w:t xml:space="preserve"> </w:t>
                </w:r>
                <w:r w:rsidR="003902B7" w:rsidRPr="00E76D0B">
                  <w:rPr>
                    <w:rFonts w:ascii="Times New Roman" w:hAnsi="Times New Roman" w:cs="Times New Roman"/>
                    <w:sz w:val="24"/>
                    <w:szCs w:val="24"/>
                  </w:rPr>
                  <w:t>pareiškėjas, ne nuosavybės teise valdantis nekilnojamąjį turtą, kuris bus naudojamas įgyvendinant projektą, ir šio turto savininkas turi sudaryti susitarimą dėl projekto įgyvendinimo. Susitarime turi būti nustatyti tarpusavio įsipareigojimai dėl pareiškėjo ar projekto vykdytojo teisių ir pareigų perleidimo–perėmimo, jeigu, pateikus paraišką, projekto įgyvendinimo metu ar poprojektiniu laikotarpiu pasibaigtų arba nutrūktų teisiniai santykiai, kurių pagrindu pareiškėjas ar projekto vykdytojas valdo tiesiogiai su projektu susijusį turtą. Susitarime taip pat turi būti nustatytos turto, kuriam įsigyti ar sukurti skiriamos projekto lėšos, perleidimo–perėmimo sąlygos, atsižvelgiant į valstybės pagalbai taikomus reikalavimus.</w:t>
                </w:r>
              </w:p>
              <w:p w14:paraId="230464BC" w14:textId="77777777" w:rsidR="002A2705" w:rsidRPr="00E76D0B" w:rsidRDefault="002A2705" w:rsidP="00E76D0B">
                <w:pPr>
                  <w:spacing w:line="276" w:lineRule="auto"/>
                  <w:jc w:val="both"/>
                  <w:rPr>
                    <w:rFonts w:ascii="Times New Roman" w:hAnsi="Times New Roman" w:cs="Times New Roman"/>
                    <w:sz w:val="24"/>
                    <w:szCs w:val="24"/>
                  </w:rPr>
                </w:pPr>
              </w:p>
              <w:p w14:paraId="2EBF04F1" w14:textId="5D65BCAF" w:rsidR="003D6708" w:rsidRPr="00E76D0B" w:rsidRDefault="003902B7"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Siūlome į PFSA 31.6 p. nurodytą susitarimą įtraukti sąlygą, jog jame turi būti nurodytas galiojimo laikotarpis ne trumpesnis nei numatyti tęstinumo reikalavimai.</w:t>
                </w:r>
              </w:p>
            </w:sdtContent>
          </w:sdt>
        </w:tc>
        <w:tc>
          <w:tcPr>
            <w:tcW w:w="7194" w:type="dxa"/>
          </w:tcPr>
          <w:p w14:paraId="64CE0909" w14:textId="77777777" w:rsidR="002A2705" w:rsidRPr="00E76D0B" w:rsidRDefault="002A2705"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lastRenderedPageBreak/>
              <w:t>Neatsižvelgta.</w:t>
            </w:r>
          </w:p>
          <w:p w14:paraId="0153DC9F" w14:textId="77777777" w:rsidR="003D6708" w:rsidRPr="00E76D0B" w:rsidRDefault="002A2705"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 xml:space="preserve">Punktas </w:t>
            </w:r>
            <w:r w:rsidR="00CC05BF" w:rsidRPr="00E76D0B">
              <w:rPr>
                <w:rFonts w:ascii="Times New Roman" w:hAnsi="Times New Roman" w:cs="Times New Roman"/>
                <w:iCs/>
                <w:sz w:val="24"/>
                <w:szCs w:val="24"/>
              </w:rPr>
              <w:t xml:space="preserve">PFSA </w:t>
            </w:r>
            <w:r w:rsidRPr="00E76D0B">
              <w:rPr>
                <w:rFonts w:ascii="Times New Roman" w:hAnsi="Times New Roman" w:cs="Times New Roman"/>
                <w:iCs/>
                <w:sz w:val="24"/>
                <w:szCs w:val="24"/>
              </w:rPr>
              <w:t>jau buvo suformuluotas</w:t>
            </w:r>
            <w:r w:rsidR="00CC05BF" w:rsidRPr="00E76D0B">
              <w:rPr>
                <w:rFonts w:ascii="Times New Roman" w:hAnsi="Times New Roman" w:cs="Times New Roman"/>
                <w:iCs/>
                <w:sz w:val="24"/>
                <w:szCs w:val="24"/>
              </w:rPr>
              <w:t xml:space="preserve"> taip kaip siūlote, todėl pakeitimai nereikalingi.</w:t>
            </w:r>
          </w:p>
          <w:p w14:paraId="744BF601" w14:textId="77777777" w:rsidR="00623222" w:rsidRPr="00E76D0B" w:rsidRDefault="00623222" w:rsidP="00E76D0B">
            <w:pPr>
              <w:spacing w:line="276" w:lineRule="auto"/>
              <w:jc w:val="both"/>
              <w:rPr>
                <w:rFonts w:ascii="Times New Roman" w:hAnsi="Times New Roman" w:cs="Times New Roman"/>
                <w:iCs/>
                <w:sz w:val="24"/>
                <w:szCs w:val="24"/>
              </w:rPr>
            </w:pPr>
          </w:p>
          <w:p w14:paraId="46DAACBF" w14:textId="77777777" w:rsidR="00623222" w:rsidRPr="00E76D0B" w:rsidRDefault="00623222" w:rsidP="00E76D0B">
            <w:pPr>
              <w:spacing w:line="276" w:lineRule="auto"/>
              <w:jc w:val="both"/>
              <w:rPr>
                <w:rFonts w:ascii="Times New Roman" w:hAnsi="Times New Roman" w:cs="Times New Roman"/>
                <w:b/>
                <w:iCs/>
                <w:sz w:val="24"/>
                <w:szCs w:val="24"/>
              </w:rPr>
            </w:pPr>
          </w:p>
          <w:p w14:paraId="7BE0E16F" w14:textId="77777777" w:rsidR="00623222" w:rsidRPr="00E76D0B" w:rsidRDefault="00623222" w:rsidP="00E76D0B">
            <w:pPr>
              <w:spacing w:line="276" w:lineRule="auto"/>
              <w:jc w:val="both"/>
              <w:rPr>
                <w:rFonts w:ascii="Times New Roman" w:hAnsi="Times New Roman" w:cs="Times New Roman"/>
                <w:b/>
                <w:iCs/>
                <w:sz w:val="24"/>
                <w:szCs w:val="24"/>
              </w:rPr>
            </w:pPr>
          </w:p>
          <w:p w14:paraId="6FAA9F50" w14:textId="77777777" w:rsidR="00623222" w:rsidRPr="00E76D0B" w:rsidRDefault="00623222" w:rsidP="00E76D0B">
            <w:pPr>
              <w:spacing w:line="276" w:lineRule="auto"/>
              <w:jc w:val="both"/>
              <w:rPr>
                <w:rFonts w:ascii="Times New Roman" w:hAnsi="Times New Roman" w:cs="Times New Roman"/>
                <w:b/>
                <w:iCs/>
                <w:sz w:val="24"/>
                <w:szCs w:val="24"/>
              </w:rPr>
            </w:pPr>
          </w:p>
          <w:p w14:paraId="4A31BB70" w14:textId="77777777" w:rsidR="00623222" w:rsidRPr="00E76D0B" w:rsidRDefault="00623222" w:rsidP="00E76D0B">
            <w:pPr>
              <w:spacing w:line="276" w:lineRule="auto"/>
              <w:jc w:val="both"/>
              <w:rPr>
                <w:rFonts w:ascii="Times New Roman" w:hAnsi="Times New Roman" w:cs="Times New Roman"/>
                <w:b/>
                <w:iCs/>
                <w:sz w:val="24"/>
                <w:szCs w:val="24"/>
              </w:rPr>
            </w:pPr>
          </w:p>
          <w:p w14:paraId="0F8D55E4" w14:textId="77777777" w:rsidR="00623222" w:rsidRPr="00E76D0B" w:rsidRDefault="00623222" w:rsidP="00E76D0B">
            <w:pPr>
              <w:spacing w:line="276" w:lineRule="auto"/>
              <w:jc w:val="both"/>
              <w:rPr>
                <w:rFonts w:ascii="Times New Roman" w:hAnsi="Times New Roman" w:cs="Times New Roman"/>
                <w:b/>
                <w:iCs/>
                <w:sz w:val="24"/>
                <w:szCs w:val="24"/>
              </w:rPr>
            </w:pPr>
          </w:p>
          <w:p w14:paraId="56CD4649" w14:textId="77777777" w:rsidR="00623222" w:rsidRPr="00E76D0B" w:rsidRDefault="00623222" w:rsidP="00E76D0B">
            <w:pPr>
              <w:spacing w:line="276" w:lineRule="auto"/>
              <w:jc w:val="both"/>
              <w:rPr>
                <w:rFonts w:ascii="Times New Roman" w:hAnsi="Times New Roman" w:cs="Times New Roman"/>
                <w:b/>
                <w:iCs/>
                <w:sz w:val="24"/>
                <w:szCs w:val="24"/>
              </w:rPr>
            </w:pPr>
          </w:p>
          <w:p w14:paraId="656AEC37" w14:textId="77777777" w:rsidR="00623222" w:rsidRPr="00E76D0B" w:rsidRDefault="00623222" w:rsidP="00E76D0B">
            <w:pPr>
              <w:spacing w:line="276" w:lineRule="auto"/>
              <w:jc w:val="both"/>
              <w:rPr>
                <w:rFonts w:ascii="Times New Roman" w:hAnsi="Times New Roman" w:cs="Times New Roman"/>
                <w:b/>
                <w:iCs/>
                <w:sz w:val="24"/>
                <w:szCs w:val="24"/>
              </w:rPr>
            </w:pPr>
          </w:p>
          <w:p w14:paraId="1C636A48" w14:textId="77777777" w:rsidR="00623222" w:rsidRPr="00E76D0B" w:rsidRDefault="00623222" w:rsidP="00E76D0B">
            <w:pPr>
              <w:spacing w:line="276" w:lineRule="auto"/>
              <w:jc w:val="both"/>
              <w:rPr>
                <w:rFonts w:ascii="Times New Roman" w:hAnsi="Times New Roman" w:cs="Times New Roman"/>
                <w:b/>
                <w:iCs/>
                <w:sz w:val="24"/>
                <w:szCs w:val="24"/>
              </w:rPr>
            </w:pPr>
          </w:p>
          <w:p w14:paraId="047D77E5" w14:textId="77777777" w:rsidR="00623222" w:rsidRPr="00E76D0B" w:rsidRDefault="00623222" w:rsidP="00E76D0B">
            <w:pPr>
              <w:spacing w:line="276" w:lineRule="auto"/>
              <w:jc w:val="both"/>
              <w:rPr>
                <w:rFonts w:ascii="Times New Roman" w:hAnsi="Times New Roman" w:cs="Times New Roman"/>
                <w:b/>
                <w:iCs/>
                <w:sz w:val="24"/>
                <w:szCs w:val="24"/>
              </w:rPr>
            </w:pPr>
          </w:p>
          <w:p w14:paraId="51C4C264" w14:textId="77777777" w:rsidR="00623222" w:rsidRPr="00E76D0B" w:rsidRDefault="00623222" w:rsidP="00E76D0B">
            <w:pPr>
              <w:spacing w:line="276" w:lineRule="auto"/>
              <w:jc w:val="both"/>
              <w:rPr>
                <w:rFonts w:ascii="Times New Roman" w:hAnsi="Times New Roman" w:cs="Times New Roman"/>
                <w:b/>
                <w:iCs/>
                <w:sz w:val="24"/>
                <w:szCs w:val="24"/>
              </w:rPr>
            </w:pPr>
          </w:p>
          <w:p w14:paraId="3D788094" w14:textId="77777777" w:rsidR="00623222" w:rsidRPr="00E76D0B" w:rsidRDefault="00623222" w:rsidP="00E76D0B">
            <w:pPr>
              <w:spacing w:line="276" w:lineRule="auto"/>
              <w:jc w:val="both"/>
              <w:rPr>
                <w:rFonts w:ascii="Times New Roman" w:hAnsi="Times New Roman" w:cs="Times New Roman"/>
                <w:b/>
                <w:iCs/>
                <w:sz w:val="24"/>
                <w:szCs w:val="24"/>
              </w:rPr>
            </w:pPr>
          </w:p>
          <w:p w14:paraId="26AFB95D" w14:textId="77777777" w:rsidR="00623222" w:rsidRPr="00E76D0B" w:rsidRDefault="00623222" w:rsidP="00E76D0B">
            <w:pPr>
              <w:spacing w:line="276" w:lineRule="auto"/>
              <w:jc w:val="both"/>
              <w:rPr>
                <w:rFonts w:ascii="Times New Roman" w:hAnsi="Times New Roman" w:cs="Times New Roman"/>
                <w:b/>
                <w:iCs/>
                <w:sz w:val="24"/>
                <w:szCs w:val="24"/>
              </w:rPr>
            </w:pPr>
          </w:p>
          <w:p w14:paraId="4B5DE97A" w14:textId="77777777" w:rsidR="00623222" w:rsidRPr="00E76D0B" w:rsidRDefault="00623222" w:rsidP="00E76D0B">
            <w:pPr>
              <w:spacing w:line="276" w:lineRule="auto"/>
              <w:jc w:val="both"/>
              <w:rPr>
                <w:rFonts w:ascii="Times New Roman" w:hAnsi="Times New Roman" w:cs="Times New Roman"/>
                <w:b/>
                <w:iCs/>
                <w:sz w:val="24"/>
                <w:szCs w:val="24"/>
              </w:rPr>
            </w:pPr>
          </w:p>
          <w:p w14:paraId="70A665A9" w14:textId="77777777" w:rsidR="00623222" w:rsidRPr="00E76D0B" w:rsidRDefault="00623222" w:rsidP="00E76D0B">
            <w:pPr>
              <w:spacing w:line="276" w:lineRule="auto"/>
              <w:jc w:val="both"/>
              <w:rPr>
                <w:rFonts w:ascii="Times New Roman" w:hAnsi="Times New Roman" w:cs="Times New Roman"/>
                <w:b/>
                <w:iCs/>
                <w:sz w:val="24"/>
                <w:szCs w:val="24"/>
              </w:rPr>
            </w:pPr>
          </w:p>
          <w:p w14:paraId="594BA428" w14:textId="77777777" w:rsidR="00623222" w:rsidRPr="00E76D0B" w:rsidRDefault="00623222" w:rsidP="00E76D0B">
            <w:pPr>
              <w:spacing w:line="276" w:lineRule="auto"/>
              <w:jc w:val="both"/>
              <w:rPr>
                <w:rFonts w:ascii="Times New Roman" w:hAnsi="Times New Roman" w:cs="Times New Roman"/>
                <w:b/>
                <w:iCs/>
                <w:sz w:val="24"/>
                <w:szCs w:val="24"/>
              </w:rPr>
            </w:pPr>
          </w:p>
          <w:p w14:paraId="2AFF16CC" w14:textId="77777777" w:rsidR="00623222" w:rsidRPr="00E76D0B" w:rsidRDefault="0071364D"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Atsižvelgta.</w:t>
            </w:r>
          </w:p>
          <w:p w14:paraId="39B6AE2B" w14:textId="176AC517" w:rsidR="0071364D" w:rsidRPr="00E76D0B" w:rsidRDefault="0071364D"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Punktas papildytas:</w:t>
            </w:r>
          </w:p>
          <w:p w14:paraId="712D55A8" w14:textId="4C33E10B" w:rsidR="0071364D" w:rsidRPr="00E76D0B" w:rsidRDefault="0071364D"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sz w:val="24"/>
                <w:szCs w:val="24"/>
              </w:rPr>
              <w:t xml:space="preserve">„31.6. &lt;...&gt; </w:t>
            </w:r>
            <w:r w:rsidRPr="00E76D0B">
              <w:rPr>
                <w:rFonts w:ascii="Times New Roman" w:hAnsi="Times New Roman" w:cs="Times New Roman"/>
                <w:b/>
                <w:sz w:val="24"/>
                <w:szCs w:val="24"/>
              </w:rPr>
              <w:t>Susitarimas turi galioti visą, Aprašo 78 punkte numatytą, investicijų tęstinumo laikotarpį.</w:t>
            </w:r>
            <w:r w:rsidRPr="00E76D0B">
              <w:rPr>
                <w:rFonts w:ascii="Times New Roman" w:hAnsi="Times New Roman" w:cs="Times New Roman"/>
                <w:sz w:val="24"/>
                <w:szCs w:val="24"/>
              </w:rPr>
              <w:t>“</w:t>
            </w:r>
          </w:p>
        </w:tc>
      </w:tr>
      <w:tr w:rsidR="007C4853" w:rsidRPr="00E76D0B" w14:paraId="124E0D74" w14:textId="77777777" w:rsidTr="00E50204">
        <w:tc>
          <w:tcPr>
            <w:tcW w:w="704" w:type="dxa"/>
          </w:tcPr>
          <w:p w14:paraId="6151B749" w14:textId="5A7307F0" w:rsidR="007C4853" w:rsidRPr="00E76D0B" w:rsidRDefault="007C4853"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lastRenderedPageBreak/>
              <w:t>12.</w:t>
            </w:r>
          </w:p>
        </w:tc>
        <w:tc>
          <w:tcPr>
            <w:tcW w:w="6662" w:type="dxa"/>
            <w:shd w:val="clear" w:color="auto" w:fill="auto"/>
          </w:tcPr>
          <w:p w14:paraId="606A7FFF" w14:textId="40DF7A47" w:rsidR="00616AA4" w:rsidRPr="00E76D0B" w:rsidRDefault="000655CF"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 xml:space="preserve">PFSA </w:t>
            </w:r>
            <w:r w:rsidR="00B9781E" w:rsidRPr="00E76D0B">
              <w:rPr>
                <w:rFonts w:ascii="Times New Roman" w:hAnsi="Times New Roman" w:cs="Times New Roman"/>
                <w:i/>
                <w:sz w:val="24"/>
                <w:szCs w:val="24"/>
              </w:rPr>
              <w:t>42.3</w:t>
            </w:r>
            <w:r w:rsidRPr="00E76D0B">
              <w:rPr>
                <w:rFonts w:ascii="Times New Roman" w:hAnsi="Times New Roman" w:cs="Times New Roman"/>
                <w:i/>
                <w:sz w:val="24"/>
                <w:szCs w:val="24"/>
              </w:rPr>
              <w:t xml:space="preserve"> p.</w:t>
            </w:r>
          </w:p>
          <w:p w14:paraId="16F15D1D" w14:textId="75B5F44F" w:rsidR="007C4853" w:rsidRPr="00E76D0B" w:rsidRDefault="00A226B1"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Ar labai mažos įmonės tinkamas pareiškėjas, jei taip – įvardinti koks tokioms įmonėms galimas intensyvumas, jei ne – nurodyti, kad tokios įmonės netinkamos.</w:t>
            </w:r>
          </w:p>
        </w:tc>
        <w:tc>
          <w:tcPr>
            <w:tcW w:w="7194" w:type="dxa"/>
            <w:shd w:val="clear" w:color="auto" w:fill="auto"/>
          </w:tcPr>
          <w:p w14:paraId="49789FF8" w14:textId="77777777" w:rsidR="00A231D2" w:rsidRPr="00E76D0B" w:rsidRDefault="00A231D2" w:rsidP="00E76D0B">
            <w:pPr>
              <w:spacing w:line="276" w:lineRule="auto"/>
              <w:ind w:left="29"/>
              <w:jc w:val="both"/>
              <w:rPr>
                <w:rFonts w:ascii="Times New Roman" w:hAnsi="Times New Roman" w:cs="Times New Roman"/>
                <w:b/>
                <w:iCs/>
                <w:sz w:val="24"/>
                <w:szCs w:val="24"/>
              </w:rPr>
            </w:pPr>
            <w:r w:rsidRPr="00E76D0B">
              <w:rPr>
                <w:rFonts w:ascii="Times New Roman" w:hAnsi="Times New Roman" w:cs="Times New Roman"/>
                <w:b/>
                <w:iCs/>
                <w:sz w:val="24"/>
                <w:szCs w:val="24"/>
              </w:rPr>
              <w:t>Atsižvelgta.</w:t>
            </w:r>
          </w:p>
          <w:p w14:paraId="758C8AB1" w14:textId="2D7589FF" w:rsidR="006A40E6" w:rsidRPr="00E76D0B" w:rsidRDefault="00E50204" w:rsidP="00E76D0B">
            <w:pPr>
              <w:spacing w:line="276" w:lineRule="auto"/>
              <w:ind w:left="29"/>
              <w:jc w:val="both"/>
              <w:rPr>
                <w:rFonts w:ascii="Times New Roman" w:hAnsi="Times New Roman" w:cs="Times New Roman"/>
                <w:iCs/>
                <w:sz w:val="24"/>
                <w:szCs w:val="24"/>
              </w:rPr>
            </w:pPr>
            <w:r w:rsidRPr="00E76D0B">
              <w:rPr>
                <w:rFonts w:ascii="Times New Roman" w:hAnsi="Times New Roman" w:cs="Times New Roman"/>
                <w:iCs/>
                <w:sz w:val="24"/>
                <w:szCs w:val="24"/>
              </w:rPr>
              <w:t>PFSA papildytas labai mažų įmonių apibrėžimu</w:t>
            </w:r>
            <w:r w:rsidR="006A40E6" w:rsidRPr="00E76D0B">
              <w:rPr>
                <w:rFonts w:ascii="Times New Roman" w:hAnsi="Times New Roman" w:cs="Times New Roman"/>
                <w:iCs/>
                <w:sz w:val="24"/>
                <w:szCs w:val="24"/>
              </w:rPr>
              <w:t>:</w:t>
            </w:r>
          </w:p>
          <w:p w14:paraId="575D8F31" w14:textId="77777777" w:rsidR="004431A1" w:rsidRPr="00E76D0B" w:rsidRDefault="006A40E6" w:rsidP="00E76D0B">
            <w:pPr>
              <w:spacing w:line="276" w:lineRule="auto"/>
              <w:ind w:firstLine="29"/>
              <w:jc w:val="both"/>
              <w:rPr>
                <w:rFonts w:ascii="Times New Roman" w:hAnsi="Times New Roman" w:cs="Times New Roman"/>
                <w:iCs/>
                <w:sz w:val="24"/>
                <w:szCs w:val="24"/>
              </w:rPr>
            </w:pPr>
            <w:r w:rsidRPr="00E76D0B">
              <w:rPr>
                <w:rFonts w:ascii="Times New Roman" w:hAnsi="Times New Roman" w:cs="Times New Roman"/>
                <w:iCs/>
                <w:sz w:val="24"/>
                <w:szCs w:val="24"/>
              </w:rPr>
              <w:t>„</w:t>
            </w:r>
            <w:r w:rsidRPr="00E76D0B">
              <w:rPr>
                <w:rFonts w:ascii="Times New Roman" w:hAnsi="Times New Roman" w:cs="Times New Roman"/>
                <w:b/>
                <w:sz w:val="24"/>
                <w:szCs w:val="24"/>
              </w:rPr>
              <w:t>Labai maža įmonė suprantama taip, kaip apibrėžta Bendrojo bendrosios išimties reglamento 1 priede.</w:t>
            </w:r>
            <w:r w:rsidRPr="00E76D0B">
              <w:rPr>
                <w:rFonts w:ascii="Times New Roman" w:hAnsi="Times New Roman" w:cs="Times New Roman"/>
                <w:sz w:val="24"/>
                <w:szCs w:val="24"/>
              </w:rPr>
              <w:t>“</w:t>
            </w:r>
            <w:r w:rsidR="00E50204" w:rsidRPr="00E76D0B">
              <w:rPr>
                <w:rFonts w:ascii="Times New Roman" w:hAnsi="Times New Roman" w:cs="Times New Roman"/>
                <w:iCs/>
                <w:sz w:val="24"/>
                <w:szCs w:val="24"/>
              </w:rPr>
              <w:t xml:space="preserve">, </w:t>
            </w:r>
          </w:p>
          <w:p w14:paraId="0CFBD7AF" w14:textId="77A02FFA" w:rsidR="007C4853" w:rsidRPr="00E76D0B" w:rsidRDefault="00E50204" w:rsidP="00E76D0B">
            <w:pPr>
              <w:spacing w:line="276" w:lineRule="auto"/>
              <w:ind w:firstLine="29"/>
              <w:jc w:val="both"/>
              <w:rPr>
                <w:rFonts w:ascii="Times New Roman" w:hAnsi="Times New Roman" w:cs="Times New Roman"/>
                <w:sz w:val="24"/>
                <w:szCs w:val="24"/>
              </w:rPr>
            </w:pPr>
            <w:r w:rsidRPr="00E76D0B">
              <w:rPr>
                <w:rFonts w:ascii="Times New Roman" w:hAnsi="Times New Roman" w:cs="Times New Roman"/>
                <w:iCs/>
                <w:sz w:val="24"/>
                <w:szCs w:val="24"/>
              </w:rPr>
              <w:t xml:space="preserve">taip pat </w:t>
            </w:r>
            <w:r w:rsidR="006A40E6" w:rsidRPr="00E76D0B">
              <w:rPr>
                <w:rFonts w:ascii="Times New Roman" w:hAnsi="Times New Roman" w:cs="Times New Roman"/>
                <w:iCs/>
                <w:sz w:val="24"/>
                <w:szCs w:val="24"/>
              </w:rPr>
              <w:t xml:space="preserve">praplėstas 42.3 </w:t>
            </w:r>
            <w:r w:rsidRPr="00E76D0B">
              <w:rPr>
                <w:rFonts w:ascii="Times New Roman" w:hAnsi="Times New Roman" w:cs="Times New Roman"/>
                <w:iCs/>
                <w:sz w:val="24"/>
                <w:szCs w:val="24"/>
              </w:rPr>
              <w:t>papunktis:</w:t>
            </w:r>
          </w:p>
          <w:p w14:paraId="448DE319" w14:textId="026EEB71" w:rsidR="00E50204" w:rsidRPr="00E76D0B" w:rsidRDefault="00E50204" w:rsidP="00E76D0B">
            <w:pPr>
              <w:tabs>
                <w:tab w:val="left" w:pos="709"/>
                <w:tab w:val="left" w:pos="851"/>
                <w:tab w:val="left" w:pos="1276"/>
                <w:tab w:val="left" w:pos="1418"/>
                <w:tab w:val="left" w:pos="1843"/>
              </w:tabs>
              <w:spacing w:line="276" w:lineRule="auto"/>
              <w:jc w:val="both"/>
              <w:rPr>
                <w:rFonts w:ascii="Times New Roman" w:hAnsi="Times New Roman" w:cs="Times New Roman"/>
                <w:sz w:val="24"/>
                <w:szCs w:val="24"/>
              </w:rPr>
            </w:pPr>
            <w:r w:rsidRPr="00E76D0B">
              <w:rPr>
                <w:rFonts w:ascii="Times New Roman" w:eastAsia="Times New Roman" w:hAnsi="Times New Roman" w:cs="Times New Roman"/>
                <w:sz w:val="24"/>
                <w:szCs w:val="24"/>
                <w:lang w:eastAsia="lt-LT"/>
              </w:rPr>
              <w:t xml:space="preserve">„42.3. 80 proc. visų tinkamų finansuoti projekto išlaidų, kai pareiškėjas yra maža </w:t>
            </w:r>
            <w:r w:rsidRPr="00E76D0B">
              <w:rPr>
                <w:rFonts w:ascii="Times New Roman" w:eastAsia="Times New Roman" w:hAnsi="Times New Roman" w:cs="Times New Roman"/>
                <w:b/>
                <w:sz w:val="24"/>
                <w:szCs w:val="24"/>
                <w:lang w:eastAsia="lt-LT"/>
              </w:rPr>
              <w:t>arba labai</w:t>
            </w:r>
            <w:r w:rsidRPr="00E76D0B">
              <w:rPr>
                <w:rFonts w:ascii="Times New Roman" w:eastAsia="Times New Roman" w:hAnsi="Times New Roman" w:cs="Times New Roman"/>
                <w:sz w:val="24"/>
                <w:szCs w:val="24"/>
                <w:lang w:eastAsia="lt-LT"/>
              </w:rPr>
              <w:t xml:space="preserve"> maža įmonė. &lt;...&gt;“</w:t>
            </w:r>
          </w:p>
        </w:tc>
      </w:tr>
      <w:tr w:rsidR="007C4853" w:rsidRPr="00E76D0B" w14:paraId="333B7F32" w14:textId="77777777" w:rsidTr="007201C2">
        <w:tc>
          <w:tcPr>
            <w:tcW w:w="704" w:type="dxa"/>
          </w:tcPr>
          <w:p w14:paraId="5766C6AC" w14:textId="7FE62ADA" w:rsidR="007C4853" w:rsidRPr="00E76D0B" w:rsidRDefault="007C4853"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13.</w:t>
            </w:r>
          </w:p>
        </w:tc>
        <w:tc>
          <w:tcPr>
            <w:tcW w:w="6662" w:type="dxa"/>
            <w:shd w:val="clear" w:color="auto" w:fill="auto"/>
          </w:tcPr>
          <w:p w14:paraId="6D51053C" w14:textId="0ED679B0" w:rsidR="00EA672A" w:rsidRPr="00E76D0B" w:rsidRDefault="00EA672A" w:rsidP="00E76D0B">
            <w:pPr>
              <w:widowControl w:val="0"/>
              <w:spacing w:line="276" w:lineRule="auto"/>
              <w:ind w:left="42"/>
              <w:rPr>
                <w:rFonts w:ascii="Times New Roman" w:hAnsi="Times New Roman" w:cs="Times New Roman"/>
                <w:i/>
                <w:sz w:val="24"/>
                <w:szCs w:val="24"/>
              </w:rPr>
            </w:pPr>
            <w:r w:rsidRPr="00E76D0B">
              <w:rPr>
                <w:rFonts w:ascii="Times New Roman" w:hAnsi="Times New Roman" w:cs="Times New Roman"/>
                <w:i/>
                <w:sz w:val="24"/>
                <w:szCs w:val="24"/>
              </w:rPr>
              <w:t>PFSA 45 p.</w:t>
            </w:r>
          </w:p>
          <w:p w14:paraId="1E816715" w14:textId="33660EC2" w:rsidR="00EA672A" w:rsidRPr="00E76D0B" w:rsidRDefault="00EA672A" w:rsidP="00510E59">
            <w:pPr>
              <w:widowControl w:val="0"/>
              <w:spacing w:line="276" w:lineRule="auto"/>
              <w:ind w:left="42"/>
              <w:jc w:val="both"/>
              <w:rPr>
                <w:rFonts w:ascii="Times New Roman" w:hAnsi="Times New Roman" w:cs="Times New Roman"/>
                <w:sz w:val="24"/>
                <w:szCs w:val="24"/>
              </w:rPr>
            </w:pPr>
            <w:r w:rsidRPr="00E76D0B">
              <w:rPr>
                <w:rFonts w:ascii="Times New Roman" w:hAnsi="Times New Roman" w:cs="Times New Roman"/>
                <w:sz w:val="24"/>
                <w:szCs w:val="24"/>
              </w:rPr>
              <w:t xml:space="preserve">Kyla klausimas, ar šioje išlaidų kategorijoje gali būti DU išlaidos, atostogų, komandiruočių ir pan. </w:t>
            </w:r>
          </w:p>
          <w:p w14:paraId="7CF93924" w14:textId="77777777" w:rsidR="007C4853" w:rsidRDefault="00EA672A" w:rsidP="00510E59">
            <w:pPr>
              <w:spacing w:line="276" w:lineRule="auto"/>
              <w:jc w:val="both"/>
              <w:rPr>
                <w:rFonts w:ascii="Times New Roman" w:hAnsi="Times New Roman" w:cs="Times New Roman"/>
                <w:sz w:val="24"/>
                <w:szCs w:val="24"/>
                <w:lang w:eastAsia="lt-LT"/>
              </w:rPr>
            </w:pPr>
            <w:r w:rsidRPr="00E76D0B">
              <w:rPr>
                <w:rFonts w:ascii="Times New Roman" w:hAnsi="Times New Roman" w:cs="Times New Roman"/>
                <w:sz w:val="24"/>
                <w:szCs w:val="24"/>
                <w:lang w:eastAsia="lt-LT"/>
              </w:rPr>
              <w:t>Atsižvelgiant, kad įranga bus įsigyjama kartu su montavimo darbais, t.</w:t>
            </w:r>
            <w:r w:rsidR="00DD70B5" w:rsidRPr="00E76D0B">
              <w:rPr>
                <w:rFonts w:ascii="Times New Roman" w:hAnsi="Times New Roman" w:cs="Times New Roman"/>
                <w:sz w:val="24"/>
                <w:szCs w:val="24"/>
                <w:lang w:eastAsia="lt-LT"/>
              </w:rPr>
              <w:t xml:space="preserve"> </w:t>
            </w:r>
            <w:r w:rsidRPr="00E76D0B">
              <w:rPr>
                <w:rFonts w:ascii="Times New Roman" w:hAnsi="Times New Roman" w:cs="Times New Roman"/>
                <w:sz w:val="24"/>
                <w:szCs w:val="24"/>
                <w:lang w:eastAsia="lt-LT"/>
              </w:rPr>
              <w:t>y. paslaugų pirkimas neapima DU, komandiruočių ir pan</w:t>
            </w:r>
            <w:r w:rsidR="00983050" w:rsidRPr="00E76D0B">
              <w:rPr>
                <w:rFonts w:ascii="Times New Roman" w:hAnsi="Times New Roman" w:cs="Times New Roman"/>
                <w:sz w:val="24"/>
                <w:szCs w:val="24"/>
                <w:lang w:eastAsia="lt-LT"/>
              </w:rPr>
              <w:t>.</w:t>
            </w:r>
            <w:r w:rsidRPr="00E76D0B">
              <w:rPr>
                <w:rFonts w:ascii="Times New Roman" w:hAnsi="Times New Roman" w:cs="Times New Roman"/>
                <w:sz w:val="24"/>
                <w:szCs w:val="24"/>
                <w:lang w:eastAsia="lt-LT"/>
              </w:rPr>
              <w:t>, šių išlaidų siūlytume neįtraukti.</w:t>
            </w:r>
          </w:p>
          <w:p w14:paraId="68F2C2D3" w14:textId="77777777" w:rsidR="00CB1244" w:rsidRPr="00CB1244" w:rsidRDefault="00CB1244" w:rsidP="00510E59">
            <w:pPr>
              <w:spacing w:line="276" w:lineRule="auto"/>
              <w:jc w:val="both"/>
              <w:rPr>
                <w:rFonts w:ascii="Times New Roman" w:hAnsi="Times New Roman" w:cs="Times New Roman"/>
                <w:i/>
                <w:sz w:val="24"/>
                <w:szCs w:val="24"/>
              </w:rPr>
            </w:pPr>
            <w:r w:rsidRPr="00CB1244">
              <w:rPr>
                <w:rFonts w:ascii="Times New Roman" w:hAnsi="Times New Roman" w:cs="Times New Roman"/>
                <w:i/>
                <w:sz w:val="24"/>
                <w:szCs w:val="24"/>
                <w:lang w:eastAsia="lt-LT"/>
              </w:rPr>
              <w:t xml:space="preserve">Papildyta </w:t>
            </w:r>
            <w:r w:rsidRPr="00CB1244">
              <w:rPr>
                <w:rFonts w:ascii="Times New Roman" w:hAnsi="Times New Roman" w:cs="Times New Roman"/>
                <w:i/>
                <w:sz w:val="24"/>
                <w:szCs w:val="24"/>
              </w:rPr>
              <w:t>Viešosios įstaigos Lietuvos verslo paramos agentūra 2017 m. gegužės 24 d. el. paštu gauta informacija:</w:t>
            </w:r>
          </w:p>
          <w:p w14:paraId="1CE0A2C8" w14:textId="006B9D26" w:rsidR="00CB1244" w:rsidRPr="00E76D0B" w:rsidRDefault="00CB1244" w:rsidP="00510E59">
            <w:pPr>
              <w:pStyle w:val="PlainText"/>
              <w:jc w:val="both"/>
              <w:rPr>
                <w:rFonts w:ascii="Times New Roman" w:hAnsi="Times New Roman" w:cs="Times New Roman"/>
                <w:sz w:val="24"/>
                <w:szCs w:val="24"/>
              </w:rPr>
            </w:pPr>
            <w:r w:rsidRPr="00A30D57">
              <w:rPr>
                <w:rFonts w:ascii="Times New Roman" w:hAnsi="Times New Roman" w:cs="Times New Roman"/>
                <w:sz w:val="24"/>
                <w:szCs w:val="24"/>
                <w:lang w:val="lt-LT"/>
              </w:rPr>
              <w:t xml:space="preserve">Pažymėtina, jog nėra kriterijų kaip įvertinti DU apimties pagrįstumą. Taip pat tikėtina, kad įrangai nebus suteikiama </w:t>
            </w:r>
            <w:r w:rsidRPr="00A30D57">
              <w:rPr>
                <w:rFonts w:ascii="Times New Roman" w:hAnsi="Times New Roman" w:cs="Times New Roman"/>
                <w:sz w:val="24"/>
                <w:szCs w:val="24"/>
                <w:lang w:val="lt-LT"/>
              </w:rPr>
              <w:lastRenderedPageBreak/>
              <w:t xml:space="preserve">garantija kai montavimo darbus atlieka ne paslaugų tiekėjo darbuotojai. Atsižvelgiant į tai, pakartotinai siūlome DU, </w:t>
            </w:r>
            <w:r w:rsidR="00234510" w:rsidRPr="00A30D57">
              <w:rPr>
                <w:rFonts w:ascii="Times New Roman" w:hAnsi="Times New Roman" w:cs="Times New Roman"/>
                <w:sz w:val="24"/>
                <w:szCs w:val="24"/>
                <w:lang w:val="lt-LT"/>
              </w:rPr>
              <w:t xml:space="preserve">komandiruočių ir pan., išlaidų </w:t>
            </w:r>
            <w:r w:rsidRPr="00A30D57">
              <w:rPr>
                <w:rFonts w:ascii="Times New Roman" w:hAnsi="Times New Roman" w:cs="Times New Roman"/>
                <w:sz w:val="24"/>
                <w:szCs w:val="24"/>
                <w:lang w:val="lt-LT"/>
              </w:rPr>
              <w:t>neįtraukti. Atkreipiame dėmesį, jog 2007-2013 periodu finansuojant biokuro katilinių statybą modernizavimą DU išlaidos nebuvo tinkamos finansuoti, kadangi buvo perkamas katilas su įrengimo paslaugomis, ko pasekoje nekilo sunkumų vertinant paraiškas ir įsisavinant lėšas, o šiuo atveju manome, jog kiltų rizika numatytais terminais įsisavinti lėšas</w:t>
            </w:r>
            <w:r w:rsidRPr="00CB1244">
              <w:rPr>
                <w:rFonts w:ascii="Times New Roman" w:hAnsi="Times New Roman" w:cs="Times New Roman"/>
                <w:sz w:val="24"/>
                <w:szCs w:val="24"/>
              </w:rPr>
              <w:t>.</w:t>
            </w:r>
          </w:p>
        </w:tc>
        <w:tc>
          <w:tcPr>
            <w:tcW w:w="7194" w:type="dxa"/>
            <w:shd w:val="clear" w:color="auto" w:fill="auto"/>
          </w:tcPr>
          <w:p w14:paraId="78784F8F" w14:textId="77777777" w:rsidR="004A2B33" w:rsidRDefault="00CB1244" w:rsidP="004F505C">
            <w:pPr>
              <w:spacing w:line="276" w:lineRule="auto"/>
              <w:jc w:val="both"/>
              <w:rPr>
                <w:rFonts w:ascii="Times New Roman" w:hAnsi="Times New Roman" w:cs="Times New Roman"/>
                <w:sz w:val="24"/>
                <w:szCs w:val="24"/>
              </w:rPr>
            </w:pPr>
            <w:r>
              <w:rPr>
                <w:rFonts w:ascii="Times New Roman" w:hAnsi="Times New Roman" w:cs="Times New Roman"/>
                <w:b/>
                <w:iCs/>
                <w:sz w:val="24"/>
                <w:szCs w:val="24"/>
              </w:rPr>
              <w:lastRenderedPageBreak/>
              <w:t>Atsižvelgta.</w:t>
            </w:r>
            <w:r w:rsidR="004F505C">
              <w:rPr>
                <w:rFonts w:ascii="Times New Roman" w:hAnsi="Times New Roman" w:cs="Times New Roman"/>
                <w:sz w:val="24"/>
                <w:szCs w:val="24"/>
              </w:rPr>
              <w:t xml:space="preserve"> </w:t>
            </w:r>
          </w:p>
          <w:p w14:paraId="0AA95E36" w14:textId="426A0616" w:rsidR="004F505C" w:rsidRPr="00E76D0B" w:rsidRDefault="004F505C" w:rsidP="004F505C">
            <w:pPr>
              <w:spacing w:line="276" w:lineRule="auto"/>
              <w:jc w:val="both"/>
              <w:rPr>
                <w:rFonts w:ascii="Times New Roman" w:hAnsi="Times New Roman" w:cs="Times New Roman"/>
                <w:sz w:val="24"/>
                <w:szCs w:val="24"/>
              </w:rPr>
            </w:pPr>
            <w:r>
              <w:rPr>
                <w:rFonts w:ascii="Times New Roman" w:hAnsi="Times New Roman" w:cs="Times New Roman"/>
                <w:sz w:val="24"/>
                <w:szCs w:val="24"/>
              </w:rPr>
              <w:t>Darbo užmokesčio ir komandiruočių išlaidos išimtos iš tinkamų finansuoti išlaidų sąrašo.</w:t>
            </w:r>
          </w:p>
          <w:p w14:paraId="70D19484" w14:textId="4B0F2E3C" w:rsidR="007C4853" w:rsidRPr="00E76D0B" w:rsidRDefault="007C4853" w:rsidP="00E76D0B">
            <w:pPr>
              <w:spacing w:line="276" w:lineRule="auto"/>
              <w:jc w:val="both"/>
              <w:rPr>
                <w:rFonts w:ascii="Times New Roman" w:hAnsi="Times New Roman" w:cs="Times New Roman"/>
                <w:sz w:val="24"/>
                <w:szCs w:val="24"/>
              </w:rPr>
            </w:pPr>
          </w:p>
        </w:tc>
      </w:tr>
      <w:tr w:rsidR="007C4853" w:rsidRPr="00E76D0B" w14:paraId="4E3CE8EC" w14:textId="77777777" w:rsidTr="005D518E">
        <w:tc>
          <w:tcPr>
            <w:tcW w:w="704" w:type="dxa"/>
          </w:tcPr>
          <w:p w14:paraId="0C8B62BB" w14:textId="02637F1A" w:rsidR="007C4853" w:rsidRPr="00E76D0B" w:rsidRDefault="007C4853"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14.</w:t>
            </w:r>
          </w:p>
        </w:tc>
        <w:tc>
          <w:tcPr>
            <w:tcW w:w="6662" w:type="dxa"/>
          </w:tcPr>
          <w:p w14:paraId="552E2081" w14:textId="5E959440" w:rsidR="0038177F" w:rsidRPr="00E76D0B" w:rsidRDefault="0038177F" w:rsidP="00E76D0B">
            <w:pPr>
              <w:spacing w:line="276" w:lineRule="auto"/>
              <w:rPr>
                <w:rFonts w:ascii="Times New Roman" w:eastAsia="Times New Roman" w:hAnsi="Times New Roman" w:cs="Times New Roman"/>
                <w:i/>
                <w:sz w:val="24"/>
                <w:szCs w:val="24"/>
              </w:rPr>
            </w:pPr>
            <w:r w:rsidRPr="00E76D0B">
              <w:rPr>
                <w:rFonts w:ascii="Times New Roman" w:eastAsia="Times New Roman" w:hAnsi="Times New Roman" w:cs="Times New Roman"/>
                <w:i/>
                <w:sz w:val="24"/>
                <w:szCs w:val="24"/>
              </w:rPr>
              <w:t xml:space="preserve">PFSA 47.3 p. </w:t>
            </w:r>
          </w:p>
          <w:p w14:paraId="5A5750EF" w14:textId="6FA4E0DC" w:rsidR="007C4853" w:rsidRPr="00E76D0B" w:rsidRDefault="0038177F" w:rsidP="00E76D0B">
            <w:pPr>
              <w:spacing w:line="276" w:lineRule="auto"/>
              <w:rPr>
                <w:rFonts w:ascii="Times New Roman" w:eastAsia="Times New Roman" w:hAnsi="Times New Roman" w:cs="Times New Roman"/>
                <w:sz w:val="24"/>
                <w:szCs w:val="24"/>
              </w:rPr>
            </w:pPr>
            <w:r w:rsidRPr="00E76D0B">
              <w:rPr>
                <w:rFonts w:ascii="Times New Roman" w:eastAsia="Times New Roman" w:hAnsi="Times New Roman" w:cs="Times New Roman"/>
                <w:sz w:val="24"/>
                <w:szCs w:val="24"/>
              </w:rPr>
              <w:t>Siūlome atsisakyti šio punkto, kadangi vadovaujantis PAFT 464 p. „Kai pareiškėjas, projekto vykdytojas ar partneris yra perkančioji organizacija pagal Viešųjų pirkimų įstatymo reikalavimus, jis atsako už Viešųjų pirkimų įstatymo ir kitų pirkimus reglamentuojančių teisės aktų laikymąsi“. Šiuo metu nustačius jog PO nesilaikė VPĮ nustatytų principų ir pažeidimai galėjo turėti įtaką pirkimo rezultatui taikomos finansinės korekcijos pagal Rekomendacijas dėl Komisijos finansinių pataisų, taikytinų Sąjungos išlaidoms, valdomoms pagal pasidalijimo valdymo principą, kai nesilaikyta viešojo pirkimo taisyklių, nustatymo. Pagal PFSA formuluotę neaišku, ar esant menkiausiam formaliam VPĮ pažeidimui visos išlaidos būtų pripažintos netinkamomis finansuoti ir ar būtų galimas finansinių korekcijų taikymas.</w:t>
            </w:r>
          </w:p>
        </w:tc>
        <w:tc>
          <w:tcPr>
            <w:tcW w:w="7194" w:type="dxa"/>
          </w:tcPr>
          <w:p w14:paraId="067060DE" w14:textId="77777777" w:rsidR="009552FA" w:rsidRPr="00E76D0B" w:rsidRDefault="009552FA"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Atsižvelgta.</w:t>
            </w:r>
          </w:p>
          <w:p w14:paraId="62C8D915" w14:textId="05F8879E" w:rsidR="007C4853" w:rsidRPr="00E76D0B" w:rsidRDefault="009552FA"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Punktas ištrintas.</w:t>
            </w:r>
          </w:p>
        </w:tc>
      </w:tr>
      <w:tr w:rsidR="007C4853" w:rsidRPr="00E76D0B" w14:paraId="15FFB868" w14:textId="77777777" w:rsidTr="005D518E">
        <w:tc>
          <w:tcPr>
            <w:tcW w:w="704" w:type="dxa"/>
          </w:tcPr>
          <w:p w14:paraId="11C08DF6" w14:textId="45C38FF3" w:rsidR="007C4853" w:rsidRPr="00E76D0B" w:rsidRDefault="007C4853"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15.</w:t>
            </w:r>
          </w:p>
        </w:tc>
        <w:tc>
          <w:tcPr>
            <w:tcW w:w="6662" w:type="dxa"/>
          </w:tcPr>
          <w:p w14:paraId="3F33A662" w14:textId="77777777" w:rsidR="00D95E64" w:rsidRPr="00E76D0B" w:rsidRDefault="00D95E64"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58.2 p.</w:t>
            </w:r>
          </w:p>
          <w:p w14:paraId="2312E33F" w14:textId="4A6A13CB" w:rsidR="007C4853" w:rsidRPr="00E76D0B" w:rsidRDefault="00D95E64"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Siūlome įtraukti į PFSA paaiškinimą kas yra šilumos perdavimo tinklo sąlygos ir kas jas išduoda.</w:t>
            </w:r>
          </w:p>
        </w:tc>
        <w:tc>
          <w:tcPr>
            <w:tcW w:w="7194" w:type="dxa"/>
          </w:tcPr>
          <w:p w14:paraId="52424F01" w14:textId="77777777" w:rsidR="007D0923" w:rsidRPr="00E76D0B" w:rsidRDefault="007D0923"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Atsižvelgta.</w:t>
            </w:r>
          </w:p>
          <w:p w14:paraId="3A86D37C" w14:textId="77777777" w:rsidR="007D0923" w:rsidRPr="00E76D0B" w:rsidRDefault="007D0923"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PFSA papildytas sąvoka:</w:t>
            </w:r>
          </w:p>
          <w:p w14:paraId="312EB9FA" w14:textId="3E992B98" w:rsidR="007C4853" w:rsidRPr="00E76D0B" w:rsidRDefault="007D0923" w:rsidP="00E76D0B">
            <w:pPr>
              <w:spacing w:line="276" w:lineRule="auto"/>
              <w:ind w:firstLine="29"/>
              <w:jc w:val="both"/>
              <w:rPr>
                <w:rFonts w:ascii="Times New Roman" w:hAnsi="Times New Roman" w:cs="Times New Roman"/>
                <w:sz w:val="24"/>
                <w:szCs w:val="24"/>
              </w:rPr>
            </w:pPr>
            <w:r w:rsidRPr="00E76D0B">
              <w:rPr>
                <w:rFonts w:ascii="Times New Roman" w:hAnsi="Times New Roman" w:cs="Times New Roman"/>
                <w:sz w:val="24"/>
                <w:szCs w:val="24"/>
              </w:rPr>
              <w:t>„</w:t>
            </w:r>
            <w:r w:rsidRPr="00E76D0B">
              <w:rPr>
                <w:rFonts w:ascii="Times New Roman" w:hAnsi="Times New Roman" w:cs="Times New Roman"/>
                <w:b/>
                <w:sz w:val="24"/>
                <w:szCs w:val="24"/>
              </w:rPr>
              <w:t>Prisijungimo prie šilumos perdavimo tinklo sąlygos suprantamos taip, kaip apibrėžta Naudojimosi šilumos perdavimo tinklais sąlygų sąvade, patvirtintame Valstybinės kainų ir energetikos kontrolės komisijos 2015 m. sausio 19 d. nutarimu Nr. O3-6 „Dėl naudojimosi šilumos perdavimo tinklais sąlygų sąvado patvirtinimo“</w:t>
            </w:r>
            <w:r w:rsidR="0087750C" w:rsidRPr="00E76D0B">
              <w:rPr>
                <w:rFonts w:ascii="Times New Roman" w:hAnsi="Times New Roman" w:cs="Times New Roman"/>
                <w:b/>
                <w:sz w:val="24"/>
                <w:szCs w:val="24"/>
              </w:rPr>
              <w:t xml:space="preserve"> (toliau – Sąlygų sąvadas).</w:t>
            </w:r>
            <w:r w:rsidR="0087750C" w:rsidRPr="00E76D0B">
              <w:rPr>
                <w:rFonts w:ascii="Times New Roman" w:hAnsi="Times New Roman" w:cs="Times New Roman"/>
                <w:sz w:val="24"/>
                <w:szCs w:val="24"/>
              </w:rPr>
              <w:t>“</w:t>
            </w:r>
          </w:p>
          <w:p w14:paraId="152A32B9" w14:textId="390AAC60" w:rsidR="0087750C" w:rsidRPr="00E76D0B" w:rsidRDefault="0087750C" w:rsidP="00E76D0B">
            <w:pPr>
              <w:spacing w:line="276" w:lineRule="auto"/>
              <w:ind w:firstLine="29"/>
              <w:jc w:val="both"/>
              <w:rPr>
                <w:rFonts w:ascii="Times New Roman" w:hAnsi="Times New Roman" w:cs="Times New Roman"/>
                <w:sz w:val="24"/>
                <w:szCs w:val="24"/>
              </w:rPr>
            </w:pPr>
            <w:r w:rsidRPr="00E76D0B">
              <w:rPr>
                <w:rFonts w:ascii="Times New Roman" w:hAnsi="Times New Roman" w:cs="Times New Roman"/>
                <w:sz w:val="24"/>
                <w:szCs w:val="24"/>
              </w:rPr>
              <w:t xml:space="preserve">Taip pat </w:t>
            </w:r>
            <w:r w:rsidR="00A1072B" w:rsidRPr="00E76D0B">
              <w:rPr>
                <w:rFonts w:ascii="Times New Roman" w:hAnsi="Times New Roman" w:cs="Times New Roman"/>
                <w:sz w:val="24"/>
                <w:szCs w:val="24"/>
              </w:rPr>
              <w:t xml:space="preserve"> papildytas </w:t>
            </w:r>
            <w:r w:rsidRPr="00E76D0B">
              <w:rPr>
                <w:rFonts w:ascii="Times New Roman" w:hAnsi="Times New Roman" w:cs="Times New Roman"/>
                <w:sz w:val="24"/>
                <w:szCs w:val="24"/>
              </w:rPr>
              <w:t>PFSA 58.2. punktas:</w:t>
            </w:r>
          </w:p>
          <w:p w14:paraId="5256F3C3" w14:textId="2DE0D384" w:rsidR="0087750C" w:rsidRPr="00E76D0B" w:rsidRDefault="0087750C" w:rsidP="00E76D0B">
            <w:pPr>
              <w:tabs>
                <w:tab w:val="left" w:pos="1418"/>
              </w:tabs>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 xml:space="preserve">„58.2. šilumos tiekimo licenciją išdavusios institucijos išduotos šilumos tiekimo licencijos ir jų priedų kopijos. Jei pareiškėjas yra nepriklausomas </w:t>
            </w:r>
            <w:r w:rsidRPr="00E76D0B">
              <w:rPr>
                <w:rFonts w:ascii="Times New Roman" w:hAnsi="Times New Roman" w:cs="Times New Roman"/>
                <w:sz w:val="24"/>
                <w:szCs w:val="24"/>
              </w:rPr>
              <w:lastRenderedPageBreak/>
              <w:t xml:space="preserve">šilumos gamintojas – prisijungimo prie šilumos perdavimo tinklo sąlygų kartu su priedais, kopijos. </w:t>
            </w:r>
            <w:r w:rsidRPr="00E76D0B">
              <w:rPr>
                <w:rFonts w:ascii="Times New Roman" w:hAnsi="Times New Roman" w:cs="Times New Roman"/>
                <w:b/>
                <w:sz w:val="24"/>
                <w:szCs w:val="24"/>
              </w:rPr>
              <w:t>Prisijungimo prie šilumos perdavimo tinklo sąlygos ir tvarka nustatyta Sąlygų sąvade</w:t>
            </w:r>
            <w:r w:rsidRPr="00E76D0B">
              <w:rPr>
                <w:rFonts w:ascii="Times New Roman" w:hAnsi="Times New Roman" w:cs="Times New Roman"/>
                <w:sz w:val="24"/>
                <w:szCs w:val="24"/>
              </w:rPr>
              <w:t>;“</w:t>
            </w:r>
          </w:p>
          <w:p w14:paraId="26A4A94D" w14:textId="5C82F423" w:rsidR="0087750C" w:rsidRPr="00E76D0B" w:rsidRDefault="0087750C"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Sąlygų sąvade nustatyta, kad prisijungimo prie šilumos tinklų sąlygas išduoda šilumos tiekėjas, tačiau manome, kad nereikėtų PFSA taip detalizuoti – nuoroda į Sąlygų sąvadą yra pakankama.</w:t>
            </w:r>
          </w:p>
        </w:tc>
      </w:tr>
      <w:tr w:rsidR="0038177F" w:rsidRPr="00E76D0B" w14:paraId="242966DE" w14:textId="77777777" w:rsidTr="00DC13D2">
        <w:tc>
          <w:tcPr>
            <w:tcW w:w="704" w:type="dxa"/>
          </w:tcPr>
          <w:p w14:paraId="71AE9A30" w14:textId="422B7995" w:rsidR="0038177F" w:rsidRPr="00E76D0B" w:rsidRDefault="0038177F"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lastRenderedPageBreak/>
              <w:t>16.</w:t>
            </w:r>
          </w:p>
        </w:tc>
        <w:tc>
          <w:tcPr>
            <w:tcW w:w="6662" w:type="dxa"/>
            <w:shd w:val="clear" w:color="auto" w:fill="auto"/>
          </w:tcPr>
          <w:p w14:paraId="6D502F27" w14:textId="77777777" w:rsidR="00D95E64" w:rsidRPr="00E76D0B" w:rsidRDefault="00D95E64"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58.9 p.</w:t>
            </w:r>
          </w:p>
          <w:p w14:paraId="525E2091" w14:textId="544A4D6D" w:rsidR="0038177F" w:rsidRPr="00E76D0B" w:rsidRDefault="00D95E64"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Siūlome nurodyti, jog PFSA 58.9 p. aktualus tik keičiant katilinę, kitais atvejais neaktualus.</w:t>
            </w:r>
          </w:p>
        </w:tc>
        <w:tc>
          <w:tcPr>
            <w:tcW w:w="7194" w:type="dxa"/>
            <w:shd w:val="clear" w:color="auto" w:fill="auto"/>
          </w:tcPr>
          <w:p w14:paraId="594A561B" w14:textId="77777777" w:rsidR="00DC13D2" w:rsidRPr="00E76D0B" w:rsidRDefault="00DC13D2"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Neatsižvelgta.</w:t>
            </w:r>
          </w:p>
          <w:p w14:paraId="001441B5" w14:textId="5B5C721C" w:rsidR="0038177F" w:rsidRPr="00E76D0B" w:rsidRDefault="00DC13D2"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 xml:space="preserve">PFSA 58.9. papunktis aktualus visais atvejais, nes visuose projektuose turės būti iškastinį kurą naudojančio šilumos gamybos įrenginio keitimas nauju biokurą naudojančiu šilumos gamybos įrenginiu toje pačioje centralizuoto tiekimo šilumos sistemoje (keičiamas ir naujas katilas nebūtinai fiziškai turės būti toje pačioje vietoje). </w:t>
            </w:r>
          </w:p>
        </w:tc>
      </w:tr>
      <w:tr w:rsidR="0038177F" w:rsidRPr="00E76D0B" w14:paraId="28B6CAD8" w14:textId="77777777" w:rsidTr="00B75338">
        <w:tc>
          <w:tcPr>
            <w:tcW w:w="704" w:type="dxa"/>
            <w:shd w:val="clear" w:color="auto" w:fill="auto"/>
          </w:tcPr>
          <w:p w14:paraId="635C0945" w14:textId="21AEDC40" w:rsidR="0038177F" w:rsidRPr="00E76D0B" w:rsidRDefault="0038177F"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17.</w:t>
            </w:r>
          </w:p>
        </w:tc>
        <w:tc>
          <w:tcPr>
            <w:tcW w:w="6662" w:type="dxa"/>
            <w:shd w:val="clear" w:color="auto" w:fill="auto"/>
          </w:tcPr>
          <w:p w14:paraId="57ED2C1B" w14:textId="63D9AB8E" w:rsidR="00D95E64" w:rsidRPr="00E76D0B" w:rsidRDefault="00D95E64"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58.12 p.</w:t>
            </w:r>
          </w:p>
          <w:p w14:paraId="5CDC9380" w14:textId="3A9A9905" w:rsidR="0038177F" w:rsidRPr="00E76D0B" w:rsidRDefault="00D95E64"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Pagal pateiktą EK išaiškinimą ir siekiant mažinti administracinę naštą pareiškėjams dėl sunkumų vertinimo siūlome vertinti pagal patvirtintas metines finansines ataskaitas ir atsisakyti reikalavimo pateikti tarpinės finansinės atskaitomybės dokumentus.</w:t>
            </w:r>
          </w:p>
        </w:tc>
        <w:tc>
          <w:tcPr>
            <w:tcW w:w="7194" w:type="dxa"/>
            <w:shd w:val="clear" w:color="auto" w:fill="auto"/>
          </w:tcPr>
          <w:p w14:paraId="76004602" w14:textId="5449196A" w:rsidR="00366FFA" w:rsidRPr="00E76D0B" w:rsidRDefault="00B75338"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Atsižvelgta.</w:t>
            </w:r>
          </w:p>
          <w:p w14:paraId="6A54E5DD" w14:textId="7784F482" w:rsidR="00D351E2" w:rsidRPr="00E76D0B" w:rsidRDefault="00D351E2" w:rsidP="00E76D0B">
            <w:pPr>
              <w:tabs>
                <w:tab w:val="left" w:pos="1418"/>
                <w:tab w:val="left" w:pos="1560"/>
              </w:tabs>
              <w:spacing w:line="276" w:lineRule="auto"/>
              <w:jc w:val="both"/>
              <w:rPr>
                <w:rFonts w:ascii="Times New Roman" w:hAnsi="Times New Roman" w:cs="Times New Roman"/>
                <w:sz w:val="24"/>
                <w:szCs w:val="24"/>
                <w:lang w:eastAsia="lt-LT"/>
              </w:rPr>
            </w:pPr>
            <w:r w:rsidRPr="00E76D0B">
              <w:rPr>
                <w:rFonts w:ascii="Times New Roman" w:hAnsi="Times New Roman" w:cs="Times New Roman"/>
                <w:sz w:val="24"/>
                <w:szCs w:val="24"/>
                <w:lang w:eastAsia="lt-LT"/>
              </w:rPr>
              <w:t xml:space="preserve">58.12. </w:t>
            </w:r>
            <w:r w:rsidR="006D108A" w:rsidRPr="00E76D0B">
              <w:rPr>
                <w:rFonts w:ascii="Times New Roman" w:hAnsi="Times New Roman" w:cs="Times New Roman"/>
                <w:sz w:val="24"/>
                <w:szCs w:val="24"/>
                <w:lang w:eastAsia="lt-LT"/>
              </w:rPr>
              <w:t xml:space="preserve">punktas </w:t>
            </w:r>
            <w:r w:rsidR="009D1781" w:rsidRPr="00E76D0B">
              <w:rPr>
                <w:rFonts w:ascii="Times New Roman" w:hAnsi="Times New Roman" w:cs="Times New Roman"/>
                <w:sz w:val="24"/>
                <w:szCs w:val="24"/>
                <w:lang w:eastAsia="lt-LT"/>
              </w:rPr>
              <w:t>pakeistas ir išdėstytas naujai:</w:t>
            </w:r>
          </w:p>
          <w:p w14:paraId="151383DF" w14:textId="5C020F56" w:rsidR="0038177F" w:rsidRPr="00E76D0B" w:rsidRDefault="009D1781" w:rsidP="00E76D0B">
            <w:pPr>
              <w:tabs>
                <w:tab w:val="left" w:pos="1418"/>
                <w:tab w:val="left" w:pos="1560"/>
              </w:tabs>
              <w:spacing w:line="276" w:lineRule="auto"/>
              <w:jc w:val="both"/>
              <w:rPr>
                <w:rFonts w:ascii="Times New Roman" w:hAnsi="Times New Roman" w:cs="Times New Roman"/>
                <w:sz w:val="24"/>
                <w:szCs w:val="24"/>
              </w:rPr>
            </w:pPr>
            <w:r w:rsidRPr="00E76D0B">
              <w:rPr>
                <w:rFonts w:ascii="Times New Roman" w:hAnsi="Times New Roman" w:cs="Times New Roman"/>
                <w:iCs/>
                <w:sz w:val="24"/>
                <w:szCs w:val="24"/>
                <w:lang w:eastAsia="lt-LT"/>
              </w:rPr>
              <w:t>„</w:t>
            </w:r>
            <w:r w:rsidR="00D351E2" w:rsidRPr="00E76D0B">
              <w:rPr>
                <w:rFonts w:ascii="Times New Roman" w:hAnsi="Times New Roman" w:cs="Times New Roman"/>
                <w:iCs/>
                <w:sz w:val="24"/>
                <w:szCs w:val="24"/>
                <w:lang w:eastAsia="lt-LT"/>
              </w:rPr>
              <w:t>58.12.  pareiškėjo patvirtintų paskutinių trejų ataskaitinių finansinių metų finansinių ataskaitų rinkinius (netaikoma, jeigu pareiškėjas yra pateikęs finansinių ataskaitų rinkinius Juridinių asmenų registrui);</w:t>
            </w:r>
            <w:r w:rsidRPr="00E76D0B">
              <w:rPr>
                <w:rFonts w:ascii="Times New Roman" w:hAnsi="Times New Roman" w:cs="Times New Roman"/>
                <w:sz w:val="24"/>
                <w:szCs w:val="24"/>
              </w:rPr>
              <w:t>“</w:t>
            </w:r>
          </w:p>
        </w:tc>
      </w:tr>
      <w:tr w:rsidR="0038177F" w:rsidRPr="00E76D0B" w14:paraId="67B388E9" w14:textId="77777777" w:rsidTr="005D518E">
        <w:tc>
          <w:tcPr>
            <w:tcW w:w="704" w:type="dxa"/>
          </w:tcPr>
          <w:p w14:paraId="0790893A" w14:textId="2C860A09" w:rsidR="0038177F" w:rsidRPr="00E76D0B" w:rsidRDefault="0038177F"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18.</w:t>
            </w:r>
          </w:p>
        </w:tc>
        <w:tc>
          <w:tcPr>
            <w:tcW w:w="6662" w:type="dxa"/>
          </w:tcPr>
          <w:p w14:paraId="2C3EB609" w14:textId="77777777" w:rsidR="000819D0" w:rsidRPr="00E76D0B" w:rsidRDefault="000819D0"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58.13.1 p.</w:t>
            </w:r>
          </w:p>
          <w:p w14:paraId="4EED37DB" w14:textId="6FFB70CD" w:rsidR="0038177F" w:rsidRPr="00E76D0B" w:rsidRDefault="000819D0"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Siūlome naikinti ir palikti kad iki sutarties pasirašymo turi pateikti kredito sutarties kopiją taip kaip numatyta visose kitos energetikos priemonėse (pvz. „Nedidelės galios biokuro kogeneracijos skatinimas“ 57.16.1 punkte). Galutiniame banko sprendime būna daug sąlygų (dėl turto įkeitimo, lėšų deponavimo, laidavimų ir pan.), kurias reikia įvertinti paraiškos vertinimo metu ir įsitikinti, ar pareiškėjas galės jas įgyvendinti ir gauti kreditą.</w:t>
            </w:r>
          </w:p>
        </w:tc>
        <w:tc>
          <w:tcPr>
            <w:tcW w:w="7194" w:type="dxa"/>
          </w:tcPr>
          <w:p w14:paraId="293F0159" w14:textId="21129883" w:rsidR="00656C7E" w:rsidRPr="00E76D0B" w:rsidRDefault="00656C7E"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Atsižvelgta.</w:t>
            </w:r>
          </w:p>
          <w:p w14:paraId="6171AC16" w14:textId="6A85F326" w:rsidR="00656C7E" w:rsidRPr="00E76D0B" w:rsidRDefault="00656C7E"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Punktas patikslintas:</w:t>
            </w:r>
          </w:p>
          <w:p w14:paraId="3A4C9672" w14:textId="65613B03" w:rsidR="00656C7E" w:rsidRPr="00E76D0B" w:rsidRDefault="00656C7E" w:rsidP="00E76D0B">
            <w:pPr>
              <w:pStyle w:val="ListParagraph"/>
              <w:tabs>
                <w:tab w:val="left" w:pos="880"/>
                <w:tab w:val="left" w:pos="1560"/>
                <w:tab w:val="left" w:pos="1701"/>
              </w:tabs>
              <w:spacing w:line="276" w:lineRule="auto"/>
              <w:ind w:left="29" w:firstLine="0"/>
            </w:pPr>
            <w:r w:rsidRPr="00E76D0B">
              <w:t xml:space="preserve">„58.13.1. &lt;...&gt; </w:t>
            </w:r>
            <w:r w:rsidRPr="00E76D0B">
              <w:rPr>
                <w:b/>
              </w:rPr>
              <w:t>Pasirašytos kredito sutarties kopija turės būti pateikta iki projekto sutarties pasirašymo datos</w:t>
            </w:r>
            <w:r w:rsidRPr="00E76D0B">
              <w:t>;“</w:t>
            </w:r>
          </w:p>
          <w:p w14:paraId="7D84B8D4" w14:textId="11E8C0F4" w:rsidR="0038177F" w:rsidRPr="00E76D0B" w:rsidRDefault="0038177F" w:rsidP="00E76D0B">
            <w:pPr>
              <w:spacing w:line="276" w:lineRule="auto"/>
              <w:jc w:val="both"/>
              <w:rPr>
                <w:rFonts w:ascii="Times New Roman" w:hAnsi="Times New Roman" w:cs="Times New Roman"/>
                <w:b/>
                <w:iCs/>
                <w:sz w:val="24"/>
                <w:szCs w:val="24"/>
              </w:rPr>
            </w:pPr>
          </w:p>
        </w:tc>
      </w:tr>
      <w:tr w:rsidR="0038177F" w:rsidRPr="00E76D0B" w14:paraId="0CFAF42A" w14:textId="77777777" w:rsidTr="005D518E">
        <w:tc>
          <w:tcPr>
            <w:tcW w:w="704" w:type="dxa"/>
          </w:tcPr>
          <w:p w14:paraId="6D98420F" w14:textId="7C30F660" w:rsidR="0038177F" w:rsidRPr="00E76D0B" w:rsidRDefault="0038177F"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19.</w:t>
            </w:r>
          </w:p>
        </w:tc>
        <w:tc>
          <w:tcPr>
            <w:tcW w:w="6662" w:type="dxa"/>
          </w:tcPr>
          <w:p w14:paraId="01150782" w14:textId="77777777" w:rsidR="000100E3" w:rsidRPr="00E76D0B" w:rsidRDefault="000100E3"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66 p.</w:t>
            </w:r>
          </w:p>
          <w:p w14:paraId="052B3D7A" w14:textId="4C9469EE" w:rsidR="0038177F" w:rsidRPr="00E76D0B" w:rsidRDefault="000100E3"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Patikslinti „Paraiška atmetama be paklausimo jei pareiškėjas kartu su paraiška nepateikia &lt;...&gt;“</w:t>
            </w:r>
          </w:p>
        </w:tc>
        <w:tc>
          <w:tcPr>
            <w:tcW w:w="7194" w:type="dxa"/>
          </w:tcPr>
          <w:p w14:paraId="6506E868" w14:textId="77777777" w:rsidR="005D02A3" w:rsidRPr="00E76D0B" w:rsidRDefault="005D02A3"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Atsižvelgta.</w:t>
            </w:r>
          </w:p>
          <w:p w14:paraId="351305C2" w14:textId="51FD4ABA" w:rsidR="002376DC" w:rsidRPr="00E76D0B" w:rsidRDefault="002376DC"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PFSA punktas patikslintas:</w:t>
            </w:r>
          </w:p>
          <w:p w14:paraId="66E226E4" w14:textId="27C82C99" w:rsidR="0038177F" w:rsidRPr="00E76D0B" w:rsidRDefault="002376DC"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sz w:val="24"/>
                <w:szCs w:val="24"/>
              </w:rPr>
              <w:t xml:space="preserve">„66. </w:t>
            </w:r>
            <w:r w:rsidR="005D02A3" w:rsidRPr="00E76D0B">
              <w:rPr>
                <w:rFonts w:ascii="Times New Roman" w:hAnsi="Times New Roman" w:cs="Times New Roman"/>
                <w:sz w:val="24"/>
                <w:szCs w:val="24"/>
              </w:rPr>
              <w:t>Paraiška atmetama</w:t>
            </w:r>
            <w:r w:rsidRPr="00E76D0B">
              <w:rPr>
                <w:rFonts w:ascii="Times New Roman" w:hAnsi="Times New Roman" w:cs="Times New Roman"/>
                <w:sz w:val="24"/>
                <w:szCs w:val="24"/>
              </w:rPr>
              <w:t xml:space="preserve"> </w:t>
            </w:r>
            <w:r w:rsidRPr="00E76D0B">
              <w:rPr>
                <w:rFonts w:ascii="Times New Roman" w:hAnsi="Times New Roman" w:cs="Times New Roman"/>
                <w:b/>
                <w:sz w:val="24"/>
                <w:szCs w:val="24"/>
              </w:rPr>
              <w:t>be paklausimo,</w:t>
            </w:r>
            <w:r w:rsidR="005D02A3" w:rsidRPr="00E76D0B">
              <w:rPr>
                <w:rFonts w:ascii="Times New Roman" w:hAnsi="Times New Roman" w:cs="Times New Roman"/>
                <w:sz w:val="24"/>
                <w:szCs w:val="24"/>
              </w:rPr>
              <w:t xml:space="preserve"> jei pareiškėjas </w:t>
            </w:r>
            <w:r w:rsidR="005D02A3" w:rsidRPr="00E76D0B">
              <w:rPr>
                <w:rFonts w:ascii="Times New Roman" w:hAnsi="Times New Roman" w:cs="Times New Roman"/>
                <w:strike/>
                <w:sz w:val="24"/>
                <w:szCs w:val="24"/>
              </w:rPr>
              <w:t xml:space="preserve">laiku </w:t>
            </w:r>
            <w:r w:rsidRPr="00E76D0B">
              <w:rPr>
                <w:rFonts w:ascii="Times New Roman" w:hAnsi="Times New Roman" w:cs="Times New Roman"/>
                <w:b/>
                <w:sz w:val="24"/>
                <w:szCs w:val="24"/>
              </w:rPr>
              <w:t>kartu su paraiška</w:t>
            </w:r>
            <w:r w:rsidRPr="00E76D0B">
              <w:rPr>
                <w:rFonts w:ascii="Times New Roman" w:hAnsi="Times New Roman" w:cs="Times New Roman"/>
                <w:sz w:val="24"/>
                <w:szCs w:val="24"/>
              </w:rPr>
              <w:t xml:space="preserve"> </w:t>
            </w:r>
            <w:r w:rsidR="005D02A3" w:rsidRPr="00E76D0B">
              <w:rPr>
                <w:rFonts w:ascii="Times New Roman" w:hAnsi="Times New Roman" w:cs="Times New Roman"/>
                <w:sz w:val="24"/>
                <w:szCs w:val="24"/>
              </w:rPr>
              <w:t>nepateikia Aprašo 58.1 papunktyje nurodyto priedo, taip pat dėl priežasčių, nustatytų Projektų administravimo ir finansavimo taisyklių 14–16 skirsniuose.</w:t>
            </w:r>
            <w:r w:rsidRPr="00E76D0B">
              <w:rPr>
                <w:rFonts w:ascii="Times New Roman" w:hAnsi="Times New Roman" w:cs="Times New Roman"/>
                <w:sz w:val="24"/>
                <w:szCs w:val="24"/>
              </w:rPr>
              <w:t>“</w:t>
            </w:r>
          </w:p>
        </w:tc>
      </w:tr>
      <w:tr w:rsidR="000100E3" w:rsidRPr="00E76D0B" w14:paraId="1ED6164E" w14:textId="77777777" w:rsidTr="008B12BF">
        <w:tc>
          <w:tcPr>
            <w:tcW w:w="704" w:type="dxa"/>
          </w:tcPr>
          <w:p w14:paraId="3FE80692" w14:textId="4969D0C1" w:rsidR="000100E3" w:rsidRPr="00E76D0B" w:rsidRDefault="00C355F1"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20.</w:t>
            </w:r>
          </w:p>
        </w:tc>
        <w:tc>
          <w:tcPr>
            <w:tcW w:w="6662" w:type="dxa"/>
            <w:shd w:val="clear" w:color="auto" w:fill="auto"/>
          </w:tcPr>
          <w:p w14:paraId="55952ADD" w14:textId="77777777" w:rsidR="00C355F1" w:rsidRPr="00E76D0B" w:rsidRDefault="00C355F1"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 xml:space="preserve">PFSA 72 p. </w:t>
            </w:r>
          </w:p>
          <w:p w14:paraId="4350ED26" w14:textId="3D5195CB" w:rsidR="000100E3" w:rsidRPr="00E76D0B" w:rsidRDefault="00C355F1" w:rsidP="00E76D0B">
            <w:pPr>
              <w:spacing w:line="276" w:lineRule="auto"/>
              <w:jc w:val="both"/>
              <w:rPr>
                <w:rFonts w:ascii="Times New Roman" w:hAnsi="Times New Roman" w:cs="Times New Roman"/>
                <w:sz w:val="24"/>
                <w:szCs w:val="24"/>
              </w:rPr>
            </w:pPr>
            <w:r w:rsidRPr="00E76D0B">
              <w:rPr>
                <w:rFonts w:ascii="Times New Roman" w:eastAsia="Calibri" w:hAnsi="Times New Roman" w:cs="Times New Roman"/>
                <w:sz w:val="24"/>
                <w:szCs w:val="24"/>
              </w:rPr>
              <w:lastRenderedPageBreak/>
              <w:t>Kaip ir visose energetikos priemonėse, siūlome įtraukti 60 d. sutarčių pasirašymo terminą, siekiant sutartis pasirašyti laiku.</w:t>
            </w:r>
          </w:p>
        </w:tc>
        <w:tc>
          <w:tcPr>
            <w:tcW w:w="7194" w:type="dxa"/>
            <w:shd w:val="clear" w:color="auto" w:fill="auto"/>
          </w:tcPr>
          <w:p w14:paraId="1C0CB318" w14:textId="77777777" w:rsidR="002A33B6" w:rsidRPr="00E76D0B" w:rsidRDefault="002A33B6"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lastRenderedPageBreak/>
              <w:t>Atsižvelgta.</w:t>
            </w:r>
          </w:p>
          <w:p w14:paraId="22C3AC37" w14:textId="36C38AF0" w:rsidR="008B12BF" w:rsidRPr="00E76D0B" w:rsidRDefault="008B12BF"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lastRenderedPageBreak/>
              <w:t>PFSA 71 punktas patikslintas:</w:t>
            </w:r>
          </w:p>
          <w:p w14:paraId="6227E802" w14:textId="177F772A" w:rsidR="008B12BF" w:rsidRPr="00E76D0B" w:rsidRDefault="008B12BF"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 xml:space="preserve">„71. Pagal Aprašą finansuojamiems projektams įgyvendinti bus sudaromos </w:t>
            </w:r>
            <w:r w:rsidRPr="00E76D0B">
              <w:rPr>
                <w:rFonts w:ascii="Times New Roman" w:hAnsi="Times New Roman" w:cs="Times New Roman"/>
                <w:sz w:val="24"/>
                <w:szCs w:val="24"/>
                <w:lang w:eastAsia="lt-LT"/>
              </w:rPr>
              <w:t xml:space="preserve">dvišalės </w:t>
            </w:r>
            <w:r w:rsidRPr="00E76D0B">
              <w:rPr>
                <w:rFonts w:ascii="Times New Roman" w:hAnsi="Times New Roman" w:cs="Times New Roman"/>
                <w:sz w:val="24"/>
                <w:szCs w:val="24"/>
              </w:rPr>
              <w:t xml:space="preserve">projektų sutartys tarp pareiškėjų ir įgyvendinančiosios institucijos </w:t>
            </w:r>
            <w:r w:rsidRPr="00E76D0B">
              <w:rPr>
                <w:rFonts w:ascii="Times New Roman" w:hAnsi="Times New Roman" w:cs="Times New Roman"/>
                <w:b/>
                <w:sz w:val="24"/>
                <w:szCs w:val="24"/>
              </w:rPr>
              <w:t>ne vėliau kaip per 60 dienų nuo sprendimo dėl projektų finansavimo priėmimo dienos.</w:t>
            </w:r>
            <w:r w:rsidRPr="00E76D0B">
              <w:rPr>
                <w:rFonts w:ascii="Times New Roman" w:hAnsi="Times New Roman" w:cs="Times New Roman"/>
                <w:sz w:val="24"/>
                <w:szCs w:val="24"/>
              </w:rPr>
              <w:t>“</w:t>
            </w:r>
          </w:p>
          <w:p w14:paraId="12A6AA0B" w14:textId="774164C4" w:rsidR="000100E3" w:rsidRPr="00E76D0B" w:rsidRDefault="000100E3" w:rsidP="00E76D0B">
            <w:pPr>
              <w:spacing w:line="276" w:lineRule="auto"/>
              <w:jc w:val="both"/>
              <w:rPr>
                <w:rFonts w:ascii="Times New Roman" w:hAnsi="Times New Roman" w:cs="Times New Roman"/>
                <w:b/>
                <w:iCs/>
                <w:sz w:val="24"/>
                <w:szCs w:val="24"/>
              </w:rPr>
            </w:pPr>
          </w:p>
        </w:tc>
      </w:tr>
      <w:tr w:rsidR="000100E3" w:rsidRPr="00E76D0B" w14:paraId="2C745F06" w14:textId="77777777" w:rsidTr="00380F05">
        <w:tc>
          <w:tcPr>
            <w:tcW w:w="704" w:type="dxa"/>
          </w:tcPr>
          <w:p w14:paraId="16226B8E" w14:textId="276AFEC3" w:rsidR="000100E3" w:rsidRPr="00E76D0B" w:rsidRDefault="00C355F1"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lastRenderedPageBreak/>
              <w:t>21.</w:t>
            </w:r>
          </w:p>
        </w:tc>
        <w:tc>
          <w:tcPr>
            <w:tcW w:w="6662" w:type="dxa"/>
            <w:shd w:val="clear" w:color="auto" w:fill="auto"/>
          </w:tcPr>
          <w:p w14:paraId="71DF3627" w14:textId="77777777" w:rsidR="00C355F1" w:rsidRPr="00E76D0B" w:rsidRDefault="00C355F1"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1 priedas</w:t>
            </w:r>
          </w:p>
          <w:p w14:paraId="4184E96C" w14:textId="2E372854" w:rsidR="000100E3" w:rsidRPr="00E76D0B" w:rsidRDefault="00C355F1" w:rsidP="00E76D0B">
            <w:pPr>
              <w:widowControl w:val="0"/>
              <w:tabs>
                <w:tab w:val="left" w:pos="7560"/>
              </w:tabs>
              <w:spacing w:line="276" w:lineRule="auto"/>
              <w:rPr>
                <w:rFonts w:ascii="Times New Roman" w:hAnsi="Times New Roman" w:cs="Times New Roman"/>
                <w:sz w:val="24"/>
                <w:szCs w:val="24"/>
              </w:rPr>
            </w:pPr>
            <w:r w:rsidRPr="00E76D0B">
              <w:rPr>
                <w:rFonts w:ascii="Times New Roman" w:hAnsi="Times New Roman" w:cs="Times New Roman"/>
                <w:sz w:val="24"/>
                <w:szCs w:val="24"/>
              </w:rPr>
              <w:t>Siūlome įtraukti į šį priedą punktą dėl tinkamos didžiausios ir mažiausios sumos.</w:t>
            </w:r>
          </w:p>
        </w:tc>
        <w:tc>
          <w:tcPr>
            <w:tcW w:w="7194" w:type="dxa"/>
            <w:shd w:val="clear" w:color="auto" w:fill="auto"/>
          </w:tcPr>
          <w:p w14:paraId="594DD032" w14:textId="7908BB2F" w:rsidR="000131E0" w:rsidRPr="00E76D0B" w:rsidRDefault="000131E0"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Atsižvelgta.</w:t>
            </w:r>
          </w:p>
          <w:p w14:paraId="0BB4954E" w14:textId="15D5B211" w:rsidR="002D0391" w:rsidRPr="00E76D0B" w:rsidRDefault="002D0391" w:rsidP="00E76D0B">
            <w:pPr>
              <w:spacing w:line="276" w:lineRule="auto"/>
              <w:jc w:val="both"/>
              <w:rPr>
                <w:rFonts w:ascii="Times New Roman" w:eastAsia="Times New Roman" w:hAnsi="Times New Roman" w:cs="Times New Roman"/>
                <w:sz w:val="24"/>
                <w:szCs w:val="24"/>
                <w:lang w:eastAsia="lt-LT"/>
              </w:rPr>
            </w:pPr>
            <w:r w:rsidRPr="00E76D0B">
              <w:rPr>
                <w:rFonts w:ascii="Times New Roman" w:eastAsia="Times New Roman" w:hAnsi="Times New Roman" w:cs="Times New Roman"/>
                <w:sz w:val="24"/>
                <w:szCs w:val="24"/>
                <w:lang w:eastAsia="lt-LT"/>
              </w:rPr>
              <w:t>PFSA 1 priedo 1.3 punktas:</w:t>
            </w:r>
          </w:p>
          <w:p w14:paraId="22FBAEFA" w14:textId="6547971C" w:rsidR="000100E3" w:rsidRPr="00E76D0B" w:rsidRDefault="002D0391" w:rsidP="00E76D0B">
            <w:pPr>
              <w:spacing w:line="276" w:lineRule="auto"/>
              <w:jc w:val="both"/>
              <w:rPr>
                <w:rFonts w:ascii="Times New Roman" w:eastAsia="Times New Roman" w:hAnsi="Times New Roman" w:cs="Times New Roman"/>
                <w:sz w:val="24"/>
                <w:szCs w:val="24"/>
                <w:lang w:eastAsia="lt-LT"/>
              </w:rPr>
            </w:pPr>
            <w:r w:rsidRPr="00E76D0B">
              <w:rPr>
                <w:rFonts w:ascii="Times New Roman" w:eastAsia="Times New Roman" w:hAnsi="Times New Roman" w:cs="Times New Roman"/>
                <w:sz w:val="24"/>
                <w:szCs w:val="24"/>
                <w:lang w:eastAsia="lt-LT"/>
              </w:rPr>
              <w:t xml:space="preserve">„Projektas turi atitikti kitus su projekto veiklomis susijusius šio Aprašo 19, 26 </w:t>
            </w:r>
            <w:r w:rsidRPr="00E76D0B">
              <w:rPr>
                <w:rFonts w:ascii="Times New Roman" w:eastAsia="Times New Roman" w:hAnsi="Times New Roman" w:cs="Times New Roman"/>
                <w:b/>
                <w:sz w:val="24"/>
                <w:szCs w:val="24"/>
                <w:lang w:eastAsia="lt-LT"/>
              </w:rPr>
              <w:t>ir 38</w:t>
            </w:r>
            <w:r w:rsidRPr="00E76D0B">
              <w:rPr>
                <w:rFonts w:ascii="Times New Roman" w:eastAsia="Times New Roman" w:hAnsi="Times New Roman" w:cs="Times New Roman"/>
                <w:sz w:val="24"/>
                <w:szCs w:val="24"/>
                <w:lang w:eastAsia="lt-LT"/>
              </w:rPr>
              <w:t xml:space="preserve">  punktuose nustatytus reikalavimus. &lt;...&gt;“</w:t>
            </w:r>
          </w:p>
        </w:tc>
      </w:tr>
      <w:tr w:rsidR="000100E3" w:rsidRPr="00E76D0B" w14:paraId="1CE73379" w14:textId="77777777" w:rsidTr="005D518E">
        <w:tc>
          <w:tcPr>
            <w:tcW w:w="704" w:type="dxa"/>
          </w:tcPr>
          <w:p w14:paraId="076E377C" w14:textId="4B9D80E4" w:rsidR="000100E3" w:rsidRPr="00E76D0B" w:rsidRDefault="00C355F1"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22.</w:t>
            </w:r>
          </w:p>
        </w:tc>
        <w:tc>
          <w:tcPr>
            <w:tcW w:w="6662" w:type="dxa"/>
          </w:tcPr>
          <w:p w14:paraId="4FB21AF0" w14:textId="77777777" w:rsidR="00C355F1" w:rsidRPr="00E76D0B" w:rsidRDefault="00C355F1"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1 priedas 7.1 iki 7.1.5 klausimo</w:t>
            </w:r>
          </w:p>
          <w:p w14:paraId="0F6886A4" w14:textId="77777777" w:rsidR="00C355F1" w:rsidRPr="00E76D0B" w:rsidRDefault="00C355F1" w:rsidP="00E76D0B">
            <w:pPr>
              <w:tabs>
                <w:tab w:val="left" w:pos="1418"/>
              </w:tabs>
              <w:spacing w:line="276" w:lineRule="auto"/>
              <w:jc w:val="both"/>
              <w:rPr>
                <w:rFonts w:ascii="Times New Roman" w:eastAsia="Times New Roman" w:hAnsi="Times New Roman" w:cs="Times New Roman"/>
                <w:sz w:val="24"/>
                <w:szCs w:val="24"/>
                <w:lang w:eastAsia="lt-LT"/>
              </w:rPr>
            </w:pPr>
            <w:r w:rsidRPr="00E76D0B">
              <w:rPr>
                <w:rFonts w:ascii="Times New Roman" w:eastAsia="Times New Roman" w:hAnsi="Times New Roman" w:cs="Times New Roman"/>
                <w:sz w:val="24"/>
                <w:szCs w:val="24"/>
                <w:lang w:eastAsia="lt-LT"/>
              </w:rPr>
              <w:t>Nurodytas Informacijos šaltinis: paraiška ir (arba) investicijų projektas.</w:t>
            </w:r>
          </w:p>
          <w:p w14:paraId="2A533C68" w14:textId="3801FF52" w:rsidR="000100E3" w:rsidRPr="00E76D0B" w:rsidRDefault="00C355F1" w:rsidP="00E76D0B">
            <w:pPr>
              <w:spacing w:line="276" w:lineRule="auto"/>
              <w:jc w:val="both"/>
              <w:rPr>
                <w:rFonts w:ascii="Times New Roman" w:hAnsi="Times New Roman" w:cs="Times New Roman"/>
                <w:sz w:val="24"/>
                <w:szCs w:val="24"/>
              </w:rPr>
            </w:pPr>
            <w:r w:rsidRPr="00E76D0B">
              <w:rPr>
                <w:rFonts w:ascii="Times New Roman" w:eastAsia="Times New Roman" w:hAnsi="Times New Roman" w:cs="Times New Roman"/>
                <w:sz w:val="24"/>
                <w:szCs w:val="24"/>
                <w:lang w:eastAsia="lt-LT"/>
              </w:rPr>
              <w:t>Manome, jog šie punktai netaikomi, nes pagal Aprašo 31.1 punktą „</w:t>
            </w:r>
            <w:r w:rsidRPr="00E76D0B">
              <w:rPr>
                <w:rFonts w:ascii="Times New Roman" w:hAnsi="Times New Roman" w:cs="Times New Roman"/>
                <w:sz w:val="24"/>
                <w:szCs w:val="24"/>
              </w:rPr>
              <w:t>privaloma išnagrinėti vieną alternatyvą - šilumos gamybos įrenginio, naudojančio biokurą įsigijimas ir įrengimas“ taigi nėra nagrinėjamos kelios alternatyvos.</w:t>
            </w:r>
          </w:p>
        </w:tc>
        <w:tc>
          <w:tcPr>
            <w:tcW w:w="7194" w:type="dxa"/>
          </w:tcPr>
          <w:p w14:paraId="7F2E3C03" w14:textId="08F36CB5" w:rsidR="006841AD" w:rsidRPr="00E76D0B" w:rsidRDefault="0031320E"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A</w:t>
            </w:r>
            <w:r w:rsidR="006841AD" w:rsidRPr="00E76D0B">
              <w:rPr>
                <w:rFonts w:ascii="Times New Roman" w:hAnsi="Times New Roman" w:cs="Times New Roman"/>
                <w:b/>
                <w:iCs/>
                <w:sz w:val="24"/>
                <w:szCs w:val="24"/>
              </w:rPr>
              <w:t>tsižvelgta.</w:t>
            </w:r>
          </w:p>
          <w:p w14:paraId="564129A3" w14:textId="4117C40C" w:rsidR="000100E3" w:rsidRPr="00E76D0B" w:rsidRDefault="006841AD"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iCs/>
                <w:sz w:val="24"/>
                <w:szCs w:val="24"/>
              </w:rPr>
              <w:t xml:space="preserve">PFSA 1 priedo punktai nuo 7.1 iki 7.1.5 </w:t>
            </w:r>
            <w:r w:rsidR="00036754" w:rsidRPr="00E76D0B">
              <w:rPr>
                <w:rFonts w:ascii="Times New Roman" w:hAnsi="Times New Roman" w:cs="Times New Roman"/>
                <w:iCs/>
                <w:sz w:val="24"/>
                <w:szCs w:val="24"/>
              </w:rPr>
              <w:t>patikslinti – nurodyta „Netaikoma“.</w:t>
            </w:r>
            <w:r w:rsidR="00880D84" w:rsidRPr="00E76D0B">
              <w:rPr>
                <w:rFonts w:ascii="Times New Roman" w:hAnsi="Times New Roman" w:cs="Times New Roman"/>
                <w:iCs/>
                <w:sz w:val="24"/>
                <w:szCs w:val="24"/>
              </w:rPr>
              <w:t xml:space="preserve"> </w:t>
            </w:r>
          </w:p>
        </w:tc>
      </w:tr>
      <w:tr w:rsidR="00C355F1" w:rsidRPr="00E76D0B" w14:paraId="1F34E4D8" w14:textId="77777777" w:rsidTr="00F05D8A">
        <w:tc>
          <w:tcPr>
            <w:tcW w:w="704" w:type="dxa"/>
          </w:tcPr>
          <w:p w14:paraId="659B8CA7" w14:textId="5E75A144" w:rsidR="00C355F1" w:rsidRPr="00E76D0B" w:rsidRDefault="00C355F1"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23.</w:t>
            </w:r>
          </w:p>
        </w:tc>
        <w:tc>
          <w:tcPr>
            <w:tcW w:w="6662" w:type="dxa"/>
            <w:shd w:val="clear" w:color="auto" w:fill="auto"/>
          </w:tcPr>
          <w:p w14:paraId="6D561C11" w14:textId="7BC226F2" w:rsidR="00C355F1" w:rsidRPr="00E76D0B" w:rsidRDefault="00CC560B" w:rsidP="00E76D0B">
            <w:pPr>
              <w:spacing w:line="276" w:lineRule="auto"/>
              <w:jc w:val="both"/>
              <w:rPr>
                <w:rFonts w:ascii="Times New Roman" w:eastAsia="Calibri" w:hAnsi="Times New Roman" w:cs="Times New Roman"/>
                <w:i/>
                <w:sz w:val="24"/>
                <w:szCs w:val="24"/>
              </w:rPr>
            </w:pPr>
            <w:r w:rsidRPr="00E76D0B">
              <w:rPr>
                <w:rFonts w:ascii="Times New Roman" w:eastAsia="Calibri" w:hAnsi="Times New Roman" w:cs="Times New Roman"/>
                <w:i/>
                <w:sz w:val="24"/>
                <w:szCs w:val="24"/>
              </w:rPr>
              <w:t xml:space="preserve">PFSA </w:t>
            </w:r>
            <w:r w:rsidR="00C355F1" w:rsidRPr="00E76D0B">
              <w:rPr>
                <w:rFonts w:ascii="Times New Roman" w:eastAsia="Calibri" w:hAnsi="Times New Roman" w:cs="Times New Roman"/>
                <w:i/>
                <w:sz w:val="24"/>
                <w:szCs w:val="24"/>
              </w:rPr>
              <w:t>1 priedas 7.7 p.</w:t>
            </w:r>
          </w:p>
          <w:p w14:paraId="1B6FC62D" w14:textId="26D6BBC8" w:rsidR="00C355F1" w:rsidRPr="00E76D0B" w:rsidRDefault="00C355F1"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 xml:space="preserve">Nurodyta Netaikoma. Tačiau Aprašo </w:t>
            </w:r>
            <w:r w:rsidR="00915F43" w:rsidRPr="00E76D0B">
              <w:rPr>
                <w:rFonts w:ascii="Times New Roman" w:hAnsi="Times New Roman" w:cs="Times New Roman"/>
                <w:sz w:val="24"/>
                <w:szCs w:val="24"/>
              </w:rPr>
              <w:t xml:space="preserve">45 p. yra nurodytos </w:t>
            </w:r>
            <w:r w:rsidRPr="00E76D0B">
              <w:rPr>
                <w:rFonts w:ascii="Times New Roman" w:hAnsi="Times New Roman" w:cs="Times New Roman"/>
                <w:sz w:val="24"/>
                <w:szCs w:val="24"/>
              </w:rPr>
              <w:t>tinkamos finansuoti išlaidos, nustatomos pagal fiksuotuosius įkainius. Jeigu vis tik tokios išlaidos liktų tinkamos finansuoti (LVPA šios lentelės 9 eil. siūlo jų netraukti į tinkamas finansuoti išlaidas), šis punktas turėtų būti taikomas.</w:t>
            </w:r>
          </w:p>
        </w:tc>
        <w:tc>
          <w:tcPr>
            <w:tcW w:w="7194" w:type="dxa"/>
            <w:shd w:val="clear" w:color="auto" w:fill="auto"/>
          </w:tcPr>
          <w:p w14:paraId="3C040E8E" w14:textId="7AD1C89D" w:rsidR="00F05D8A" w:rsidRPr="00E76D0B" w:rsidRDefault="002732A4" w:rsidP="00E76D0B">
            <w:pPr>
              <w:spacing w:line="276" w:lineRule="auto"/>
              <w:jc w:val="both"/>
              <w:rPr>
                <w:rFonts w:ascii="Times New Roman" w:hAnsi="Times New Roman" w:cs="Times New Roman"/>
                <w:b/>
                <w:iCs/>
                <w:sz w:val="24"/>
                <w:szCs w:val="24"/>
              </w:rPr>
            </w:pPr>
            <w:r>
              <w:rPr>
                <w:rFonts w:ascii="Times New Roman" w:hAnsi="Times New Roman" w:cs="Times New Roman"/>
                <w:b/>
                <w:iCs/>
                <w:sz w:val="24"/>
                <w:szCs w:val="24"/>
              </w:rPr>
              <w:t>Neatsižvelgta.</w:t>
            </w:r>
          </w:p>
          <w:p w14:paraId="58AA0990" w14:textId="503DCB94" w:rsidR="001B75CF" w:rsidRPr="00E76D0B" w:rsidRDefault="002732A4" w:rsidP="00E76D0B">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iCs/>
                <w:sz w:val="24"/>
                <w:szCs w:val="24"/>
              </w:rPr>
              <w:t xml:space="preserve">Patikslinus PFSA 45 punktą, </w:t>
            </w:r>
            <w:r w:rsidR="00584399">
              <w:rPr>
                <w:rFonts w:ascii="Times New Roman" w:hAnsi="Times New Roman" w:cs="Times New Roman"/>
                <w:iCs/>
                <w:sz w:val="24"/>
                <w:szCs w:val="24"/>
              </w:rPr>
              <w:t>pastaba nebeaktuali.</w:t>
            </w:r>
            <w:bookmarkStart w:id="0" w:name="_GoBack"/>
            <w:bookmarkEnd w:id="0"/>
          </w:p>
          <w:p w14:paraId="0E3DC583" w14:textId="77777777" w:rsidR="001B75CF" w:rsidRPr="00E76D0B" w:rsidRDefault="001B75CF" w:rsidP="00E76D0B">
            <w:pPr>
              <w:spacing w:line="276" w:lineRule="auto"/>
              <w:rPr>
                <w:rFonts w:ascii="Times New Roman" w:hAnsi="Times New Roman" w:cs="Times New Roman"/>
                <w:sz w:val="24"/>
                <w:szCs w:val="24"/>
                <w:lang w:val="en-US"/>
              </w:rPr>
            </w:pPr>
          </w:p>
          <w:p w14:paraId="72CEF127" w14:textId="77777777" w:rsidR="001B75CF" w:rsidRPr="00E76D0B" w:rsidRDefault="001B75CF" w:rsidP="00E76D0B">
            <w:pPr>
              <w:spacing w:line="276" w:lineRule="auto"/>
              <w:rPr>
                <w:rFonts w:ascii="Times New Roman" w:hAnsi="Times New Roman" w:cs="Times New Roman"/>
                <w:sz w:val="24"/>
                <w:szCs w:val="24"/>
                <w:lang w:val="en-US"/>
              </w:rPr>
            </w:pPr>
          </w:p>
          <w:p w14:paraId="2A126838" w14:textId="4A061A02" w:rsidR="00C355F1" w:rsidRPr="00E76D0B" w:rsidRDefault="00C355F1" w:rsidP="00E76D0B">
            <w:pPr>
              <w:spacing w:line="276" w:lineRule="auto"/>
              <w:rPr>
                <w:rFonts w:ascii="Times New Roman" w:eastAsia="Times New Roman" w:hAnsi="Times New Roman" w:cs="Times New Roman"/>
                <w:b/>
                <w:bCs/>
                <w:sz w:val="24"/>
                <w:szCs w:val="24"/>
                <w:lang w:eastAsia="lt-LT"/>
              </w:rPr>
            </w:pPr>
          </w:p>
        </w:tc>
      </w:tr>
      <w:tr w:rsidR="00C355F1" w:rsidRPr="00E76D0B" w14:paraId="2FE4E4DE" w14:textId="77777777" w:rsidTr="005D518E">
        <w:tc>
          <w:tcPr>
            <w:tcW w:w="704" w:type="dxa"/>
          </w:tcPr>
          <w:p w14:paraId="4B3BE44C" w14:textId="13929E1A" w:rsidR="00C355F1" w:rsidRPr="00E76D0B" w:rsidRDefault="00CC560B"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24.</w:t>
            </w:r>
          </w:p>
        </w:tc>
        <w:tc>
          <w:tcPr>
            <w:tcW w:w="6662" w:type="dxa"/>
          </w:tcPr>
          <w:p w14:paraId="4D2DE7CF" w14:textId="77777777" w:rsidR="00DD70B5" w:rsidRPr="00E76D0B" w:rsidRDefault="00DD70B5" w:rsidP="00E76D0B">
            <w:pPr>
              <w:spacing w:line="276" w:lineRule="auto"/>
              <w:jc w:val="both"/>
              <w:rPr>
                <w:rFonts w:ascii="Times New Roman" w:hAnsi="Times New Roman" w:cs="Times New Roman"/>
                <w:i/>
                <w:sz w:val="24"/>
                <w:szCs w:val="24"/>
              </w:rPr>
            </w:pPr>
            <w:r w:rsidRPr="00E76D0B">
              <w:rPr>
                <w:rFonts w:ascii="Times New Roman" w:hAnsi="Times New Roman" w:cs="Times New Roman"/>
                <w:i/>
                <w:sz w:val="24"/>
                <w:szCs w:val="24"/>
              </w:rPr>
              <w:t>PFSA 5 priedas</w:t>
            </w:r>
          </w:p>
          <w:p w14:paraId="4BEFA3CF" w14:textId="54314028" w:rsidR="005927FB" w:rsidRPr="00E76D0B" w:rsidRDefault="00DD70B5"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Atsižvelgiant į Bendrojo bendrosios išimties reglamento 46 str. 6 p. „Pagalbos skirstomajam tinklui suma neviršija tinkamų finansuoti išlaidų ir veiklos pelno skirtumo. Veiklos pelnas iš tinkamų fi</w:t>
            </w:r>
            <w:r w:rsidR="00B34BCA" w:rsidRPr="00E76D0B">
              <w:rPr>
                <w:rFonts w:ascii="Times New Roman" w:hAnsi="Times New Roman" w:cs="Times New Roman"/>
                <w:sz w:val="24"/>
                <w:szCs w:val="24"/>
              </w:rPr>
              <w:t>nansuoti išlaidų atskaitomas ex-</w:t>
            </w:r>
            <w:r w:rsidRPr="00E76D0B">
              <w:rPr>
                <w:rFonts w:ascii="Times New Roman" w:hAnsi="Times New Roman" w:cs="Times New Roman"/>
                <w:sz w:val="24"/>
                <w:szCs w:val="24"/>
              </w:rPr>
              <w:t>ante arba taikant lėšų susigrąžinimo mechanizmą” priedo forma turėtų būti tokia kaip priemonėje Šilumos tiekimo tinklų modernizavimas ir</w:t>
            </w:r>
            <w:r w:rsidR="008C42A7" w:rsidRPr="00E76D0B">
              <w:rPr>
                <w:rFonts w:ascii="Times New Roman" w:hAnsi="Times New Roman" w:cs="Times New Roman"/>
                <w:sz w:val="24"/>
                <w:szCs w:val="24"/>
              </w:rPr>
              <w:t xml:space="preserve"> plėtra (</w:t>
            </w:r>
            <w:r w:rsidRPr="00E76D0B">
              <w:rPr>
                <w:rFonts w:ascii="Times New Roman" w:hAnsi="Times New Roman" w:cs="Times New Roman"/>
                <w:sz w:val="24"/>
                <w:szCs w:val="24"/>
              </w:rPr>
              <w:t>kadangi šiai priemonei taikomas tas pats Bendrosio</w:t>
            </w:r>
            <w:r w:rsidR="00685449" w:rsidRPr="00E76D0B">
              <w:rPr>
                <w:rFonts w:ascii="Times New Roman" w:hAnsi="Times New Roman" w:cs="Times New Roman"/>
                <w:sz w:val="24"/>
                <w:szCs w:val="24"/>
              </w:rPr>
              <w:t>s</w:t>
            </w:r>
            <w:r w:rsidRPr="00E76D0B">
              <w:rPr>
                <w:rFonts w:ascii="Times New Roman" w:hAnsi="Times New Roman" w:cs="Times New Roman"/>
                <w:sz w:val="24"/>
                <w:szCs w:val="24"/>
              </w:rPr>
              <w:t xml:space="preserve"> išimties </w:t>
            </w:r>
            <w:r w:rsidRPr="00E76D0B">
              <w:rPr>
                <w:rFonts w:ascii="Times New Roman" w:hAnsi="Times New Roman" w:cs="Times New Roman"/>
                <w:sz w:val="24"/>
                <w:szCs w:val="24"/>
              </w:rPr>
              <w:lastRenderedPageBreak/>
              <w:t xml:space="preserve">reglamento 46 str. 6 punktas – žr. priemonės Šilumos tiekimo tinklų modernizavimas ir plėtra PFSA 46 p.). </w:t>
            </w:r>
          </w:p>
          <w:p w14:paraId="53B2096E" w14:textId="46ABE7FD" w:rsidR="00C355F1" w:rsidRPr="00E76D0B" w:rsidRDefault="00DD70B5"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Taip pat papildyti priemonės Biokuro panaudojimo skatinimas šilumos energijai gaminti PFSA tokiu pačiu punktu kaip priemonės Šilumos tiekimo tinklų modernizavimas ir plėtra 46 p.</w:t>
            </w:r>
          </w:p>
        </w:tc>
        <w:tc>
          <w:tcPr>
            <w:tcW w:w="7194" w:type="dxa"/>
          </w:tcPr>
          <w:p w14:paraId="56D79173" w14:textId="77777777" w:rsidR="005927FB" w:rsidRPr="00E76D0B" w:rsidRDefault="005927FB"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lastRenderedPageBreak/>
              <w:t>Neatsižvelgta.</w:t>
            </w:r>
          </w:p>
          <w:p w14:paraId="303A164A" w14:textId="62D26E7E" w:rsidR="005927FB" w:rsidRPr="00E76D0B" w:rsidRDefault="00D9651E"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Reglamento  III skyriaus 7 skirsnio 46 straipsnio 6 dalis netaikoma gamybos įrenginiams (taikoma tik skirstomajam tinklui).</w:t>
            </w:r>
          </w:p>
          <w:p w14:paraId="268AEB35" w14:textId="77777777" w:rsidR="005927FB" w:rsidRPr="00E76D0B" w:rsidRDefault="005927FB" w:rsidP="00E76D0B">
            <w:pPr>
              <w:spacing w:line="276" w:lineRule="auto"/>
              <w:jc w:val="both"/>
              <w:rPr>
                <w:rFonts w:ascii="Times New Roman" w:hAnsi="Times New Roman" w:cs="Times New Roman"/>
                <w:iCs/>
                <w:sz w:val="24"/>
                <w:szCs w:val="24"/>
              </w:rPr>
            </w:pPr>
          </w:p>
          <w:p w14:paraId="17DD42D1" w14:textId="77777777" w:rsidR="005927FB" w:rsidRPr="00E76D0B" w:rsidRDefault="005927FB" w:rsidP="00E76D0B">
            <w:pPr>
              <w:spacing w:line="276" w:lineRule="auto"/>
              <w:jc w:val="both"/>
              <w:rPr>
                <w:rFonts w:ascii="Times New Roman" w:hAnsi="Times New Roman" w:cs="Times New Roman"/>
                <w:iCs/>
                <w:sz w:val="24"/>
                <w:szCs w:val="24"/>
              </w:rPr>
            </w:pPr>
          </w:p>
          <w:p w14:paraId="4F8CB5C6" w14:textId="77777777" w:rsidR="005927FB" w:rsidRPr="00E76D0B" w:rsidRDefault="005927FB" w:rsidP="00E76D0B">
            <w:pPr>
              <w:spacing w:line="276" w:lineRule="auto"/>
              <w:jc w:val="both"/>
              <w:rPr>
                <w:rFonts w:ascii="Times New Roman" w:hAnsi="Times New Roman" w:cs="Times New Roman"/>
                <w:iCs/>
                <w:sz w:val="24"/>
                <w:szCs w:val="24"/>
              </w:rPr>
            </w:pPr>
          </w:p>
          <w:p w14:paraId="428683B4" w14:textId="77777777" w:rsidR="005927FB" w:rsidRPr="00E76D0B" w:rsidRDefault="005927FB" w:rsidP="00E76D0B">
            <w:pPr>
              <w:spacing w:line="276" w:lineRule="auto"/>
              <w:jc w:val="both"/>
              <w:rPr>
                <w:rFonts w:ascii="Times New Roman" w:hAnsi="Times New Roman" w:cs="Times New Roman"/>
                <w:iCs/>
                <w:sz w:val="24"/>
                <w:szCs w:val="24"/>
              </w:rPr>
            </w:pPr>
          </w:p>
          <w:p w14:paraId="7020A849" w14:textId="19656B4F" w:rsidR="00C355F1" w:rsidRPr="00E76D0B" w:rsidRDefault="00C355F1" w:rsidP="00E76D0B">
            <w:pPr>
              <w:spacing w:line="276" w:lineRule="auto"/>
              <w:jc w:val="both"/>
              <w:rPr>
                <w:rFonts w:ascii="Times New Roman" w:hAnsi="Times New Roman" w:cs="Times New Roman"/>
                <w:iCs/>
                <w:sz w:val="24"/>
                <w:szCs w:val="24"/>
              </w:rPr>
            </w:pPr>
          </w:p>
        </w:tc>
      </w:tr>
      <w:tr w:rsidR="00FC5E0F" w:rsidRPr="00E76D0B" w14:paraId="40D85922" w14:textId="77777777" w:rsidTr="00E503A0">
        <w:tc>
          <w:tcPr>
            <w:tcW w:w="14560" w:type="dxa"/>
            <w:gridSpan w:val="3"/>
            <w:tcBorders>
              <w:bottom w:val="single" w:sz="4" w:space="0" w:color="auto"/>
            </w:tcBorders>
            <w:shd w:val="clear" w:color="auto" w:fill="F2F2F2" w:themeFill="background1" w:themeFillShade="F2"/>
          </w:tcPr>
          <w:p w14:paraId="6FE50AB3" w14:textId="7D52E06E" w:rsidR="00FC5E0F" w:rsidRPr="00E76D0B" w:rsidRDefault="00C303BA" w:rsidP="00E76D0B">
            <w:pPr>
              <w:spacing w:line="276" w:lineRule="auto"/>
              <w:jc w:val="center"/>
              <w:rPr>
                <w:rFonts w:ascii="Times New Roman" w:hAnsi="Times New Roman" w:cs="Times New Roman"/>
                <w:b/>
                <w:sz w:val="24"/>
                <w:szCs w:val="24"/>
              </w:rPr>
            </w:pPr>
            <w:r w:rsidRPr="00E76D0B">
              <w:rPr>
                <w:rFonts w:ascii="Times New Roman" w:hAnsi="Times New Roman" w:cs="Times New Roman"/>
                <w:b/>
                <w:bCs/>
                <w:sz w:val="24"/>
                <w:szCs w:val="24"/>
              </w:rPr>
              <w:t xml:space="preserve">Lietuvos šilumos tiekėjų asociacijos 2017 m. gegužės 10 d. raštu Nr. 38 persiųstas AB </w:t>
            </w:r>
            <w:r w:rsidRPr="00E76D0B">
              <w:rPr>
                <w:rFonts w:ascii="Times New Roman" w:hAnsi="Times New Roman" w:cs="Times New Roman"/>
                <w:b/>
                <w:bCs/>
                <w:sz w:val="24"/>
                <w:szCs w:val="24"/>
                <w:lang w:val="en-US"/>
              </w:rPr>
              <w:t>“</w:t>
            </w:r>
            <w:r w:rsidRPr="00E76D0B">
              <w:rPr>
                <w:rFonts w:ascii="Times New Roman" w:hAnsi="Times New Roman" w:cs="Times New Roman"/>
                <w:b/>
                <w:bCs/>
                <w:sz w:val="24"/>
                <w:szCs w:val="24"/>
              </w:rPr>
              <w:t>PANEVĖŽIO ENERGIJA“ 2017 m. gegužės 3 d. raštas Nr. 242-760</w:t>
            </w:r>
          </w:p>
        </w:tc>
      </w:tr>
      <w:tr w:rsidR="00FC5E0F" w:rsidRPr="00E76D0B" w14:paraId="6737D799" w14:textId="77777777" w:rsidTr="00061283">
        <w:tc>
          <w:tcPr>
            <w:tcW w:w="704" w:type="dxa"/>
            <w:tcBorders>
              <w:bottom w:val="single" w:sz="4" w:space="0" w:color="auto"/>
            </w:tcBorders>
          </w:tcPr>
          <w:p w14:paraId="77655922" w14:textId="4B751181" w:rsidR="00FC5E0F" w:rsidRPr="00E76D0B" w:rsidRDefault="00FC5E0F"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25.</w:t>
            </w:r>
          </w:p>
        </w:tc>
        <w:tc>
          <w:tcPr>
            <w:tcW w:w="6662" w:type="dxa"/>
            <w:tcBorders>
              <w:bottom w:val="single" w:sz="4" w:space="0" w:color="auto"/>
            </w:tcBorders>
          </w:tcPr>
          <w:p w14:paraId="06195761" w14:textId="797E39CF" w:rsidR="00FC5E0F" w:rsidRPr="00E76D0B" w:rsidRDefault="0063546C" w:rsidP="00E76D0B">
            <w:pPr>
              <w:spacing w:line="276" w:lineRule="auto"/>
              <w:jc w:val="both"/>
              <w:rPr>
                <w:rFonts w:ascii="Times New Roman" w:hAnsi="Times New Roman" w:cs="Times New Roman"/>
                <w:sz w:val="24"/>
                <w:szCs w:val="24"/>
              </w:rPr>
            </w:pPr>
            <w:r w:rsidRPr="00E76D0B">
              <w:rPr>
                <w:rFonts w:ascii="Times New Roman" w:hAnsi="Times New Roman" w:cs="Times New Roman"/>
                <w:sz w:val="24"/>
                <w:szCs w:val="24"/>
              </w:rPr>
              <w:t>Siūloma praplėsti tinkamų finansuoti išlaid</w:t>
            </w:r>
            <w:r w:rsidR="00522A49" w:rsidRPr="00E76D0B">
              <w:rPr>
                <w:rFonts w:ascii="Times New Roman" w:hAnsi="Times New Roman" w:cs="Times New Roman"/>
                <w:sz w:val="24"/>
                <w:szCs w:val="24"/>
              </w:rPr>
              <w:t>ų kategorijas ir įtraukti 3 išlaidų kategoriją „Statyba, rekonstravimas</w:t>
            </w:r>
            <w:r w:rsidR="008806A6" w:rsidRPr="00E76D0B">
              <w:rPr>
                <w:rFonts w:ascii="Times New Roman" w:hAnsi="Times New Roman" w:cs="Times New Roman"/>
                <w:sz w:val="24"/>
                <w:szCs w:val="24"/>
              </w:rPr>
              <w:t>, remontas</w:t>
            </w:r>
            <w:r w:rsidR="00522A49" w:rsidRPr="00E76D0B">
              <w:rPr>
                <w:rFonts w:ascii="Times New Roman" w:hAnsi="Times New Roman" w:cs="Times New Roman"/>
                <w:sz w:val="24"/>
                <w:szCs w:val="24"/>
              </w:rPr>
              <w:t xml:space="preserve"> ir kiti darbai“.</w:t>
            </w:r>
          </w:p>
        </w:tc>
        <w:tc>
          <w:tcPr>
            <w:tcW w:w="7194" w:type="dxa"/>
            <w:tcBorders>
              <w:bottom w:val="single" w:sz="4" w:space="0" w:color="auto"/>
            </w:tcBorders>
          </w:tcPr>
          <w:p w14:paraId="0FD0795C" w14:textId="77777777" w:rsidR="00B810DE" w:rsidRPr="00E76D0B" w:rsidRDefault="00B810DE" w:rsidP="00E76D0B">
            <w:pPr>
              <w:spacing w:line="276" w:lineRule="auto"/>
              <w:jc w:val="both"/>
              <w:rPr>
                <w:rFonts w:ascii="Times New Roman" w:hAnsi="Times New Roman" w:cs="Times New Roman"/>
                <w:b/>
                <w:iCs/>
                <w:sz w:val="24"/>
                <w:szCs w:val="24"/>
              </w:rPr>
            </w:pPr>
            <w:r w:rsidRPr="00E76D0B">
              <w:rPr>
                <w:rFonts w:ascii="Times New Roman" w:hAnsi="Times New Roman" w:cs="Times New Roman"/>
                <w:b/>
                <w:iCs/>
                <w:sz w:val="24"/>
                <w:szCs w:val="24"/>
              </w:rPr>
              <w:t>Neatsižvelgta.</w:t>
            </w:r>
          </w:p>
          <w:p w14:paraId="7F1CE1F6" w14:textId="6E9DDA2E" w:rsidR="00F729A1" w:rsidRPr="00E76D0B" w:rsidRDefault="00FF2059"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Tinkamų finansuoti išlaidų praplėtimas nebeatitiktų</w:t>
            </w:r>
            <w:r w:rsidR="005927FB" w:rsidRPr="00E76D0B">
              <w:rPr>
                <w:rFonts w:ascii="Times New Roman" w:hAnsi="Times New Roman" w:cs="Times New Roman"/>
                <w:iCs/>
                <w:sz w:val="24"/>
                <w:szCs w:val="24"/>
              </w:rPr>
              <w:t xml:space="preserve"> Reglamento</w:t>
            </w:r>
            <w:r w:rsidRPr="00E76D0B">
              <w:rPr>
                <w:rFonts w:ascii="Times New Roman" w:hAnsi="Times New Roman" w:cs="Times New Roman"/>
                <w:iCs/>
                <w:sz w:val="24"/>
                <w:szCs w:val="24"/>
              </w:rPr>
              <w:t xml:space="preserve"> III skyriaus 7 skirsnio 46 straipsnio</w:t>
            </w:r>
            <w:r w:rsidR="00F42FB3" w:rsidRPr="00E76D0B">
              <w:rPr>
                <w:rFonts w:ascii="Times New Roman" w:hAnsi="Times New Roman" w:cs="Times New Roman"/>
                <w:iCs/>
                <w:sz w:val="24"/>
                <w:szCs w:val="24"/>
              </w:rPr>
              <w:t xml:space="preserve"> </w:t>
            </w:r>
            <w:r w:rsidRPr="00E76D0B">
              <w:rPr>
                <w:rFonts w:ascii="Times New Roman" w:hAnsi="Times New Roman" w:cs="Times New Roman"/>
                <w:iCs/>
                <w:sz w:val="24"/>
                <w:szCs w:val="24"/>
              </w:rPr>
              <w:t xml:space="preserve">nuostatų. </w:t>
            </w:r>
            <w:r w:rsidR="007F38B8" w:rsidRPr="00E76D0B">
              <w:rPr>
                <w:rFonts w:ascii="Times New Roman" w:hAnsi="Times New Roman" w:cs="Times New Roman"/>
                <w:iCs/>
                <w:sz w:val="24"/>
                <w:szCs w:val="24"/>
              </w:rPr>
              <w:t xml:space="preserve">Pažymėtina, kad </w:t>
            </w:r>
            <w:r w:rsidR="00F729A1" w:rsidRPr="00E76D0B">
              <w:rPr>
                <w:rFonts w:ascii="Times New Roman" w:hAnsi="Times New Roman" w:cs="Times New Roman"/>
                <w:iCs/>
                <w:sz w:val="24"/>
                <w:szCs w:val="24"/>
              </w:rPr>
              <w:t xml:space="preserve">Reglamento minėto straipsnio 2, 3 ir 4 punktuose yra apibrėžtas finansavimo </w:t>
            </w:r>
            <w:r w:rsidR="000D1BE6" w:rsidRPr="00E76D0B">
              <w:rPr>
                <w:rFonts w:ascii="Times New Roman" w:hAnsi="Times New Roman" w:cs="Times New Roman"/>
                <w:iCs/>
                <w:sz w:val="24"/>
                <w:szCs w:val="24"/>
              </w:rPr>
              <w:t>objektas</w:t>
            </w:r>
            <w:r w:rsidR="00F729A1" w:rsidRPr="00E76D0B">
              <w:rPr>
                <w:rFonts w:ascii="Times New Roman" w:hAnsi="Times New Roman" w:cs="Times New Roman"/>
                <w:iCs/>
                <w:sz w:val="24"/>
                <w:szCs w:val="24"/>
              </w:rPr>
              <w:t xml:space="preserve"> – 2 punkte tai „energijos gamybos vienetas“, 3 punkte tai „gamybos įrenginys“, 4 punkte tai „gamybos įrenginys“. Galimai klaidinanti sąvoka yra „energijos gamybos vienetas“, tačiau 3 ir 4 punktuose nurodyta, kad</w:t>
            </w:r>
            <w:r w:rsidR="00045CBC" w:rsidRPr="00E76D0B">
              <w:rPr>
                <w:rFonts w:ascii="Times New Roman" w:hAnsi="Times New Roman" w:cs="Times New Roman"/>
                <w:iCs/>
                <w:sz w:val="24"/>
                <w:szCs w:val="24"/>
              </w:rPr>
              <w:t xml:space="preserve"> finansavimo dalykas</w:t>
            </w:r>
            <w:r w:rsidR="00F729A1" w:rsidRPr="00E76D0B">
              <w:rPr>
                <w:rFonts w:ascii="Times New Roman" w:hAnsi="Times New Roman" w:cs="Times New Roman"/>
                <w:iCs/>
                <w:sz w:val="24"/>
                <w:szCs w:val="24"/>
              </w:rPr>
              <w:t xml:space="preserve"> </w:t>
            </w:r>
            <w:r w:rsidR="00045CBC" w:rsidRPr="00E76D0B">
              <w:rPr>
                <w:rFonts w:ascii="Times New Roman" w:hAnsi="Times New Roman" w:cs="Times New Roman"/>
                <w:iCs/>
                <w:sz w:val="24"/>
                <w:szCs w:val="24"/>
              </w:rPr>
              <w:t>yra „</w:t>
            </w:r>
            <w:r w:rsidR="00CD4EF0" w:rsidRPr="00E76D0B">
              <w:rPr>
                <w:rFonts w:ascii="Times New Roman" w:hAnsi="Times New Roman" w:cs="Times New Roman"/>
                <w:iCs/>
                <w:sz w:val="24"/>
                <w:szCs w:val="24"/>
              </w:rPr>
              <w:t>gamybos įrenginys“, todėl</w:t>
            </w:r>
            <w:r w:rsidR="00322ABE" w:rsidRPr="00E76D0B">
              <w:rPr>
                <w:rFonts w:ascii="Times New Roman" w:hAnsi="Times New Roman" w:cs="Times New Roman"/>
                <w:iCs/>
                <w:sz w:val="24"/>
                <w:szCs w:val="24"/>
              </w:rPr>
              <w:t xml:space="preserve"> finansavimo objektas yra suprantamas kaip šilumos gamybos įrenginys. Atsižvelgiant į išdėstyta,</w:t>
            </w:r>
            <w:r w:rsidR="00CD4EF0" w:rsidRPr="00E76D0B">
              <w:rPr>
                <w:rFonts w:ascii="Times New Roman" w:hAnsi="Times New Roman" w:cs="Times New Roman"/>
                <w:iCs/>
                <w:sz w:val="24"/>
                <w:szCs w:val="24"/>
              </w:rPr>
              <w:t xml:space="preserve"> </w:t>
            </w:r>
            <w:r w:rsidR="00856511" w:rsidRPr="00E76D0B">
              <w:rPr>
                <w:rFonts w:ascii="Times New Roman" w:hAnsi="Times New Roman" w:cs="Times New Roman"/>
                <w:iCs/>
                <w:sz w:val="24"/>
                <w:szCs w:val="24"/>
              </w:rPr>
              <w:t>negalime papildyti tinkamų finansuoti išlaidų kategorijų</w:t>
            </w:r>
            <w:r w:rsidR="000D1BE6" w:rsidRPr="00E76D0B">
              <w:rPr>
                <w:rFonts w:ascii="Times New Roman" w:hAnsi="Times New Roman" w:cs="Times New Roman"/>
                <w:iCs/>
                <w:sz w:val="24"/>
                <w:szCs w:val="24"/>
              </w:rPr>
              <w:t xml:space="preserve">. </w:t>
            </w:r>
          </w:p>
          <w:p w14:paraId="1540C3AA" w14:textId="13A3B34C" w:rsidR="000D1BE6" w:rsidRPr="00E76D0B" w:rsidRDefault="000D1BE6"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Taip pat papildomai informuojame, kad PFSA bus papildytas sąvoka:</w:t>
            </w:r>
          </w:p>
          <w:p w14:paraId="1539D89E" w14:textId="1BE48C5D" w:rsidR="00207D2F" w:rsidRPr="00E76D0B" w:rsidRDefault="000D1BE6" w:rsidP="00E76D0B">
            <w:pPr>
              <w:spacing w:line="276" w:lineRule="auto"/>
              <w:jc w:val="both"/>
              <w:rPr>
                <w:rFonts w:ascii="Times New Roman" w:hAnsi="Times New Roman" w:cs="Times New Roman"/>
                <w:iCs/>
                <w:sz w:val="24"/>
                <w:szCs w:val="24"/>
              </w:rPr>
            </w:pPr>
            <w:r w:rsidRPr="00E76D0B">
              <w:rPr>
                <w:rFonts w:ascii="Times New Roman" w:hAnsi="Times New Roman" w:cs="Times New Roman"/>
                <w:iCs/>
                <w:sz w:val="24"/>
                <w:szCs w:val="24"/>
              </w:rPr>
              <w:t>„Šilumos gamybos įrenginys yra suprantamas taip, kaip vartojamas Šilumos gamybos statinių ir šilumos perdavimo tinklų, statinių (šildymo ir karšto vandens sistemų) statybos rūšių ir šilumos gamybos ir šilumos perdavimo įrenginių įrengimo darbų rūšių apraše, patvirtintame Lietuvos Respublikos energetikos ministro 2009 m. rugsėjo 29 d. įsakymu Nr. 1-172.“</w:t>
            </w:r>
          </w:p>
        </w:tc>
      </w:tr>
      <w:tr w:rsidR="00061283" w:rsidRPr="00E76D0B" w14:paraId="756F23F8" w14:textId="77777777" w:rsidTr="00061283">
        <w:tc>
          <w:tcPr>
            <w:tcW w:w="704" w:type="dxa"/>
            <w:tcBorders>
              <w:top w:val="single" w:sz="4" w:space="0" w:color="auto"/>
              <w:left w:val="nil"/>
              <w:bottom w:val="nil"/>
              <w:right w:val="nil"/>
            </w:tcBorders>
          </w:tcPr>
          <w:p w14:paraId="2F362646" w14:textId="77777777" w:rsidR="00061283" w:rsidRPr="00E76D0B" w:rsidRDefault="00061283" w:rsidP="00E76D0B">
            <w:pPr>
              <w:spacing w:line="276" w:lineRule="auto"/>
              <w:rPr>
                <w:rFonts w:ascii="Times New Roman" w:hAnsi="Times New Roman" w:cs="Times New Roman"/>
                <w:sz w:val="24"/>
                <w:szCs w:val="24"/>
              </w:rPr>
            </w:pPr>
          </w:p>
        </w:tc>
        <w:tc>
          <w:tcPr>
            <w:tcW w:w="6662" w:type="dxa"/>
            <w:tcBorders>
              <w:top w:val="single" w:sz="4" w:space="0" w:color="auto"/>
              <w:left w:val="nil"/>
              <w:bottom w:val="nil"/>
              <w:right w:val="nil"/>
            </w:tcBorders>
          </w:tcPr>
          <w:p w14:paraId="4B6721E6" w14:textId="77777777" w:rsidR="00061283" w:rsidRPr="00E76D0B" w:rsidRDefault="00061283" w:rsidP="00E76D0B">
            <w:pPr>
              <w:spacing w:line="276" w:lineRule="auto"/>
              <w:jc w:val="both"/>
              <w:rPr>
                <w:rFonts w:ascii="Times New Roman" w:hAnsi="Times New Roman" w:cs="Times New Roman"/>
                <w:sz w:val="24"/>
                <w:szCs w:val="24"/>
              </w:rPr>
            </w:pPr>
          </w:p>
        </w:tc>
        <w:tc>
          <w:tcPr>
            <w:tcW w:w="7194" w:type="dxa"/>
            <w:tcBorders>
              <w:top w:val="single" w:sz="4" w:space="0" w:color="auto"/>
              <w:left w:val="nil"/>
              <w:bottom w:val="nil"/>
              <w:right w:val="nil"/>
            </w:tcBorders>
          </w:tcPr>
          <w:p w14:paraId="4E8C3F8F" w14:textId="77777777" w:rsidR="00061283" w:rsidRPr="00E76D0B" w:rsidRDefault="00061283" w:rsidP="00E76D0B">
            <w:pPr>
              <w:spacing w:line="276" w:lineRule="auto"/>
              <w:jc w:val="both"/>
              <w:rPr>
                <w:rFonts w:ascii="Times New Roman" w:hAnsi="Times New Roman" w:cs="Times New Roman"/>
                <w:b/>
                <w:iCs/>
                <w:sz w:val="24"/>
                <w:szCs w:val="24"/>
              </w:rPr>
            </w:pPr>
          </w:p>
        </w:tc>
      </w:tr>
    </w:tbl>
    <w:p w14:paraId="66FFF636" w14:textId="63F9D3E0" w:rsidR="00B84847" w:rsidRPr="00E76D0B" w:rsidRDefault="00061283" w:rsidP="00E76D0B">
      <w:pPr>
        <w:tabs>
          <w:tab w:val="left" w:pos="7905"/>
        </w:tabs>
        <w:spacing w:line="276" w:lineRule="auto"/>
        <w:jc w:val="center"/>
        <w:rPr>
          <w:rFonts w:ascii="Times New Roman" w:hAnsi="Times New Roman" w:cs="Times New Roman"/>
          <w:sz w:val="24"/>
          <w:szCs w:val="24"/>
        </w:rPr>
      </w:pPr>
      <w:r w:rsidRPr="00E76D0B">
        <w:rPr>
          <w:rFonts w:ascii="Times New Roman" w:hAnsi="Times New Roman" w:cs="Times New Roman"/>
          <w:sz w:val="24"/>
          <w:szCs w:val="24"/>
        </w:rPr>
        <w:t>______________________________</w:t>
      </w:r>
    </w:p>
    <w:sectPr w:rsidR="00B84847" w:rsidRPr="00E76D0B" w:rsidSect="00AC02D6">
      <w:headerReference w:type="default" r:id="rId8"/>
      <w:pgSz w:w="16838" w:h="11906" w:orient="landscape"/>
      <w:pgMar w:top="42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05AFC" w14:textId="77777777" w:rsidR="002F6D5D" w:rsidRDefault="002F6D5D" w:rsidP="00DD2F63">
      <w:pPr>
        <w:spacing w:after="0" w:line="240" w:lineRule="auto"/>
      </w:pPr>
      <w:r>
        <w:separator/>
      </w:r>
    </w:p>
  </w:endnote>
  <w:endnote w:type="continuationSeparator" w:id="0">
    <w:p w14:paraId="657F535B" w14:textId="77777777" w:rsidR="002F6D5D" w:rsidRDefault="002F6D5D" w:rsidP="00DD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12B4D" w14:textId="77777777" w:rsidR="002F6D5D" w:rsidRDefault="002F6D5D" w:rsidP="00DD2F63">
      <w:pPr>
        <w:spacing w:after="0" w:line="240" w:lineRule="auto"/>
      </w:pPr>
      <w:r>
        <w:separator/>
      </w:r>
    </w:p>
  </w:footnote>
  <w:footnote w:type="continuationSeparator" w:id="0">
    <w:p w14:paraId="12E700A4" w14:textId="77777777" w:rsidR="002F6D5D" w:rsidRDefault="002F6D5D" w:rsidP="00DD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35900993"/>
      <w:docPartObj>
        <w:docPartGallery w:val="Page Numbers (Top of Page)"/>
        <w:docPartUnique/>
      </w:docPartObj>
    </w:sdtPr>
    <w:sdtEndPr/>
    <w:sdtContent>
      <w:p w14:paraId="7334FDB6" w14:textId="082F25A0" w:rsidR="006E34EC" w:rsidRPr="007510F9" w:rsidRDefault="006E34EC">
        <w:pPr>
          <w:pStyle w:val="Header"/>
          <w:jc w:val="center"/>
          <w:rPr>
            <w:rFonts w:ascii="Times New Roman" w:hAnsi="Times New Roman" w:cs="Times New Roman"/>
          </w:rPr>
        </w:pPr>
        <w:r w:rsidRPr="007510F9">
          <w:rPr>
            <w:rFonts w:ascii="Times New Roman" w:hAnsi="Times New Roman" w:cs="Times New Roman"/>
          </w:rPr>
          <w:fldChar w:fldCharType="begin"/>
        </w:r>
        <w:r w:rsidRPr="007510F9">
          <w:rPr>
            <w:rFonts w:ascii="Times New Roman" w:hAnsi="Times New Roman" w:cs="Times New Roman"/>
          </w:rPr>
          <w:instrText>PAGE   \* MERGEFORMAT</w:instrText>
        </w:r>
        <w:r w:rsidRPr="007510F9">
          <w:rPr>
            <w:rFonts w:ascii="Times New Roman" w:hAnsi="Times New Roman" w:cs="Times New Roman"/>
          </w:rPr>
          <w:fldChar w:fldCharType="separate"/>
        </w:r>
        <w:r w:rsidR="00584399">
          <w:rPr>
            <w:rFonts w:ascii="Times New Roman" w:hAnsi="Times New Roman" w:cs="Times New Roman"/>
            <w:noProof/>
          </w:rPr>
          <w:t>8</w:t>
        </w:r>
        <w:r w:rsidRPr="007510F9">
          <w:rPr>
            <w:rFonts w:ascii="Times New Roman" w:hAnsi="Times New Roman" w:cs="Times New Roman"/>
          </w:rPr>
          <w:fldChar w:fldCharType="end"/>
        </w:r>
      </w:p>
    </w:sdtContent>
  </w:sdt>
  <w:p w14:paraId="52F61E9C" w14:textId="77777777" w:rsidR="006E34EC" w:rsidRDefault="006E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7D1"/>
    <w:multiLevelType w:val="multilevel"/>
    <w:tmpl w:val="6664730C"/>
    <w:lvl w:ilvl="0">
      <w:start w:val="58"/>
      <w:numFmt w:val="decimal"/>
      <w:lvlText w:val="%1."/>
      <w:lvlJc w:val="left"/>
      <w:pPr>
        <w:ind w:left="705" w:hanging="705"/>
      </w:pPr>
      <w:rPr>
        <w:rFonts w:hint="default"/>
      </w:rPr>
    </w:lvl>
    <w:lvl w:ilvl="1">
      <w:start w:val="13"/>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1E33A7"/>
    <w:multiLevelType w:val="hybridMultilevel"/>
    <w:tmpl w:val="7DD85E52"/>
    <w:lvl w:ilvl="0" w:tplc="EC983988">
      <w:start w:val="17"/>
      <w:numFmt w:val="decimal"/>
      <w:lvlText w:val="%1."/>
      <w:lvlJc w:val="left"/>
      <w:pPr>
        <w:ind w:left="1211" w:hanging="360"/>
      </w:pPr>
      <w:rPr>
        <w:rFonts w:hint="default"/>
        <w:i w:val="0"/>
        <w:color w:val="auto"/>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F486948"/>
    <w:multiLevelType w:val="multilevel"/>
    <w:tmpl w:val="57BEA7C8"/>
    <w:lvl w:ilvl="0">
      <w:start w:val="5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715818"/>
    <w:multiLevelType w:val="multilevel"/>
    <w:tmpl w:val="AB94E7E2"/>
    <w:lvl w:ilvl="0">
      <w:start w:val="42"/>
      <w:numFmt w:val="decimal"/>
      <w:lvlText w:val="%1."/>
      <w:lvlJc w:val="left"/>
      <w:pPr>
        <w:ind w:left="435" w:hanging="435"/>
      </w:pPr>
      <w:rPr>
        <w:rFonts w:eastAsia="Times New Roman" w:hint="default"/>
      </w:rPr>
    </w:lvl>
    <w:lvl w:ilvl="1">
      <w:start w:val="3"/>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6879258E"/>
    <w:multiLevelType w:val="multilevel"/>
    <w:tmpl w:val="D10090E4"/>
    <w:lvl w:ilvl="0">
      <w:start w:val="4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AF"/>
    <w:rsid w:val="00000871"/>
    <w:rsid w:val="000056DB"/>
    <w:rsid w:val="000100E3"/>
    <w:rsid w:val="00011FBD"/>
    <w:rsid w:val="000131E0"/>
    <w:rsid w:val="00013E2C"/>
    <w:rsid w:val="00016325"/>
    <w:rsid w:val="00017B28"/>
    <w:rsid w:val="000201AC"/>
    <w:rsid w:val="0002252E"/>
    <w:rsid w:val="00025A92"/>
    <w:rsid w:val="00036754"/>
    <w:rsid w:val="00036DE1"/>
    <w:rsid w:val="00045CBC"/>
    <w:rsid w:val="00050F95"/>
    <w:rsid w:val="00051D73"/>
    <w:rsid w:val="00061283"/>
    <w:rsid w:val="000655CF"/>
    <w:rsid w:val="00066B66"/>
    <w:rsid w:val="00066EB8"/>
    <w:rsid w:val="0006731B"/>
    <w:rsid w:val="0007139E"/>
    <w:rsid w:val="00071B99"/>
    <w:rsid w:val="00076F3A"/>
    <w:rsid w:val="00077028"/>
    <w:rsid w:val="000813FB"/>
    <w:rsid w:val="000819D0"/>
    <w:rsid w:val="00082774"/>
    <w:rsid w:val="00086B4D"/>
    <w:rsid w:val="00091786"/>
    <w:rsid w:val="00091950"/>
    <w:rsid w:val="000978FA"/>
    <w:rsid w:val="000B3A43"/>
    <w:rsid w:val="000B433B"/>
    <w:rsid w:val="000B634F"/>
    <w:rsid w:val="000B6BD1"/>
    <w:rsid w:val="000C0DDE"/>
    <w:rsid w:val="000C1968"/>
    <w:rsid w:val="000C7359"/>
    <w:rsid w:val="000D1BE6"/>
    <w:rsid w:val="000D3BA5"/>
    <w:rsid w:val="000E31E0"/>
    <w:rsid w:val="000E6FA6"/>
    <w:rsid w:val="000E7CB0"/>
    <w:rsid w:val="000F169E"/>
    <w:rsid w:val="000F535F"/>
    <w:rsid w:val="000F5CB8"/>
    <w:rsid w:val="00106EDC"/>
    <w:rsid w:val="001170C3"/>
    <w:rsid w:val="00122B35"/>
    <w:rsid w:val="00123FEE"/>
    <w:rsid w:val="0013493C"/>
    <w:rsid w:val="00135942"/>
    <w:rsid w:val="00141179"/>
    <w:rsid w:val="00142860"/>
    <w:rsid w:val="00142977"/>
    <w:rsid w:val="001435B4"/>
    <w:rsid w:val="001435E2"/>
    <w:rsid w:val="0014387B"/>
    <w:rsid w:val="001506A1"/>
    <w:rsid w:val="001550EF"/>
    <w:rsid w:val="00160598"/>
    <w:rsid w:val="00160673"/>
    <w:rsid w:val="001650B1"/>
    <w:rsid w:val="00165796"/>
    <w:rsid w:val="00166C3D"/>
    <w:rsid w:val="00173C81"/>
    <w:rsid w:val="00183D66"/>
    <w:rsid w:val="00184777"/>
    <w:rsid w:val="00184B49"/>
    <w:rsid w:val="0018565E"/>
    <w:rsid w:val="00190FEE"/>
    <w:rsid w:val="00191F6A"/>
    <w:rsid w:val="001932DA"/>
    <w:rsid w:val="0019568B"/>
    <w:rsid w:val="001A42AA"/>
    <w:rsid w:val="001A444D"/>
    <w:rsid w:val="001B017E"/>
    <w:rsid w:val="001B025C"/>
    <w:rsid w:val="001B04F2"/>
    <w:rsid w:val="001B4938"/>
    <w:rsid w:val="001B75CF"/>
    <w:rsid w:val="001C2E82"/>
    <w:rsid w:val="001C48C0"/>
    <w:rsid w:val="001D4A2A"/>
    <w:rsid w:val="001D5EDA"/>
    <w:rsid w:val="001D6C55"/>
    <w:rsid w:val="001E4CA4"/>
    <w:rsid w:val="001E6472"/>
    <w:rsid w:val="001F16A9"/>
    <w:rsid w:val="001F16BC"/>
    <w:rsid w:val="001F2C0D"/>
    <w:rsid w:val="001F39C9"/>
    <w:rsid w:val="001F4777"/>
    <w:rsid w:val="001F622B"/>
    <w:rsid w:val="00206D96"/>
    <w:rsid w:val="00207D2F"/>
    <w:rsid w:val="00213015"/>
    <w:rsid w:val="002157B8"/>
    <w:rsid w:val="002215CB"/>
    <w:rsid w:val="00222229"/>
    <w:rsid w:val="0023271F"/>
    <w:rsid w:val="00234510"/>
    <w:rsid w:val="00237224"/>
    <w:rsid w:val="002376DC"/>
    <w:rsid w:val="0024508C"/>
    <w:rsid w:val="00257F43"/>
    <w:rsid w:val="0026151A"/>
    <w:rsid w:val="00261CA4"/>
    <w:rsid w:val="00264ADB"/>
    <w:rsid w:val="00272632"/>
    <w:rsid w:val="002732A4"/>
    <w:rsid w:val="002865CD"/>
    <w:rsid w:val="00286F93"/>
    <w:rsid w:val="00287441"/>
    <w:rsid w:val="00293FE4"/>
    <w:rsid w:val="002943DF"/>
    <w:rsid w:val="002A2705"/>
    <w:rsid w:val="002A33B6"/>
    <w:rsid w:val="002A374C"/>
    <w:rsid w:val="002A54D1"/>
    <w:rsid w:val="002A5512"/>
    <w:rsid w:val="002B059E"/>
    <w:rsid w:val="002B2CBF"/>
    <w:rsid w:val="002B4859"/>
    <w:rsid w:val="002B672F"/>
    <w:rsid w:val="002C0B21"/>
    <w:rsid w:val="002C7DE0"/>
    <w:rsid w:val="002D0391"/>
    <w:rsid w:val="002D262D"/>
    <w:rsid w:val="002D2AEF"/>
    <w:rsid w:val="002D75A8"/>
    <w:rsid w:val="002E02B4"/>
    <w:rsid w:val="002E559F"/>
    <w:rsid w:val="002E59CC"/>
    <w:rsid w:val="002F1DBA"/>
    <w:rsid w:val="002F6D5D"/>
    <w:rsid w:val="00304641"/>
    <w:rsid w:val="0031320E"/>
    <w:rsid w:val="00313988"/>
    <w:rsid w:val="003151FA"/>
    <w:rsid w:val="003161A8"/>
    <w:rsid w:val="00316FDB"/>
    <w:rsid w:val="003174EE"/>
    <w:rsid w:val="00322ABE"/>
    <w:rsid w:val="00324DFA"/>
    <w:rsid w:val="003278CF"/>
    <w:rsid w:val="00331A7D"/>
    <w:rsid w:val="00337352"/>
    <w:rsid w:val="003408F5"/>
    <w:rsid w:val="003605D7"/>
    <w:rsid w:val="00362B87"/>
    <w:rsid w:val="00365030"/>
    <w:rsid w:val="00366FFA"/>
    <w:rsid w:val="00373760"/>
    <w:rsid w:val="00376C57"/>
    <w:rsid w:val="00380F05"/>
    <w:rsid w:val="0038177F"/>
    <w:rsid w:val="0038332E"/>
    <w:rsid w:val="00384DF1"/>
    <w:rsid w:val="003861EB"/>
    <w:rsid w:val="003902B7"/>
    <w:rsid w:val="00397828"/>
    <w:rsid w:val="003A3481"/>
    <w:rsid w:val="003A57BD"/>
    <w:rsid w:val="003C13B4"/>
    <w:rsid w:val="003C1E74"/>
    <w:rsid w:val="003C2F2A"/>
    <w:rsid w:val="003C68D8"/>
    <w:rsid w:val="003D2D26"/>
    <w:rsid w:val="003D2E78"/>
    <w:rsid w:val="003D6708"/>
    <w:rsid w:val="003E1008"/>
    <w:rsid w:val="003E157E"/>
    <w:rsid w:val="003E2A64"/>
    <w:rsid w:val="003E6069"/>
    <w:rsid w:val="003E77B8"/>
    <w:rsid w:val="003F31FA"/>
    <w:rsid w:val="003F417B"/>
    <w:rsid w:val="004139D3"/>
    <w:rsid w:val="004139DB"/>
    <w:rsid w:val="0041763A"/>
    <w:rsid w:val="00417A3B"/>
    <w:rsid w:val="00417E90"/>
    <w:rsid w:val="00421254"/>
    <w:rsid w:val="00421C7A"/>
    <w:rsid w:val="004238C0"/>
    <w:rsid w:val="004276E7"/>
    <w:rsid w:val="0043779C"/>
    <w:rsid w:val="004407FB"/>
    <w:rsid w:val="00442DCA"/>
    <w:rsid w:val="004431A1"/>
    <w:rsid w:val="00447969"/>
    <w:rsid w:val="00447A35"/>
    <w:rsid w:val="00454949"/>
    <w:rsid w:val="00464AD4"/>
    <w:rsid w:val="004671A7"/>
    <w:rsid w:val="0047671B"/>
    <w:rsid w:val="004769E3"/>
    <w:rsid w:val="0048045E"/>
    <w:rsid w:val="004827C0"/>
    <w:rsid w:val="00485D87"/>
    <w:rsid w:val="00493034"/>
    <w:rsid w:val="00493A30"/>
    <w:rsid w:val="004A2B33"/>
    <w:rsid w:val="004A525E"/>
    <w:rsid w:val="004B0CB9"/>
    <w:rsid w:val="004B1E80"/>
    <w:rsid w:val="004B33A5"/>
    <w:rsid w:val="004D1FDF"/>
    <w:rsid w:val="004E262E"/>
    <w:rsid w:val="004F09F0"/>
    <w:rsid w:val="004F12F9"/>
    <w:rsid w:val="004F49D9"/>
    <w:rsid w:val="004F505C"/>
    <w:rsid w:val="004F5AC2"/>
    <w:rsid w:val="00500523"/>
    <w:rsid w:val="00501858"/>
    <w:rsid w:val="00502C8A"/>
    <w:rsid w:val="00510E59"/>
    <w:rsid w:val="00522A49"/>
    <w:rsid w:val="0052799B"/>
    <w:rsid w:val="005410E1"/>
    <w:rsid w:val="00552C0F"/>
    <w:rsid w:val="00555F40"/>
    <w:rsid w:val="00564EEE"/>
    <w:rsid w:val="005653FE"/>
    <w:rsid w:val="005657AB"/>
    <w:rsid w:val="00584399"/>
    <w:rsid w:val="00585148"/>
    <w:rsid w:val="005912A0"/>
    <w:rsid w:val="005927FB"/>
    <w:rsid w:val="00592B69"/>
    <w:rsid w:val="005A228C"/>
    <w:rsid w:val="005A3CF8"/>
    <w:rsid w:val="005A55A4"/>
    <w:rsid w:val="005A56D9"/>
    <w:rsid w:val="005C3D17"/>
    <w:rsid w:val="005D02A3"/>
    <w:rsid w:val="005D078A"/>
    <w:rsid w:val="005D518E"/>
    <w:rsid w:val="005F7F4F"/>
    <w:rsid w:val="006053AC"/>
    <w:rsid w:val="0060791C"/>
    <w:rsid w:val="006157C1"/>
    <w:rsid w:val="00616AA4"/>
    <w:rsid w:val="00623222"/>
    <w:rsid w:val="00625C8D"/>
    <w:rsid w:val="0063012D"/>
    <w:rsid w:val="00632BAD"/>
    <w:rsid w:val="0063546C"/>
    <w:rsid w:val="00636D7C"/>
    <w:rsid w:val="00637CE9"/>
    <w:rsid w:val="00641A1E"/>
    <w:rsid w:val="00646CB3"/>
    <w:rsid w:val="00656C7E"/>
    <w:rsid w:val="00660D49"/>
    <w:rsid w:val="00663F21"/>
    <w:rsid w:val="0066768B"/>
    <w:rsid w:val="00672A34"/>
    <w:rsid w:val="00674237"/>
    <w:rsid w:val="0067782D"/>
    <w:rsid w:val="00680B6E"/>
    <w:rsid w:val="00681710"/>
    <w:rsid w:val="00682F89"/>
    <w:rsid w:val="00683EA7"/>
    <w:rsid w:val="006841AD"/>
    <w:rsid w:val="006853C7"/>
    <w:rsid w:val="00685449"/>
    <w:rsid w:val="00686FAB"/>
    <w:rsid w:val="006A0C46"/>
    <w:rsid w:val="006A1B56"/>
    <w:rsid w:val="006A40E6"/>
    <w:rsid w:val="006B2C21"/>
    <w:rsid w:val="006C06E8"/>
    <w:rsid w:val="006C0B2B"/>
    <w:rsid w:val="006C1944"/>
    <w:rsid w:val="006C5A75"/>
    <w:rsid w:val="006D0984"/>
    <w:rsid w:val="006D108A"/>
    <w:rsid w:val="006D6242"/>
    <w:rsid w:val="006D73B5"/>
    <w:rsid w:val="006E015F"/>
    <w:rsid w:val="006E34EC"/>
    <w:rsid w:val="006E4C09"/>
    <w:rsid w:val="006F01DF"/>
    <w:rsid w:val="006F606E"/>
    <w:rsid w:val="00705C60"/>
    <w:rsid w:val="00705EC2"/>
    <w:rsid w:val="0071364D"/>
    <w:rsid w:val="00715545"/>
    <w:rsid w:val="0071728A"/>
    <w:rsid w:val="007201C2"/>
    <w:rsid w:val="00722273"/>
    <w:rsid w:val="00731C27"/>
    <w:rsid w:val="00732E1A"/>
    <w:rsid w:val="0074095D"/>
    <w:rsid w:val="00742EDA"/>
    <w:rsid w:val="007510F9"/>
    <w:rsid w:val="00756588"/>
    <w:rsid w:val="00760225"/>
    <w:rsid w:val="007622BE"/>
    <w:rsid w:val="00766EE4"/>
    <w:rsid w:val="00774078"/>
    <w:rsid w:val="007848C6"/>
    <w:rsid w:val="00785157"/>
    <w:rsid w:val="007913C9"/>
    <w:rsid w:val="007A2795"/>
    <w:rsid w:val="007A58AE"/>
    <w:rsid w:val="007A62D9"/>
    <w:rsid w:val="007C0F6B"/>
    <w:rsid w:val="007C4853"/>
    <w:rsid w:val="007C58FE"/>
    <w:rsid w:val="007D0923"/>
    <w:rsid w:val="007D09F9"/>
    <w:rsid w:val="007E02F7"/>
    <w:rsid w:val="007E17F3"/>
    <w:rsid w:val="007E7C57"/>
    <w:rsid w:val="007F1CC3"/>
    <w:rsid w:val="007F38B8"/>
    <w:rsid w:val="008000CD"/>
    <w:rsid w:val="0080682F"/>
    <w:rsid w:val="008152C8"/>
    <w:rsid w:val="00817BC0"/>
    <w:rsid w:val="00824030"/>
    <w:rsid w:val="00851EB5"/>
    <w:rsid w:val="00856511"/>
    <w:rsid w:val="008606F3"/>
    <w:rsid w:val="00872EFE"/>
    <w:rsid w:val="0087567D"/>
    <w:rsid w:val="008768B4"/>
    <w:rsid w:val="0087750C"/>
    <w:rsid w:val="008806A6"/>
    <w:rsid w:val="00880D84"/>
    <w:rsid w:val="008820ED"/>
    <w:rsid w:val="008856DB"/>
    <w:rsid w:val="00885EC5"/>
    <w:rsid w:val="00886723"/>
    <w:rsid w:val="00897DD7"/>
    <w:rsid w:val="008A73E1"/>
    <w:rsid w:val="008B12BF"/>
    <w:rsid w:val="008B63DB"/>
    <w:rsid w:val="008C1B4E"/>
    <w:rsid w:val="008C400C"/>
    <w:rsid w:val="008C42A7"/>
    <w:rsid w:val="008C7897"/>
    <w:rsid w:val="008D675C"/>
    <w:rsid w:val="008F4ADE"/>
    <w:rsid w:val="009060C7"/>
    <w:rsid w:val="00906CC9"/>
    <w:rsid w:val="0090770D"/>
    <w:rsid w:val="009128CE"/>
    <w:rsid w:val="00914AD6"/>
    <w:rsid w:val="0091531B"/>
    <w:rsid w:val="00915340"/>
    <w:rsid w:val="0091581D"/>
    <w:rsid w:val="00915F43"/>
    <w:rsid w:val="009252D1"/>
    <w:rsid w:val="00940596"/>
    <w:rsid w:val="00940FC8"/>
    <w:rsid w:val="00941BAE"/>
    <w:rsid w:val="00944A13"/>
    <w:rsid w:val="00945B71"/>
    <w:rsid w:val="00947440"/>
    <w:rsid w:val="009552FA"/>
    <w:rsid w:val="00956BB0"/>
    <w:rsid w:val="00967C02"/>
    <w:rsid w:val="009751DC"/>
    <w:rsid w:val="00977B92"/>
    <w:rsid w:val="00983050"/>
    <w:rsid w:val="0098483F"/>
    <w:rsid w:val="00995035"/>
    <w:rsid w:val="00996B71"/>
    <w:rsid w:val="009A0809"/>
    <w:rsid w:val="009A53F4"/>
    <w:rsid w:val="009B1A88"/>
    <w:rsid w:val="009C73C8"/>
    <w:rsid w:val="009D1781"/>
    <w:rsid w:val="009D6070"/>
    <w:rsid w:val="009D7B46"/>
    <w:rsid w:val="009E0852"/>
    <w:rsid w:val="009E4191"/>
    <w:rsid w:val="009E47AB"/>
    <w:rsid w:val="009E7707"/>
    <w:rsid w:val="009F0D14"/>
    <w:rsid w:val="009F508B"/>
    <w:rsid w:val="009F7606"/>
    <w:rsid w:val="009F79BE"/>
    <w:rsid w:val="00A02A3B"/>
    <w:rsid w:val="00A05092"/>
    <w:rsid w:val="00A06EFD"/>
    <w:rsid w:val="00A1072B"/>
    <w:rsid w:val="00A173F7"/>
    <w:rsid w:val="00A20A18"/>
    <w:rsid w:val="00A220BE"/>
    <w:rsid w:val="00A226B1"/>
    <w:rsid w:val="00A231D2"/>
    <w:rsid w:val="00A269D5"/>
    <w:rsid w:val="00A30D57"/>
    <w:rsid w:val="00A31194"/>
    <w:rsid w:val="00A31649"/>
    <w:rsid w:val="00A33E0D"/>
    <w:rsid w:val="00A3751B"/>
    <w:rsid w:val="00A375E7"/>
    <w:rsid w:val="00A42376"/>
    <w:rsid w:val="00A443C6"/>
    <w:rsid w:val="00A46464"/>
    <w:rsid w:val="00A54D78"/>
    <w:rsid w:val="00A6466A"/>
    <w:rsid w:val="00A64E25"/>
    <w:rsid w:val="00A66F8D"/>
    <w:rsid w:val="00A707F0"/>
    <w:rsid w:val="00A71C7B"/>
    <w:rsid w:val="00A72372"/>
    <w:rsid w:val="00A751AA"/>
    <w:rsid w:val="00A76907"/>
    <w:rsid w:val="00A81316"/>
    <w:rsid w:val="00A83B72"/>
    <w:rsid w:val="00A84E28"/>
    <w:rsid w:val="00AA2E75"/>
    <w:rsid w:val="00AB67F4"/>
    <w:rsid w:val="00AB68A9"/>
    <w:rsid w:val="00AC02D6"/>
    <w:rsid w:val="00AC14E3"/>
    <w:rsid w:val="00AC1A7E"/>
    <w:rsid w:val="00AC2513"/>
    <w:rsid w:val="00AC2BEC"/>
    <w:rsid w:val="00AC3E05"/>
    <w:rsid w:val="00AC5083"/>
    <w:rsid w:val="00AD115A"/>
    <w:rsid w:val="00AD4600"/>
    <w:rsid w:val="00AD52EB"/>
    <w:rsid w:val="00AD563A"/>
    <w:rsid w:val="00AD6E43"/>
    <w:rsid w:val="00AE322C"/>
    <w:rsid w:val="00AE57F8"/>
    <w:rsid w:val="00AF2FAF"/>
    <w:rsid w:val="00AF4A1E"/>
    <w:rsid w:val="00B00BB8"/>
    <w:rsid w:val="00B03C19"/>
    <w:rsid w:val="00B04FD6"/>
    <w:rsid w:val="00B05DCC"/>
    <w:rsid w:val="00B10F36"/>
    <w:rsid w:val="00B11D62"/>
    <w:rsid w:val="00B1333E"/>
    <w:rsid w:val="00B14D36"/>
    <w:rsid w:val="00B1563C"/>
    <w:rsid w:val="00B15840"/>
    <w:rsid w:val="00B15E76"/>
    <w:rsid w:val="00B22480"/>
    <w:rsid w:val="00B327E2"/>
    <w:rsid w:val="00B34BCA"/>
    <w:rsid w:val="00B363A8"/>
    <w:rsid w:val="00B369F0"/>
    <w:rsid w:val="00B419F0"/>
    <w:rsid w:val="00B4369C"/>
    <w:rsid w:val="00B44C66"/>
    <w:rsid w:val="00B45D75"/>
    <w:rsid w:val="00B47876"/>
    <w:rsid w:val="00B5185B"/>
    <w:rsid w:val="00B575DE"/>
    <w:rsid w:val="00B67F8E"/>
    <w:rsid w:val="00B738EB"/>
    <w:rsid w:val="00B74960"/>
    <w:rsid w:val="00B75338"/>
    <w:rsid w:val="00B810DE"/>
    <w:rsid w:val="00B8365A"/>
    <w:rsid w:val="00B84847"/>
    <w:rsid w:val="00B90899"/>
    <w:rsid w:val="00B9375B"/>
    <w:rsid w:val="00B9781E"/>
    <w:rsid w:val="00BA3B29"/>
    <w:rsid w:val="00BA4812"/>
    <w:rsid w:val="00BA66F4"/>
    <w:rsid w:val="00BA7330"/>
    <w:rsid w:val="00BB0C27"/>
    <w:rsid w:val="00BB2B29"/>
    <w:rsid w:val="00BB2F49"/>
    <w:rsid w:val="00BB437C"/>
    <w:rsid w:val="00BC3763"/>
    <w:rsid w:val="00BD239A"/>
    <w:rsid w:val="00BD7323"/>
    <w:rsid w:val="00BD7A9D"/>
    <w:rsid w:val="00BE0262"/>
    <w:rsid w:val="00BE0F54"/>
    <w:rsid w:val="00BE3009"/>
    <w:rsid w:val="00BF0FC9"/>
    <w:rsid w:val="00BF4889"/>
    <w:rsid w:val="00BF73D8"/>
    <w:rsid w:val="00BF7692"/>
    <w:rsid w:val="00BF7A79"/>
    <w:rsid w:val="00C060A9"/>
    <w:rsid w:val="00C0666A"/>
    <w:rsid w:val="00C157D9"/>
    <w:rsid w:val="00C22D6F"/>
    <w:rsid w:val="00C25917"/>
    <w:rsid w:val="00C303BA"/>
    <w:rsid w:val="00C33F46"/>
    <w:rsid w:val="00C355F1"/>
    <w:rsid w:val="00C35EAB"/>
    <w:rsid w:val="00C423C2"/>
    <w:rsid w:val="00C55116"/>
    <w:rsid w:val="00C5597B"/>
    <w:rsid w:val="00C56A46"/>
    <w:rsid w:val="00C60430"/>
    <w:rsid w:val="00C708FD"/>
    <w:rsid w:val="00C76E44"/>
    <w:rsid w:val="00C81503"/>
    <w:rsid w:val="00C83C0D"/>
    <w:rsid w:val="00C93FD3"/>
    <w:rsid w:val="00C97CBC"/>
    <w:rsid w:val="00CB1244"/>
    <w:rsid w:val="00CB15F6"/>
    <w:rsid w:val="00CB4563"/>
    <w:rsid w:val="00CB7985"/>
    <w:rsid w:val="00CC05BF"/>
    <w:rsid w:val="00CC2ABC"/>
    <w:rsid w:val="00CC560B"/>
    <w:rsid w:val="00CD2548"/>
    <w:rsid w:val="00CD4EF0"/>
    <w:rsid w:val="00CD6805"/>
    <w:rsid w:val="00CE19FF"/>
    <w:rsid w:val="00CF4513"/>
    <w:rsid w:val="00CF5EDD"/>
    <w:rsid w:val="00CF682A"/>
    <w:rsid w:val="00D104E9"/>
    <w:rsid w:val="00D15C13"/>
    <w:rsid w:val="00D165D7"/>
    <w:rsid w:val="00D171C8"/>
    <w:rsid w:val="00D24C18"/>
    <w:rsid w:val="00D319CE"/>
    <w:rsid w:val="00D337AA"/>
    <w:rsid w:val="00D351E2"/>
    <w:rsid w:val="00D4793D"/>
    <w:rsid w:val="00D47BDE"/>
    <w:rsid w:val="00D5123C"/>
    <w:rsid w:val="00D52AF4"/>
    <w:rsid w:val="00D544DE"/>
    <w:rsid w:val="00D71CEE"/>
    <w:rsid w:val="00D7215C"/>
    <w:rsid w:val="00D72D14"/>
    <w:rsid w:val="00D80CBF"/>
    <w:rsid w:val="00D82D5B"/>
    <w:rsid w:val="00D83ABF"/>
    <w:rsid w:val="00D84800"/>
    <w:rsid w:val="00D84E47"/>
    <w:rsid w:val="00D902BD"/>
    <w:rsid w:val="00D95E12"/>
    <w:rsid w:val="00D95E64"/>
    <w:rsid w:val="00D9651E"/>
    <w:rsid w:val="00D96F48"/>
    <w:rsid w:val="00DA177B"/>
    <w:rsid w:val="00DA44D5"/>
    <w:rsid w:val="00DC13D2"/>
    <w:rsid w:val="00DC6A84"/>
    <w:rsid w:val="00DD223C"/>
    <w:rsid w:val="00DD2F63"/>
    <w:rsid w:val="00DD483A"/>
    <w:rsid w:val="00DD70B5"/>
    <w:rsid w:val="00DE5D64"/>
    <w:rsid w:val="00DF512D"/>
    <w:rsid w:val="00E01DBC"/>
    <w:rsid w:val="00E05A97"/>
    <w:rsid w:val="00E05F3E"/>
    <w:rsid w:val="00E1363C"/>
    <w:rsid w:val="00E21BE9"/>
    <w:rsid w:val="00E32A55"/>
    <w:rsid w:val="00E36C96"/>
    <w:rsid w:val="00E50204"/>
    <w:rsid w:val="00E503A0"/>
    <w:rsid w:val="00E556EE"/>
    <w:rsid w:val="00E5721D"/>
    <w:rsid w:val="00E578EC"/>
    <w:rsid w:val="00E60B1D"/>
    <w:rsid w:val="00E632C3"/>
    <w:rsid w:val="00E712C4"/>
    <w:rsid w:val="00E72302"/>
    <w:rsid w:val="00E72A33"/>
    <w:rsid w:val="00E73337"/>
    <w:rsid w:val="00E768AE"/>
    <w:rsid w:val="00E76D0B"/>
    <w:rsid w:val="00E900BD"/>
    <w:rsid w:val="00E90A38"/>
    <w:rsid w:val="00E93F72"/>
    <w:rsid w:val="00E95259"/>
    <w:rsid w:val="00EA6186"/>
    <w:rsid w:val="00EA672A"/>
    <w:rsid w:val="00EA7F50"/>
    <w:rsid w:val="00EB4065"/>
    <w:rsid w:val="00EC1719"/>
    <w:rsid w:val="00EC1A1F"/>
    <w:rsid w:val="00EC425A"/>
    <w:rsid w:val="00EC5D45"/>
    <w:rsid w:val="00ED1F65"/>
    <w:rsid w:val="00ED3970"/>
    <w:rsid w:val="00ED7E29"/>
    <w:rsid w:val="00EE3ABC"/>
    <w:rsid w:val="00F05D8A"/>
    <w:rsid w:val="00F05DCB"/>
    <w:rsid w:val="00F07CA1"/>
    <w:rsid w:val="00F31693"/>
    <w:rsid w:val="00F319EA"/>
    <w:rsid w:val="00F369EF"/>
    <w:rsid w:val="00F4061D"/>
    <w:rsid w:val="00F42FB3"/>
    <w:rsid w:val="00F52D92"/>
    <w:rsid w:val="00F61490"/>
    <w:rsid w:val="00F66F03"/>
    <w:rsid w:val="00F71A4F"/>
    <w:rsid w:val="00F729A1"/>
    <w:rsid w:val="00F77B5B"/>
    <w:rsid w:val="00F94F6B"/>
    <w:rsid w:val="00FA182D"/>
    <w:rsid w:val="00FB6BD3"/>
    <w:rsid w:val="00FC1AE2"/>
    <w:rsid w:val="00FC2545"/>
    <w:rsid w:val="00FC4AAC"/>
    <w:rsid w:val="00FC5E0F"/>
    <w:rsid w:val="00FC7264"/>
    <w:rsid w:val="00FC73A5"/>
    <w:rsid w:val="00FD37C8"/>
    <w:rsid w:val="00FD6CDC"/>
    <w:rsid w:val="00FD7139"/>
    <w:rsid w:val="00FE226E"/>
    <w:rsid w:val="00FE5CEA"/>
    <w:rsid w:val="00FF2059"/>
    <w:rsid w:val="00FF4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71A083A"/>
  <w15:docId w15:val="{172D2D37-34AB-4D73-964A-300E3348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40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F6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2F63"/>
  </w:style>
  <w:style w:type="paragraph" w:styleId="Footer">
    <w:name w:val="footer"/>
    <w:basedOn w:val="Normal"/>
    <w:link w:val="FooterChar"/>
    <w:uiPriority w:val="99"/>
    <w:unhideWhenUsed/>
    <w:rsid w:val="00DD2F6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D2F63"/>
  </w:style>
  <w:style w:type="paragraph" w:styleId="BalloonText">
    <w:name w:val="Balloon Text"/>
    <w:basedOn w:val="Normal"/>
    <w:link w:val="BalloonTextChar"/>
    <w:uiPriority w:val="99"/>
    <w:semiHidden/>
    <w:unhideWhenUsed/>
    <w:rsid w:val="00B84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47"/>
    <w:rPr>
      <w:rFonts w:ascii="Segoe UI" w:hAnsi="Segoe UI" w:cs="Segoe UI"/>
      <w:sz w:val="18"/>
      <w:szCs w:val="18"/>
    </w:rPr>
  </w:style>
  <w:style w:type="character" w:styleId="CommentReference">
    <w:name w:val="annotation reference"/>
    <w:basedOn w:val="DefaultParagraphFont"/>
    <w:uiPriority w:val="99"/>
    <w:semiHidden/>
    <w:unhideWhenUsed/>
    <w:rsid w:val="00376C57"/>
    <w:rPr>
      <w:sz w:val="16"/>
      <w:szCs w:val="16"/>
    </w:rPr>
  </w:style>
  <w:style w:type="paragraph" w:styleId="CommentText">
    <w:name w:val="annotation text"/>
    <w:basedOn w:val="Normal"/>
    <w:link w:val="CommentTextChar"/>
    <w:uiPriority w:val="99"/>
    <w:semiHidden/>
    <w:unhideWhenUsed/>
    <w:rsid w:val="00376C57"/>
    <w:pPr>
      <w:spacing w:line="240" w:lineRule="auto"/>
    </w:pPr>
    <w:rPr>
      <w:sz w:val="20"/>
      <w:szCs w:val="20"/>
    </w:rPr>
  </w:style>
  <w:style w:type="character" w:customStyle="1" w:styleId="CommentTextChar">
    <w:name w:val="Comment Text Char"/>
    <w:basedOn w:val="DefaultParagraphFont"/>
    <w:link w:val="CommentText"/>
    <w:uiPriority w:val="99"/>
    <w:semiHidden/>
    <w:rsid w:val="00376C57"/>
    <w:rPr>
      <w:sz w:val="20"/>
      <w:szCs w:val="20"/>
    </w:rPr>
  </w:style>
  <w:style w:type="paragraph" w:styleId="CommentSubject">
    <w:name w:val="annotation subject"/>
    <w:basedOn w:val="CommentText"/>
    <w:next w:val="CommentText"/>
    <w:link w:val="CommentSubjectChar"/>
    <w:uiPriority w:val="99"/>
    <w:semiHidden/>
    <w:unhideWhenUsed/>
    <w:rsid w:val="00376C57"/>
    <w:rPr>
      <w:b/>
      <w:bCs/>
    </w:rPr>
  </w:style>
  <w:style w:type="character" w:customStyle="1" w:styleId="CommentSubjectChar">
    <w:name w:val="Comment Subject Char"/>
    <w:basedOn w:val="CommentTextChar"/>
    <w:link w:val="CommentSubject"/>
    <w:uiPriority w:val="99"/>
    <w:semiHidden/>
    <w:rsid w:val="00376C57"/>
    <w:rPr>
      <w:b/>
      <w:bCs/>
      <w:sz w:val="20"/>
      <w:szCs w:val="20"/>
    </w:rPr>
  </w:style>
  <w:style w:type="paragraph" w:styleId="NormalWeb">
    <w:name w:val="Normal (Web)"/>
    <w:basedOn w:val="Normal"/>
    <w:uiPriority w:val="99"/>
    <w:unhideWhenUsed/>
    <w:rsid w:val="0048045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8045E"/>
    <w:rPr>
      <w:b/>
      <w:bCs/>
    </w:rPr>
  </w:style>
  <w:style w:type="character" w:styleId="Hyperlink">
    <w:name w:val="Hyperlink"/>
    <w:basedOn w:val="DefaultParagraphFont"/>
    <w:uiPriority w:val="99"/>
    <w:unhideWhenUsed/>
    <w:rsid w:val="005A228C"/>
    <w:rPr>
      <w:color w:val="0563C1" w:themeColor="hyperlink"/>
      <w:u w:val="single"/>
    </w:rPr>
  </w:style>
  <w:style w:type="character" w:styleId="FollowedHyperlink">
    <w:name w:val="FollowedHyperlink"/>
    <w:basedOn w:val="DefaultParagraphFont"/>
    <w:uiPriority w:val="99"/>
    <w:semiHidden/>
    <w:unhideWhenUsed/>
    <w:rsid w:val="00705C60"/>
    <w:rPr>
      <w:color w:val="954F72" w:themeColor="followedHyperlink"/>
      <w:u w:val="single"/>
    </w:rPr>
  </w:style>
  <w:style w:type="paragraph" w:styleId="ListParagraph">
    <w:name w:val="List Paragraph"/>
    <w:basedOn w:val="Normal"/>
    <w:uiPriority w:val="34"/>
    <w:qFormat/>
    <w:rsid w:val="00293FE4"/>
    <w:pPr>
      <w:spacing w:after="0" w:line="240" w:lineRule="auto"/>
      <w:ind w:left="720" w:firstLine="851"/>
      <w:contextualSpacing/>
      <w:jc w:val="both"/>
    </w:pPr>
    <w:rPr>
      <w:rFonts w:ascii="Times New Roman" w:hAnsi="Times New Roman" w:cs="Times New Roman"/>
      <w:sz w:val="24"/>
      <w:szCs w:val="24"/>
    </w:rPr>
  </w:style>
  <w:style w:type="character" w:customStyle="1" w:styleId="footer-left-span1">
    <w:name w:val="footer-left-span1"/>
    <w:basedOn w:val="DefaultParagraphFont"/>
    <w:rsid w:val="005A3CF8"/>
    <w:rPr>
      <w:vanish w:val="0"/>
      <w:webHidden w:val="0"/>
      <w:specVanish w:val="0"/>
    </w:rPr>
  </w:style>
  <w:style w:type="paragraph" w:styleId="PlainText">
    <w:name w:val="Plain Text"/>
    <w:basedOn w:val="Normal"/>
    <w:link w:val="PlainTextChar"/>
    <w:uiPriority w:val="99"/>
    <w:unhideWhenUsed/>
    <w:rsid w:val="00CB124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CB1244"/>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43270">
      <w:bodyDiv w:val="1"/>
      <w:marLeft w:val="0"/>
      <w:marRight w:val="0"/>
      <w:marTop w:val="0"/>
      <w:marBottom w:val="0"/>
      <w:divBdr>
        <w:top w:val="none" w:sz="0" w:space="0" w:color="auto"/>
        <w:left w:val="none" w:sz="0" w:space="0" w:color="auto"/>
        <w:bottom w:val="none" w:sz="0" w:space="0" w:color="auto"/>
        <w:right w:val="none" w:sz="0" w:space="0" w:color="auto"/>
      </w:divBdr>
    </w:div>
    <w:div w:id="861477529">
      <w:bodyDiv w:val="1"/>
      <w:marLeft w:val="0"/>
      <w:marRight w:val="0"/>
      <w:marTop w:val="0"/>
      <w:marBottom w:val="0"/>
      <w:divBdr>
        <w:top w:val="none" w:sz="0" w:space="0" w:color="auto"/>
        <w:left w:val="none" w:sz="0" w:space="0" w:color="auto"/>
        <w:bottom w:val="none" w:sz="0" w:space="0" w:color="auto"/>
        <w:right w:val="none" w:sz="0" w:space="0" w:color="auto"/>
      </w:divBdr>
    </w:div>
    <w:div w:id="8941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C8837-87F7-4C59-83DC-EB246BA3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9</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Marceliene</dc:creator>
  <cp:keywords/>
  <dc:description/>
  <cp:lastModifiedBy>Ginta Tautkutė</cp:lastModifiedBy>
  <cp:revision>573</cp:revision>
  <dcterms:created xsi:type="dcterms:W3CDTF">2016-04-26T06:51:00Z</dcterms:created>
  <dcterms:modified xsi:type="dcterms:W3CDTF">2017-05-25T08:45:00Z</dcterms:modified>
</cp:coreProperties>
</file>