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5"/>
        <w:tblW w:w="0" w:type="auto"/>
        <w:tblLook w:val="04A0" w:firstRow="1" w:lastRow="0" w:firstColumn="1" w:lastColumn="0" w:noHBand="0" w:noVBand="1"/>
      </w:tblPr>
      <w:tblGrid>
        <w:gridCol w:w="1296"/>
        <w:gridCol w:w="8424"/>
        <w:gridCol w:w="5417"/>
      </w:tblGrid>
      <w:tr w:rsidR="00A82F35" w:rsidRPr="003B1E2F" w14:paraId="3DDD12A8" w14:textId="77777777" w:rsidTr="003B1E2F">
        <w:tc>
          <w:tcPr>
            <w:tcW w:w="15137" w:type="dxa"/>
            <w:gridSpan w:val="3"/>
            <w:tcBorders>
              <w:top w:val="nil"/>
              <w:left w:val="nil"/>
              <w:bottom w:val="nil"/>
              <w:right w:val="nil"/>
            </w:tcBorders>
          </w:tcPr>
          <w:p w14:paraId="4F4601A1" w14:textId="77777777" w:rsidR="00FC0742" w:rsidRPr="00FC0742" w:rsidRDefault="00FC0742" w:rsidP="00FC0742">
            <w:pPr>
              <w:jc w:val="center"/>
              <w:rPr>
                <w:rFonts w:ascii="Times New Roman" w:hAnsi="Times New Roman" w:cs="Times New Roman"/>
                <w:b/>
                <w:caps/>
                <w:sz w:val="24"/>
                <w:szCs w:val="24"/>
              </w:rPr>
            </w:pPr>
            <w:r w:rsidRPr="00FC0742">
              <w:rPr>
                <w:rFonts w:ascii="Times New Roman" w:hAnsi="Times New Roman" w:cs="Times New Roman"/>
                <w:b/>
                <w:caps/>
                <w:sz w:val="24"/>
                <w:szCs w:val="24"/>
              </w:rPr>
              <w:t>PRIEMONIŲ NR. 04.3.2-LVPA</w:t>
            </w:r>
            <w:proofErr w:type="gramStart"/>
            <w:r w:rsidRPr="00FC0742">
              <w:rPr>
                <w:rFonts w:ascii="Times New Roman" w:hAnsi="Times New Roman" w:cs="Times New Roman"/>
                <w:b/>
                <w:caps/>
                <w:sz w:val="24"/>
                <w:szCs w:val="24"/>
              </w:rPr>
              <w:t>-</w:t>
            </w:r>
            <w:proofErr w:type="gramEnd"/>
            <w:r w:rsidRPr="00FC0742">
              <w:rPr>
                <w:rFonts w:ascii="Times New Roman" w:hAnsi="Times New Roman" w:cs="Times New Roman"/>
                <w:b/>
                <w:caps/>
                <w:sz w:val="24"/>
                <w:szCs w:val="24"/>
              </w:rPr>
              <w:t>V-111 „KATILŲ KEITIMAS NAMŲ ŪKIUOSE“ IR 04.1.1-LVPA-K-112 „BIOKURĄ NAUDOJANČIŲ ŠILUMOS GAMYBOS ĮRENGINIŲ KEITIMAS“</w:t>
            </w:r>
          </w:p>
          <w:p w14:paraId="0B28F8CA" w14:textId="4BB96CD5" w:rsidR="00A82F35" w:rsidRPr="003B1E2F" w:rsidRDefault="00FC0742" w:rsidP="00FC0742">
            <w:pPr>
              <w:jc w:val="center"/>
              <w:rPr>
                <w:rFonts w:ascii="Times New Roman" w:hAnsi="Times New Roman" w:cs="Times New Roman"/>
                <w:b/>
                <w:caps/>
                <w:sz w:val="24"/>
                <w:szCs w:val="24"/>
              </w:rPr>
            </w:pPr>
            <w:r w:rsidRPr="00FC0742">
              <w:rPr>
                <w:rFonts w:ascii="Times New Roman" w:hAnsi="Times New Roman" w:cs="Times New Roman"/>
                <w:b/>
                <w:caps/>
                <w:sz w:val="24"/>
                <w:szCs w:val="24"/>
              </w:rPr>
              <w:t>ĮGYVENDINIMO PLANO IR JO PAGRINDIMO DERINIMO SU INSTITUCIJOMIS PAŽYMA</w:t>
            </w:r>
          </w:p>
        </w:tc>
      </w:tr>
      <w:tr w:rsidR="00A82F35" w:rsidRPr="003B1E2F" w14:paraId="549722FC" w14:textId="77777777" w:rsidTr="003B1E2F">
        <w:tc>
          <w:tcPr>
            <w:tcW w:w="15137" w:type="dxa"/>
            <w:gridSpan w:val="3"/>
            <w:tcBorders>
              <w:top w:val="nil"/>
              <w:left w:val="nil"/>
              <w:right w:val="nil"/>
            </w:tcBorders>
          </w:tcPr>
          <w:p w14:paraId="6521967D" w14:textId="77777777" w:rsidR="00A82F35" w:rsidRPr="003B1E2F" w:rsidRDefault="00A82F35" w:rsidP="00714ED0">
            <w:pPr>
              <w:jc w:val="center"/>
              <w:rPr>
                <w:rFonts w:ascii="Times New Roman" w:hAnsi="Times New Roman" w:cs="Times New Roman"/>
                <w:b/>
                <w:sz w:val="24"/>
                <w:szCs w:val="24"/>
              </w:rPr>
            </w:pPr>
          </w:p>
        </w:tc>
      </w:tr>
      <w:tr w:rsidR="00A82F35" w:rsidRPr="003B1E2F" w14:paraId="705A716F" w14:textId="77777777" w:rsidTr="006D62B3">
        <w:tc>
          <w:tcPr>
            <w:tcW w:w="1296" w:type="dxa"/>
          </w:tcPr>
          <w:p w14:paraId="4525F4C3" w14:textId="08E850E2" w:rsidR="00A82F35" w:rsidRPr="003B1E2F" w:rsidRDefault="00A82F35" w:rsidP="00714ED0">
            <w:pPr>
              <w:rPr>
                <w:rFonts w:ascii="Times New Roman" w:hAnsi="Times New Roman" w:cs="Times New Roman"/>
                <w:b/>
                <w:sz w:val="24"/>
                <w:szCs w:val="24"/>
              </w:rPr>
            </w:pPr>
            <w:r w:rsidRPr="003B1E2F">
              <w:rPr>
                <w:rFonts w:ascii="Times New Roman" w:hAnsi="Times New Roman" w:cs="Times New Roman"/>
                <w:b/>
                <w:sz w:val="24"/>
                <w:szCs w:val="24"/>
              </w:rPr>
              <w:t>Eil</w:t>
            </w:r>
            <w:r w:rsidR="00DC56EE">
              <w:rPr>
                <w:rFonts w:ascii="Times New Roman" w:hAnsi="Times New Roman" w:cs="Times New Roman"/>
                <w:b/>
                <w:sz w:val="24"/>
                <w:szCs w:val="24"/>
              </w:rPr>
              <w:t>.</w:t>
            </w:r>
            <w:r w:rsidRPr="003B1E2F">
              <w:rPr>
                <w:rFonts w:ascii="Times New Roman" w:hAnsi="Times New Roman" w:cs="Times New Roman"/>
                <w:b/>
                <w:sz w:val="24"/>
                <w:szCs w:val="24"/>
              </w:rPr>
              <w:t xml:space="preserve"> Nr. </w:t>
            </w:r>
          </w:p>
        </w:tc>
        <w:tc>
          <w:tcPr>
            <w:tcW w:w="8424" w:type="dxa"/>
          </w:tcPr>
          <w:p w14:paraId="5C2BC729" w14:textId="77777777" w:rsidR="00A82F35" w:rsidRPr="003B1E2F" w:rsidRDefault="00A82F35" w:rsidP="00714ED0">
            <w:pPr>
              <w:jc w:val="center"/>
              <w:rPr>
                <w:rFonts w:ascii="Times New Roman" w:hAnsi="Times New Roman" w:cs="Times New Roman"/>
                <w:b/>
                <w:sz w:val="24"/>
                <w:szCs w:val="24"/>
              </w:rPr>
            </w:pPr>
            <w:r w:rsidRPr="003B1E2F">
              <w:rPr>
                <w:rFonts w:ascii="Times New Roman" w:hAnsi="Times New Roman" w:cs="Times New Roman"/>
                <w:b/>
                <w:sz w:val="24"/>
                <w:szCs w:val="24"/>
              </w:rPr>
              <w:t>Pastabos, pasiūlymai</w:t>
            </w:r>
          </w:p>
        </w:tc>
        <w:tc>
          <w:tcPr>
            <w:tcW w:w="5417" w:type="dxa"/>
          </w:tcPr>
          <w:p w14:paraId="1684666F" w14:textId="77777777" w:rsidR="00A82F35" w:rsidRPr="003B1E2F" w:rsidRDefault="00A82F35" w:rsidP="00714ED0">
            <w:pPr>
              <w:jc w:val="center"/>
              <w:rPr>
                <w:rFonts w:ascii="Times New Roman" w:hAnsi="Times New Roman" w:cs="Times New Roman"/>
                <w:b/>
                <w:sz w:val="24"/>
                <w:szCs w:val="24"/>
              </w:rPr>
            </w:pPr>
            <w:r w:rsidRPr="003B1E2F">
              <w:rPr>
                <w:rFonts w:ascii="Times New Roman" w:hAnsi="Times New Roman" w:cs="Times New Roman"/>
                <w:b/>
                <w:sz w:val="24"/>
                <w:szCs w:val="24"/>
              </w:rPr>
              <w:t>Pastabų ir pasiūlymų vertinimas ir komentarai</w:t>
            </w:r>
          </w:p>
        </w:tc>
      </w:tr>
      <w:tr w:rsidR="00A82F35" w:rsidRPr="003B1E2F" w14:paraId="257D89EF" w14:textId="77777777" w:rsidTr="003B1E2F">
        <w:tc>
          <w:tcPr>
            <w:tcW w:w="15137" w:type="dxa"/>
            <w:gridSpan w:val="3"/>
          </w:tcPr>
          <w:p w14:paraId="58BEA99B" w14:textId="77777777" w:rsidR="00A82F35" w:rsidRPr="003B1E2F" w:rsidRDefault="00A82F35" w:rsidP="00714ED0">
            <w:pPr>
              <w:jc w:val="center"/>
              <w:rPr>
                <w:rFonts w:ascii="Times New Roman" w:hAnsi="Times New Roman" w:cs="Times New Roman"/>
                <w:b/>
                <w:caps/>
                <w:sz w:val="24"/>
                <w:szCs w:val="24"/>
              </w:rPr>
            </w:pPr>
            <w:r w:rsidRPr="003B1E2F">
              <w:rPr>
                <w:rFonts w:ascii="Times New Roman" w:hAnsi="Times New Roman" w:cs="Times New Roman"/>
                <w:b/>
                <w:caps/>
                <w:sz w:val="24"/>
                <w:szCs w:val="24"/>
              </w:rPr>
              <w:t>Priemonių įgyvendinimo planas</w:t>
            </w:r>
          </w:p>
        </w:tc>
      </w:tr>
      <w:tr w:rsidR="00CA08E3" w:rsidRPr="003B1E2F" w14:paraId="12FA29B6" w14:textId="77777777" w:rsidTr="003B1E2F">
        <w:tc>
          <w:tcPr>
            <w:tcW w:w="15137" w:type="dxa"/>
            <w:gridSpan w:val="3"/>
          </w:tcPr>
          <w:p w14:paraId="2599A921" w14:textId="0065B22D" w:rsidR="00CA08E3" w:rsidRPr="003B1E2F" w:rsidRDefault="00CA08E3" w:rsidP="00714ED0">
            <w:pPr>
              <w:jc w:val="center"/>
              <w:rPr>
                <w:rFonts w:ascii="Times New Roman" w:hAnsi="Times New Roman" w:cs="Times New Roman"/>
                <w:b/>
                <w:caps/>
                <w:sz w:val="24"/>
                <w:szCs w:val="24"/>
              </w:rPr>
            </w:pPr>
            <w:r w:rsidRPr="00FC0742">
              <w:rPr>
                <w:rFonts w:ascii="Times New Roman" w:hAnsi="Times New Roman" w:cs="Times New Roman"/>
                <w:b/>
                <w:caps/>
                <w:sz w:val="24"/>
                <w:szCs w:val="24"/>
              </w:rPr>
              <w:t>04.3.2-LVPA</w:t>
            </w:r>
            <w:proofErr w:type="gramStart"/>
            <w:r w:rsidRPr="00FC0742">
              <w:rPr>
                <w:rFonts w:ascii="Times New Roman" w:hAnsi="Times New Roman" w:cs="Times New Roman"/>
                <w:b/>
                <w:caps/>
                <w:sz w:val="24"/>
                <w:szCs w:val="24"/>
              </w:rPr>
              <w:t>-</w:t>
            </w:r>
            <w:proofErr w:type="gramEnd"/>
            <w:r w:rsidRPr="00FC0742">
              <w:rPr>
                <w:rFonts w:ascii="Times New Roman" w:hAnsi="Times New Roman" w:cs="Times New Roman"/>
                <w:b/>
                <w:caps/>
                <w:sz w:val="24"/>
                <w:szCs w:val="24"/>
              </w:rPr>
              <w:t>V-111 „KATILŲ KEITIMAS NAMŲ ŪKIUOSE“</w:t>
            </w:r>
          </w:p>
        </w:tc>
      </w:tr>
      <w:tr w:rsidR="00A82F35" w:rsidRPr="003B1E2F" w14:paraId="06C06139" w14:textId="77777777" w:rsidTr="003B1E2F">
        <w:tc>
          <w:tcPr>
            <w:tcW w:w="15137" w:type="dxa"/>
            <w:gridSpan w:val="3"/>
          </w:tcPr>
          <w:p w14:paraId="5C215B82" w14:textId="2230EB70" w:rsidR="00A82F35" w:rsidRPr="003B1E2F" w:rsidRDefault="008906A4" w:rsidP="00C45CFD">
            <w:pPr>
              <w:jc w:val="center"/>
              <w:rPr>
                <w:rFonts w:ascii="Times New Roman" w:hAnsi="Times New Roman" w:cs="Times New Roman"/>
                <w:b/>
                <w:sz w:val="24"/>
                <w:szCs w:val="24"/>
              </w:rPr>
            </w:pPr>
            <w:r w:rsidRPr="003B1E2F">
              <w:rPr>
                <w:rFonts w:ascii="Times New Roman" w:hAnsi="Times New Roman" w:cs="Times New Roman"/>
                <w:b/>
                <w:sz w:val="24"/>
                <w:szCs w:val="24"/>
              </w:rPr>
              <w:t>VŠĮ Lietuvos verslo paramos agentūros 2017</w:t>
            </w:r>
            <w:r w:rsidR="005C1AF4" w:rsidRPr="003B1E2F">
              <w:rPr>
                <w:rFonts w:ascii="Times New Roman" w:hAnsi="Times New Roman" w:cs="Times New Roman"/>
                <w:b/>
                <w:sz w:val="24"/>
                <w:szCs w:val="24"/>
              </w:rPr>
              <w:t xml:space="preserve"> m. </w:t>
            </w:r>
            <w:r w:rsidRPr="003B1E2F">
              <w:rPr>
                <w:rFonts w:ascii="Times New Roman" w:hAnsi="Times New Roman" w:cs="Times New Roman"/>
                <w:b/>
                <w:sz w:val="24"/>
                <w:szCs w:val="24"/>
              </w:rPr>
              <w:t>gegužės 18</w:t>
            </w:r>
            <w:r w:rsidR="005C1AF4" w:rsidRPr="003B1E2F">
              <w:rPr>
                <w:rFonts w:ascii="Times New Roman" w:hAnsi="Times New Roman" w:cs="Times New Roman"/>
                <w:b/>
                <w:sz w:val="24"/>
                <w:szCs w:val="24"/>
              </w:rPr>
              <w:t xml:space="preserve"> d. raštas Nr. </w:t>
            </w:r>
            <w:r w:rsidRPr="003B1E2F">
              <w:rPr>
                <w:rFonts w:ascii="Times New Roman" w:hAnsi="Times New Roman" w:cs="Times New Roman"/>
                <w:b/>
                <w:sz w:val="24"/>
                <w:szCs w:val="24"/>
              </w:rPr>
              <w:t>R4</w:t>
            </w:r>
            <w:r w:rsidR="005C1AF4" w:rsidRPr="003B1E2F">
              <w:rPr>
                <w:rFonts w:ascii="Times New Roman" w:hAnsi="Times New Roman" w:cs="Times New Roman"/>
                <w:b/>
                <w:sz w:val="24"/>
                <w:szCs w:val="24"/>
              </w:rPr>
              <w:t>-</w:t>
            </w:r>
            <w:r w:rsidRPr="003B1E2F">
              <w:rPr>
                <w:rFonts w:ascii="Times New Roman" w:hAnsi="Times New Roman" w:cs="Times New Roman"/>
                <w:b/>
                <w:sz w:val="24"/>
                <w:szCs w:val="24"/>
              </w:rPr>
              <w:t>2736(15.1.6)</w:t>
            </w:r>
          </w:p>
        </w:tc>
      </w:tr>
      <w:tr w:rsidR="00A82F35" w:rsidRPr="003B1E2F" w14:paraId="230094FB" w14:textId="77777777" w:rsidTr="006D62B3">
        <w:trPr>
          <w:trHeight w:val="2865"/>
        </w:trPr>
        <w:tc>
          <w:tcPr>
            <w:tcW w:w="1296" w:type="dxa"/>
          </w:tcPr>
          <w:p w14:paraId="1D5E76C4" w14:textId="77777777" w:rsidR="00A82F35" w:rsidRPr="003B1E2F" w:rsidRDefault="00A82F35" w:rsidP="00714ED0">
            <w:pPr>
              <w:pStyle w:val="ListParagraph"/>
              <w:numPr>
                <w:ilvl w:val="0"/>
                <w:numId w:val="1"/>
              </w:numPr>
              <w:rPr>
                <w:rFonts w:ascii="Times New Roman" w:hAnsi="Times New Roman" w:cs="Times New Roman"/>
                <w:sz w:val="24"/>
                <w:szCs w:val="24"/>
              </w:rPr>
            </w:pPr>
          </w:p>
        </w:tc>
        <w:tc>
          <w:tcPr>
            <w:tcW w:w="8424" w:type="dxa"/>
          </w:tcPr>
          <w:p w14:paraId="6B5C88C4" w14:textId="5E5A1738" w:rsidR="003B1E2F" w:rsidRPr="003B1E2F" w:rsidRDefault="003B1E2F" w:rsidP="00DF1033">
            <w:pPr>
              <w:rPr>
                <w:rFonts w:ascii="Times New Roman" w:eastAsia="Times New Roman" w:hAnsi="Times New Roman" w:cs="Times New Roman"/>
                <w:color w:val="000000" w:themeColor="text1"/>
                <w:sz w:val="24"/>
                <w:szCs w:val="24"/>
                <w:lang w:eastAsia="lt-LT"/>
              </w:rPr>
            </w:pPr>
            <w:r w:rsidRPr="003B1E2F">
              <w:rPr>
                <w:rFonts w:ascii="Times New Roman" w:eastAsia="Times New Roman" w:hAnsi="Times New Roman" w:cs="Times New Roman"/>
                <w:color w:val="000000" w:themeColor="text1"/>
                <w:sz w:val="24"/>
                <w:szCs w:val="24"/>
                <w:lang w:eastAsia="lt-LT"/>
              </w:rPr>
              <w:t>4. Priemonės tikslingumas, tinkamumas ir tęstinumas, at</w:t>
            </w:r>
            <w:r w:rsidR="00E27194">
              <w:rPr>
                <w:rFonts w:ascii="Times New Roman" w:eastAsia="Times New Roman" w:hAnsi="Times New Roman" w:cs="Times New Roman"/>
                <w:color w:val="000000" w:themeColor="text1"/>
                <w:sz w:val="24"/>
                <w:szCs w:val="24"/>
                <w:lang w:eastAsia="lt-LT"/>
              </w:rPr>
              <w:t>sižvelgiant į vertinimų išvadas</w:t>
            </w:r>
            <w:r w:rsidR="006D62B3">
              <w:rPr>
                <w:rFonts w:ascii="Times New Roman" w:eastAsia="Times New Roman" w:hAnsi="Times New Roman" w:cs="Times New Roman"/>
                <w:color w:val="000000" w:themeColor="text1"/>
                <w:sz w:val="24"/>
                <w:szCs w:val="24"/>
                <w:lang w:eastAsia="lt-LT"/>
              </w:rPr>
              <w:t>.</w:t>
            </w:r>
          </w:p>
          <w:p w14:paraId="54B2D4AB" w14:textId="77777777" w:rsidR="003B1E2F" w:rsidRPr="003B1E2F" w:rsidRDefault="003B1E2F" w:rsidP="00DF1033">
            <w:pPr>
              <w:rPr>
                <w:rFonts w:ascii="Times New Roman" w:eastAsia="Times New Roman" w:hAnsi="Times New Roman" w:cs="Times New Roman"/>
                <w:color w:val="000000" w:themeColor="text1"/>
                <w:sz w:val="24"/>
                <w:szCs w:val="24"/>
                <w:lang w:eastAsia="lt-LT"/>
              </w:rPr>
            </w:pPr>
          </w:p>
          <w:p w14:paraId="31DF6FAA" w14:textId="7A179521" w:rsidR="008906A4" w:rsidRPr="003B1E2F" w:rsidRDefault="008906A4" w:rsidP="00714ED0">
            <w:pPr>
              <w:tabs>
                <w:tab w:val="left" w:pos="7560"/>
              </w:tabs>
              <w:spacing w:after="120"/>
              <w:jc w:val="both"/>
              <w:rPr>
                <w:rFonts w:ascii="Times New Roman" w:eastAsia="Times New Roman" w:hAnsi="Times New Roman" w:cs="Times New Roman"/>
                <w:color w:val="000000" w:themeColor="text1"/>
                <w:sz w:val="24"/>
                <w:szCs w:val="24"/>
                <w:lang w:eastAsia="lt-LT"/>
              </w:rPr>
            </w:pPr>
            <w:r w:rsidRPr="003B1E2F">
              <w:rPr>
                <w:rFonts w:ascii="Times New Roman" w:eastAsia="Times New Roman" w:hAnsi="Times New Roman" w:cs="Times New Roman"/>
                <w:color w:val="000000" w:themeColor="text1"/>
                <w:sz w:val="24"/>
                <w:szCs w:val="24"/>
                <w:lang w:eastAsia="lt-LT"/>
              </w:rPr>
              <w:t>Neaiškus priemonės tęstinumas. Kas ir kaip jį užtikrins</w:t>
            </w:r>
            <w:r w:rsidR="0014415A" w:rsidRPr="003B1E2F">
              <w:rPr>
                <w:rFonts w:ascii="Times New Roman" w:eastAsia="Times New Roman" w:hAnsi="Times New Roman" w:cs="Times New Roman"/>
                <w:color w:val="000000" w:themeColor="text1"/>
                <w:sz w:val="24"/>
                <w:szCs w:val="24"/>
                <w:lang w:eastAsia="lt-LT"/>
              </w:rPr>
              <w:t>. Laikytume, kad katilo prijungimas yra infrastruktūrinis projektas, todėl tęstinumas turėtų būti užtikrintas. Priešingi atveju, galimas antrinės rinkos formavimas, konkurencijos iškraipymas. Kaip pavyzdį laikytume verslo priemones „Lyderis LT“, „Intelektas LT+“(2007</w:t>
            </w:r>
            <w:proofErr w:type="gramStart"/>
            <w:r w:rsidR="0014415A" w:rsidRPr="003B1E2F">
              <w:rPr>
                <w:rFonts w:ascii="Times New Roman" w:eastAsia="Times New Roman" w:hAnsi="Times New Roman" w:cs="Times New Roman"/>
                <w:color w:val="000000" w:themeColor="text1"/>
                <w:sz w:val="24"/>
                <w:szCs w:val="24"/>
                <w:lang w:eastAsia="lt-LT"/>
              </w:rPr>
              <w:t>-</w:t>
            </w:r>
            <w:proofErr w:type="gramEnd"/>
            <w:r w:rsidR="0014415A" w:rsidRPr="003B1E2F">
              <w:rPr>
                <w:rFonts w:ascii="Times New Roman" w:eastAsia="Times New Roman" w:hAnsi="Times New Roman" w:cs="Times New Roman"/>
                <w:color w:val="000000" w:themeColor="text1"/>
                <w:sz w:val="24"/>
                <w:szCs w:val="24"/>
                <w:lang w:eastAsia="lt-LT"/>
              </w:rPr>
              <w:t xml:space="preserve">2013 m.), Regio </w:t>
            </w:r>
            <w:proofErr w:type="spellStart"/>
            <w:r w:rsidR="0014415A" w:rsidRPr="003B1E2F">
              <w:rPr>
                <w:rFonts w:ascii="Times New Roman" w:eastAsia="Times New Roman" w:hAnsi="Times New Roman" w:cs="Times New Roman"/>
                <w:color w:val="000000" w:themeColor="text1"/>
                <w:sz w:val="24"/>
                <w:szCs w:val="24"/>
                <w:lang w:eastAsia="lt-LT"/>
              </w:rPr>
              <w:t>Invest</w:t>
            </w:r>
            <w:proofErr w:type="spellEnd"/>
            <w:r w:rsidR="0014415A" w:rsidRPr="003B1E2F">
              <w:rPr>
                <w:rFonts w:ascii="Times New Roman" w:eastAsia="Times New Roman" w:hAnsi="Times New Roman" w:cs="Times New Roman"/>
                <w:color w:val="000000" w:themeColor="text1"/>
                <w:sz w:val="24"/>
                <w:szCs w:val="24"/>
                <w:lang w:eastAsia="lt-LT"/>
              </w:rPr>
              <w:t xml:space="preserve"> LT+(2014-2020 m.). Pagal šias priemones buvo/yra finansuota gamybinės ar laboratorinės įrangos įsigijimas, projektų tęstinumo užtikrinimas 3 arba 5 metai, priklausomai nuo įmonės dydžio.</w:t>
            </w:r>
          </w:p>
          <w:p w14:paraId="63C5F6CC" w14:textId="64E790FC" w:rsidR="00A82F35" w:rsidRPr="003B1E2F" w:rsidRDefault="00A82F35" w:rsidP="00714ED0">
            <w:pPr>
              <w:jc w:val="both"/>
              <w:rPr>
                <w:rFonts w:ascii="Times New Roman" w:hAnsi="Times New Roman" w:cs="Times New Roman"/>
                <w:sz w:val="24"/>
                <w:szCs w:val="24"/>
              </w:rPr>
            </w:pPr>
          </w:p>
        </w:tc>
        <w:tc>
          <w:tcPr>
            <w:tcW w:w="5417" w:type="dxa"/>
          </w:tcPr>
          <w:p w14:paraId="4FC8C932" w14:textId="1E85EBC0" w:rsidR="0014415A" w:rsidRPr="003B1E2F" w:rsidRDefault="0014415A" w:rsidP="00714ED0">
            <w:pPr>
              <w:rPr>
                <w:rFonts w:ascii="Times New Roman" w:hAnsi="Times New Roman" w:cs="Times New Roman"/>
                <w:b/>
                <w:sz w:val="24"/>
                <w:szCs w:val="24"/>
              </w:rPr>
            </w:pPr>
            <w:r w:rsidRPr="003B1E2F">
              <w:rPr>
                <w:rFonts w:ascii="Times New Roman" w:hAnsi="Times New Roman" w:cs="Times New Roman"/>
                <w:b/>
                <w:sz w:val="24"/>
                <w:szCs w:val="24"/>
              </w:rPr>
              <w:t>Į pastabą numatoma atsižvelgti vėlesniuose priemonės rengimo etapuose</w:t>
            </w:r>
            <w:r w:rsidR="006D62B3">
              <w:rPr>
                <w:rFonts w:ascii="Times New Roman" w:hAnsi="Times New Roman" w:cs="Times New Roman"/>
                <w:b/>
                <w:sz w:val="24"/>
                <w:szCs w:val="24"/>
              </w:rPr>
              <w:t>.</w:t>
            </w:r>
          </w:p>
          <w:p w14:paraId="414F4D66" w14:textId="77777777" w:rsidR="0014415A" w:rsidRPr="003B1E2F" w:rsidRDefault="0014415A" w:rsidP="00714ED0">
            <w:pPr>
              <w:rPr>
                <w:rFonts w:ascii="Times New Roman" w:hAnsi="Times New Roman" w:cs="Times New Roman"/>
                <w:b/>
                <w:sz w:val="24"/>
                <w:szCs w:val="24"/>
              </w:rPr>
            </w:pPr>
          </w:p>
          <w:p w14:paraId="583F9FF9" w14:textId="525E8F26" w:rsidR="008906A4" w:rsidRPr="003B1E2F" w:rsidRDefault="0014415A" w:rsidP="00714ED0">
            <w:pPr>
              <w:rPr>
                <w:rFonts w:ascii="Times New Roman" w:hAnsi="Times New Roman" w:cs="Times New Roman"/>
                <w:b/>
                <w:sz w:val="24"/>
                <w:szCs w:val="24"/>
              </w:rPr>
            </w:pPr>
            <w:r w:rsidRPr="000B122D">
              <w:rPr>
                <w:rFonts w:ascii="Times New Roman" w:eastAsia="Times New Roman" w:hAnsi="Times New Roman" w:cs="Times New Roman"/>
                <w:color w:val="000000" w:themeColor="text1"/>
                <w:sz w:val="24"/>
                <w:szCs w:val="24"/>
                <w:lang w:eastAsia="lt-LT"/>
              </w:rPr>
              <w:t xml:space="preserve">Detaliai išnagrinėjus </w:t>
            </w:r>
            <w:r w:rsidR="000B122D" w:rsidRPr="000B122D">
              <w:rPr>
                <w:rFonts w:ascii="Times New Roman" w:eastAsia="Times New Roman" w:hAnsi="Times New Roman" w:cs="Times New Roman"/>
                <w:color w:val="000000" w:themeColor="text1"/>
                <w:sz w:val="24"/>
                <w:szCs w:val="24"/>
                <w:lang w:eastAsia="lt-LT"/>
              </w:rPr>
              <w:t xml:space="preserve">Bendrųjų nuostatų </w:t>
            </w:r>
            <w:r w:rsidRPr="000B122D">
              <w:rPr>
                <w:rFonts w:ascii="Times New Roman" w:eastAsia="Times New Roman" w:hAnsi="Times New Roman" w:cs="Times New Roman"/>
                <w:color w:val="000000" w:themeColor="text1"/>
                <w:sz w:val="24"/>
                <w:szCs w:val="24"/>
                <w:lang w:eastAsia="lt-LT"/>
              </w:rPr>
              <w:t>reglamento 71 straipsnyje nurodytų reikalavimų taikymą, įgyvendinant šią priemonę, atitinkamos nuostatos dėl projekto tęstinumo, jei paaiškės, kad jos taikytinos, bus įtrauktos į projektų finansavimo sąlygų aprašą.</w:t>
            </w:r>
          </w:p>
          <w:p w14:paraId="232379B3" w14:textId="159F25A8" w:rsidR="009D299B" w:rsidRPr="003B1E2F" w:rsidRDefault="009D299B" w:rsidP="003B1E2F">
            <w:pPr>
              <w:rPr>
                <w:rFonts w:ascii="Times New Roman" w:hAnsi="Times New Roman" w:cs="Times New Roman"/>
                <w:b/>
                <w:sz w:val="24"/>
                <w:szCs w:val="24"/>
              </w:rPr>
            </w:pPr>
          </w:p>
        </w:tc>
      </w:tr>
      <w:tr w:rsidR="003B1E2F" w:rsidRPr="003B1E2F" w14:paraId="6E50FD29" w14:textId="77777777" w:rsidTr="006D62B3">
        <w:trPr>
          <w:trHeight w:val="2865"/>
        </w:trPr>
        <w:tc>
          <w:tcPr>
            <w:tcW w:w="1296" w:type="dxa"/>
          </w:tcPr>
          <w:p w14:paraId="3F51E73A" w14:textId="77777777" w:rsidR="003B1E2F" w:rsidRPr="003B1E2F" w:rsidRDefault="003B1E2F" w:rsidP="00714ED0">
            <w:pPr>
              <w:pStyle w:val="ListParagraph"/>
              <w:numPr>
                <w:ilvl w:val="0"/>
                <w:numId w:val="1"/>
              </w:numPr>
              <w:rPr>
                <w:rFonts w:ascii="Times New Roman" w:hAnsi="Times New Roman" w:cs="Times New Roman"/>
                <w:sz w:val="24"/>
                <w:szCs w:val="24"/>
              </w:rPr>
            </w:pPr>
          </w:p>
        </w:tc>
        <w:tc>
          <w:tcPr>
            <w:tcW w:w="8424" w:type="dxa"/>
          </w:tcPr>
          <w:p w14:paraId="17C86CF3" w14:textId="610DC764" w:rsidR="003B1E2F" w:rsidRDefault="003B1E2F" w:rsidP="00DF1033">
            <w:pPr>
              <w:rPr>
                <w:rStyle w:val="BodyText1"/>
                <w:rFonts w:eastAsia="Courier New"/>
                <w:sz w:val="24"/>
                <w:szCs w:val="24"/>
              </w:rPr>
            </w:pPr>
            <w:r w:rsidRPr="003B1E2F">
              <w:rPr>
                <w:rStyle w:val="BodyText1"/>
                <w:rFonts w:eastAsia="Courier New"/>
                <w:sz w:val="24"/>
                <w:szCs w:val="24"/>
              </w:rPr>
              <w:t>7. Galimų pareiškėjų, galutinių naudos gavėjų ir partnerių pasirinkimo pagrindimas</w:t>
            </w:r>
            <w:r w:rsidR="006D62B3">
              <w:rPr>
                <w:rStyle w:val="BodyText1"/>
                <w:rFonts w:eastAsia="Courier New"/>
                <w:sz w:val="24"/>
                <w:szCs w:val="24"/>
              </w:rPr>
              <w:t>.</w:t>
            </w:r>
          </w:p>
          <w:p w14:paraId="7FAA044C" w14:textId="77777777" w:rsidR="003B1E2F" w:rsidRDefault="003B1E2F" w:rsidP="00DF1033">
            <w:pPr>
              <w:rPr>
                <w:rStyle w:val="BodyText1"/>
                <w:rFonts w:eastAsia="Courier New"/>
                <w:sz w:val="24"/>
                <w:szCs w:val="24"/>
              </w:rPr>
            </w:pPr>
          </w:p>
          <w:p w14:paraId="58535B60" w14:textId="2DB1F170" w:rsidR="003B1E2F" w:rsidRDefault="003B1E2F" w:rsidP="003B1E2F">
            <w:pPr>
              <w:pStyle w:val="PlainText"/>
              <w:jc w:val="both"/>
              <w:rPr>
                <w:rFonts w:ascii="Times New Roman" w:hAnsi="Times New Roman"/>
                <w:sz w:val="24"/>
                <w:szCs w:val="24"/>
              </w:rPr>
            </w:pPr>
            <w:r>
              <w:rPr>
                <w:rFonts w:ascii="Times New Roman" w:hAnsi="Times New Roman"/>
                <w:sz w:val="24"/>
                <w:szCs w:val="24"/>
              </w:rPr>
              <w:t>1.Atkreiptinas dėmesys, kad, jeigu fizinis asmuo yra ūkio subjektas</w:t>
            </w:r>
            <w:r w:rsidR="00A234D8">
              <w:rPr>
                <w:rFonts w:ascii="Times New Roman" w:hAnsi="Times New Roman"/>
                <w:sz w:val="24"/>
                <w:szCs w:val="24"/>
              </w:rPr>
              <w:t>,</w:t>
            </w:r>
            <w:r>
              <w:rPr>
                <w:rFonts w:ascii="Times New Roman" w:hAnsi="Times New Roman"/>
                <w:sz w:val="24"/>
                <w:szCs w:val="24"/>
              </w:rPr>
              <w:t xml:space="preserve"> turėtų būti registruojama de </w:t>
            </w:r>
            <w:proofErr w:type="spellStart"/>
            <w:r>
              <w:rPr>
                <w:rFonts w:ascii="Times New Roman" w:hAnsi="Times New Roman"/>
                <w:sz w:val="24"/>
                <w:szCs w:val="24"/>
              </w:rPr>
              <w:t>minimis</w:t>
            </w:r>
            <w:proofErr w:type="spellEnd"/>
            <w:r>
              <w:rPr>
                <w:rFonts w:ascii="Times New Roman" w:hAnsi="Times New Roman"/>
                <w:sz w:val="24"/>
                <w:szCs w:val="24"/>
              </w:rPr>
              <w:t xml:space="preserve"> pagalba arba PFSA aiškiai nurodyta, kad pagalba ūkio subjektams neteikiama.</w:t>
            </w:r>
          </w:p>
          <w:p w14:paraId="10E54F2A" w14:textId="66F8AD46" w:rsidR="003B1E2F" w:rsidRDefault="003B1E2F" w:rsidP="003B1E2F">
            <w:pPr>
              <w:pStyle w:val="PlainText"/>
              <w:jc w:val="both"/>
              <w:rPr>
                <w:rFonts w:ascii="Times New Roman" w:hAnsi="Times New Roman"/>
                <w:sz w:val="24"/>
                <w:szCs w:val="24"/>
              </w:rPr>
            </w:pPr>
            <w:r>
              <w:rPr>
                <w:rFonts w:ascii="Times New Roman" w:hAnsi="Times New Roman"/>
                <w:sz w:val="24"/>
                <w:szCs w:val="24"/>
              </w:rPr>
              <w:t>2. Pagal pasirinktą finansavimo schemą LAAIF (Lietuvos aplinkos apsaugos investicijų fondas) gautų projekto finansavimo lėšas ir jas skirtų projektams įgyvendinti (katilams įsigyti) galutiniams naudos gavėjams. Pažymėtina, kad faktiškai tokia finansavimo schema turi visuotinės dotacijos schemos požymių. Pažymėtina, jog remiantis 2014 m. Lietuvos Respublikos Vyriausybės nutarimo Nr. 528 2.61. p. apibrėžta</w:t>
            </w:r>
            <w:r w:rsidR="00A234D8">
              <w:rPr>
                <w:rFonts w:ascii="Times New Roman" w:hAnsi="Times New Roman"/>
                <w:sz w:val="24"/>
                <w:szCs w:val="24"/>
              </w:rPr>
              <w:t>,</w:t>
            </w:r>
            <w:r>
              <w:rPr>
                <w:rFonts w:ascii="Times New Roman" w:hAnsi="Times New Roman"/>
                <w:sz w:val="24"/>
                <w:szCs w:val="24"/>
              </w:rPr>
              <w:t xml:space="preserve"> jog visuotinė dotacija – tai dalies veiksmų programos įgyvendinimo būdas – finansavimo lėšos, kurias, įgyvendinus reglamento (ES) Nr. 1303/2013  123 straipsnio 7 dalyje nustatytas sąlygas, ministerija ar vadovaujančioji institucija, kai veiksmų programos techninės paramos prioriteto priemonės įgyvendinamos visuotinės dotacijos būdu, skiria įgyvendinančiajai institucijai, o ši jas skiria projektams </w:t>
            </w:r>
            <w:r>
              <w:rPr>
                <w:rFonts w:ascii="Times New Roman" w:hAnsi="Times New Roman"/>
                <w:sz w:val="24"/>
                <w:szCs w:val="24"/>
              </w:rPr>
              <w:lastRenderedPageBreak/>
              <w:t xml:space="preserve">įgyvendinti. Atkreipiame dėmesį, jog remiantis 2013 m. gruodžio 17 d. Europos Parlamento ir Tarybos reglamento Nr. 1303/2013 123 straipsnio 7 p. valstybė narė arba vadovaujančioji institucija gali dalies veiksmų programos valdymą patikėti tarpinei institucijai pagal rašytinį valstybės narės arba vadovaujančiosios institucijos ir tarpinės institucijos susitarimą (visuotinė dotacija). Tarpinė institucija turi pateikti garantijas dėl savo mokumo ir kompetencijos atitinkamoje srityje ir jos administracinio bei finansų valdymo gebėjimų. Pažymėtina, jog vadovaujančioji institucija šiuo metu nėra įtraukusi LAAIF į valdymo ir kontrolės sistemos dalyvių aprašymą, nėra atlikta institucijos akreditacija, pakeistas Lietuvos Respublikos Vyriausybės nutarimas Nr. 528, todėl manytume, jog pasirinktą finansavimo schemos modelį reikėtų suderinti su vadovaujančiąja institucija ir gauti pritarimą. Pažymėtina, jog LAAIF negali būti laikytinas galutiniu naudos gavėju, nes jis skirs gautus pinigus konkrečių katilų įsigijimo projektų </w:t>
            </w:r>
            <w:proofErr w:type="spellStart"/>
            <w:r>
              <w:rPr>
                <w:rFonts w:ascii="Times New Roman" w:hAnsi="Times New Roman"/>
                <w:sz w:val="24"/>
                <w:szCs w:val="24"/>
              </w:rPr>
              <w:t>kofinansavimui</w:t>
            </w:r>
            <w:proofErr w:type="spellEnd"/>
            <w:r>
              <w:rPr>
                <w:rFonts w:ascii="Times New Roman" w:hAnsi="Times New Roman"/>
                <w:sz w:val="24"/>
                <w:szCs w:val="24"/>
              </w:rPr>
              <w:t xml:space="preserve">, o paties LAAIF veiklos finansavimo tinkamumas turi būti išnagrinėtas atsižvelgiant į teisinius valstybės pagalbos reikalavimų apribojimus.  </w:t>
            </w:r>
          </w:p>
          <w:p w14:paraId="44205F0E" w14:textId="7F086224" w:rsidR="003B1E2F" w:rsidRPr="003B1E2F" w:rsidRDefault="003B1E2F" w:rsidP="00DF1033">
            <w:pPr>
              <w:rPr>
                <w:rStyle w:val="BodyText1"/>
                <w:rFonts w:eastAsia="Courier New"/>
                <w:sz w:val="24"/>
                <w:szCs w:val="24"/>
              </w:rPr>
            </w:pPr>
          </w:p>
        </w:tc>
        <w:tc>
          <w:tcPr>
            <w:tcW w:w="5417" w:type="dxa"/>
          </w:tcPr>
          <w:p w14:paraId="2A88AD5A" w14:textId="74A83EAE" w:rsidR="003B1E2F" w:rsidRDefault="003B1E2F" w:rsidP="00714ED0">
            <w:pPr>
              <w:rPr>
                <w:rFonts w:ascii="Times New Roman" w:hAnsi="Times New Roman" w:cs="Times New Roman"/>
                <w:b/>
                <w:sz w:val="24"/>
                <w:szCs w:val="24"/>
              </w:rPr>
            </w:pPr>
            <w:r w:rsidRPr="003B1E2F">
              <w:rPr>
                <w:rFonts w:ascii="Times New Roman" w:hAnsi="Times New Roman" w:cs="Times New Roman"/>
                <w:b/>
                <w:sz w:val="24"/>
                <w:szCs w:val="24"/>
              </w:rPr>
              <w:lastRenderedPageBreak/>
              <w:t>Į pastabą numatoma atsižvelgti vėlesniuose priemonės rengimo etapuose</w:t>
            </w:r>
            <w:r w:rsidR="006D62B3">
              <w:rPr>
                <w:rFonts w:ascii="Times New Roman" w:hAnsi="Times New Roman" w:cs="Times New Roman"/>
                <w:b/>
                <w:sz w:val="24"/>
                <w:szCs w:val="24"/>
              </w:rPr>
              <w:t>.</w:t>
            </w:r>
          </w:p>
          <w:p w14:paraId="76BDE561" w14:textId="77777777" w:rsidR="003B1E2F" w:rsidRDefault="003B1E2F" w:rsidP="00714ED0">
            <w:pPr>
              <w:rPr>
                <w:rFonts w:ascii="Times New Roman" w:hAnsi="Times New Roman" w:cs="Times New Roman"/>
                <w:b/>
                <w:sz w:val="24"/>
                <w:szCs w:val="24"/>
              </w:rPr>
            </w:pPr>
          </w:p>
          <w:p w14:paraId="1862B6A5" w14:textId="77777777" w:rsidR="003B1E2F" w:rsidRPr="003B1E2F" w:rsidRDefault="003B1E2F" w:rsidP="003B1E2F">
            <w:pPr>
              <w:spacing w:line="256" w:lineRule="auto"/>
              <w:jc w:val="both"/>
              <w:rPr>
                <w:rFonts w:ascii="Times New Roman" w:eastAsia="Times New Roman" w:hAnsi="Times New Roman" w:cs="Times New Roman"/>
                <w:color w:val="000000" w:themeColor="text1"/>
                <w:sz w:val="24"/>
                <w:szCs w:val="24"/>
                <w:lang w:eastAsia="lt-LT"/>
              </w:rPr>
            </w:pPr>
            <w:r w:rsidRPr="003B1E2F">
              <w:rPr>
                <w:rFonts w:ascii="Times New Roman" w:eastAsia="Calibri" w:hAnsi="Times New Roman" w:cs="Times New Roman"/>
                <w:sz w:val="24"/>
                <w:szCs w:val="24"/>
              </w:rPr>
              <w:t xml:space="preserve">1. Į pastabą bus atsižvelgta rengiant </w:t>
            </w:r>
            <w:r w:rsidRPr="003B1E2F">
              <w:rPr>
                <w:rFonts w:ascii="Times New Roman" w:eastAsia="Times New Roman" w:hAnsi="Times New Roman" w:cs="Times New Roman"/>
                <w:color w:val="000000" w:themeColor="text1"/>
                <w:sz w:val="24"/>
                <w:szCs w:val="24"/>
                <w:lang w:eastAsia="lt-LT"/>
              </w:rPr>
              <w:t>projektų finansavimo sąlygų aprašą.</w:t>
            </w:r>
          </w:p>
          <w:p w14:paraId="1E0588DF" w14:textId="6E3BECCC" w:rsidR="003B1E2F" w:rsidRPr="003B1E2F" w:rsidRDefault="003B1E2F" w:rsidP="003B1E2F">
            <w:pPr>
              <w:spacing w:line="256" w:lineRule="auto"/>
              <w:jc w:val="both"/>
              <w:rPr>
                <w:rFonts w:ascii="Times New Roman" w:eastAsia="Times New Roman" w:hAnsi="Times New Roman" w:cs="Times New Roman"/>
                <w:color w:val="000000" w:themeColor="text1"/>
                <w:sz w:val="24"/>
                <w:szCs w:val="24"/>
                <w:lang w:eastAsia="lt-LT"/>
              </w:rPr>
            </w:pPr>
            <w:r w:rsidRPr="003B1E2F">
              <w:rPr>
                <w:rFonts w:ascii="Times New Roman" w:eastAsia="Times New Roman" w:hAnsi="Times New Roman" w:cs="Times New Roman"/>
                <w:color w:val="000000" w:themeColor="text1"/>
                <w:sz w:val="24"/>
                <w:szCs w:val="24"/>
                <w:lang w:eastAsia="lt-LT"/>
              </w:rPr>
              <w:t xml:space="preserve">2. Visuotinės dotacijos taikyti nenumatoma, nes tokiu atveju projektų vykdytojais turėtų tapti namų ūkiai, o tai nėra įmanoma. </w:t>
            </w:r>
          </w:p>
          <w:p w14:paraId="28EB84C3" w14:textId="67C0304F" w:rsidR="003B1E2F" w:rsidRPr="003B1E2F" w:rsidRDefault="003B1E2F" w:rsidP="00714ED0">
            <w:pPr>
              <w:rPr>
                <w:rFonts w:ascii="Times New Roman" w:hAnsi="Times New Roman" w:cs="Times New Roman"/>
                <w:b/>
                <w:sz w:val="24"/>
                <w:szCs w:val="24"/>
              </w:rPr>
            </w:pPr>
          </w:p>
        </w:tc>
      </w:tr>
      <w:tr w:rsidR="009D39E3" w:rsidRPr="003B1E2F" w14:paraId="5F2919BA" w14:textId="77777777" w:rsidTr="006D62B3">
        <w:trPr>
          <w:trHeight w:val="2522"/>
        </w:trPr>
        <w:tc>
          <w:tcPr>
            <w:tcW w:w="1296" w:type="dxa"/>
          </w:tcPr>
          <w:p w14:paraId="3D150E0C" w14:textId="77777777" w:rsidR="009D39E3" w:rsidRPr="003B1E2F" w:rsidRDefault="009D39E3" w:rsidP="00714ED0">
            <w:pPr>
              <w:pStyle w:val="ListParagraph"/>
              <w:numPr>
                <w:ilvl w:val="0"/>
                <w:numId w:val="1"/>
              </w:numPr>
              <w:rPr>
                <w:rFonts w:ascii="Times New Roman" w:hAnsi="Times New Roman" w:cs="Times New Roman"/>
                <w:sz w:val="24"/>
                <w:szCs w:val="24"/>
              </w:rPr>
            </w:pPr>
          </w:p>
        </w:tc>
        <w:tc>
          <w:tcPr>
            <w:tcW w:w="8424" w:type="dxa"/>
          </w:tcPr>
          <w:p w14:paraId="6BBCCA94" w14:textId="51D0481E" w:rsidR="009D39E3" w:rsidRDefault="009D39E3" w:rsidP="00DF1033">
            <w:pPr>
              <w:rPr>
                <w:rStyle w:val="BodyText1"/>
                <w:rFonts w:eastAsia="Courier New"/>
                <w:sz w:val="24"/>
                <w:szCs w:val="24"/>
              </w:rPr>
            </w:pPr>
            <w:r w:rsidRPr="009D39E3">
              <w:rPr>
                <w:rStyle w:val="BodyText1"/>
                <w:rFonts w:eastAsia="Courier New"/>
                <w:sz w:val="24"/>
                <w:szCs w:val="24"/>
              </w:rPr>
              <w:t>12. Galimų rizikų vertinimas</w:t>
            </w:r>
            <w:r w:rsidR="006D62B3">
              <w:rPr>
                <w:rStyle w:val="BodyText1"/>
                <w:rFonts w:eastAsia="Courier New"/>
                <w:sz w:val="24"/>
                <w:szCs w:val="24"/>
              </w:rPr>
              <w:t>.</w:t>
            </w:r>
          </w:p>
          <w:p w14:paraId="65386467" w14:textId="77777777" w:rsidR="009D39E3" w:rsidRDefault="009D39E3" w:rsidP="00DF1033">
            <w:pPr>
              <w:rPr>
                <w:rStyle w:val="BodyText1"/>
                <w:rFonts w:eastAsia="Courier New"/>
                <w:sz w:val="24"/>
                <w:szCs w:val="24"/>
              </w:rPr>
            </w:pPr>
          </w:p>
          <w:p w14:paraId="6BC8BF1E" w14:textId="68DC4462" w:rsidR="009D39E3" w:rsidRPr="003B1E2F" w:rsidRDefault="009D39E3" w:rsidP="00DF1033">
            <w:pPr>
              <w:rPr>
                <w:rStyle w:val="BodyText1"/>
                <w:rFonts w:eastAsia="Courier New"/>
                <w:sz w:val="24"/>
                <w:szCs w:val="24"/>
              </w:rPr>
            </w:pPr>
            <w:r w:rsidRPr="009D39E3">
              <w:rPr>
                <w:rStyle w:val="BodyText1"/>
                <w:rFonts w:eastAsia="Courier New"/>
                <w:sz w:val="24"/>
                <w:szCs w:val="24"/>
              </w:rPr>
              <w:t>Neaiški priemonės įgyvendinimo schema ir tęstinumas. Rizikų valdymo priemonės nėra aiškios ir pagrįstos. Atkreiptinas dėmesys, kad panašių priemonių 2007</w:t>
            </w:r>
            <w:proofErr w:type="gramStart"/>
            <w:r w:rsidRPr="009D39E3">
              <w:rPr>
                <w:rStyle w:val="BodyText1"/>
                <w:rFonts w:eastAsia="Courier New"/>
                <w:sz w:val="24"/>
                <w:szCs w:val="24"/>
              </w:rPr>
              <w:t>-</w:t>
            </w:r>
            <w:proofErr w:type="gramEnd"/>
            <w:r w:rsidRPr="009D39E3">
              <w:rPr>
                <w:rStyle w:val="BodyText1"/>
                <w:rFonts w:eastAsia="Courier New"/>
                <w:sz w:val="24"/>
                <w:szCs w:val="24"/>
              </w:rPr>
              <w:t>2013 m. laikotarpyje nebuvo įgyvendinta.</w:t>
            </w:r>
          </w:p>
        </w:tc>
        <w:tc>
          <w:tcPr>
            <w:tcW w:w="5417" w:type="dxa"/>
          </w:tcPr>
          <w:p w14:paraId="4AB915A6" w14:textId="0784AFBD" w:rsidR="009D39E3" w:rsidRPr="009D39E3" w:rsidRDefault="009D39E3" w:rsidP="009D39E3">
            <w:pPr>
              <w:spacing w:line="256" w:lineRule="auto"/>
              <w:rPr>
                <w:rFonts w:ascii="Times New Roman" w:eastAsia="Calibri" w:hAnsi="Times New Roman" w:cs="Times New Roman"/>
                <w:b/>
                <w:sz w:val="24"/>
                <w:szCs w:val="24"/>
              </w:rPr>
            </w:pPr>
            <w:r w:rsidRPr="009D39E3">
              <w:rPr>
                <w:rFonts w:ascii="Times New Roman" w:eastAsia="Calibri" w:hAnsi="Times New Roman" w:cs="Times New Roman"/>
                <w:b/>
                <w:sz w:val="24"/>
                <w:szCs w:val="24"/>
              </w:rPr>
              <w:t>Į pastabą numatoma atsižvelgti vėlesniuose priemonės rengimo etapuose</w:t>
            </w:r>
            <w:r w:rsidR="006D62B3">
              <w:rPr>
                <w:rFonts w:ascii="Times New Roman" w:eastAsia="Calibri" w:hAnsi="Times New Roman" w:cs="Times New Roman"/>
                <w:b/>
                <w:sz w:val="24"/>
                <w:szCs w:val="24"/>
              </w:rPr>
              <w:t>.</w:t>
            </w:r>
          </w:p>
          <w:p w14:paraId="39804B8F" w14:textId="77777777" w:rsidR="009D39E3" w:rsidRPr="009D39E3" w:rsidRDefault="009D39E3" w:rsidP="009D39E3">
            <w:pPr>
              <w:spacing w:line="256" w:lineRule="auto"/>
              <w:rPr>
                <w:rFonts w:ascii="Times New Roman" w:eastAsia="Calibri" w:hAnsi="Times New Roman" w:cs="Times New Roman"/>
                <w:b/>
                <w:sz w:val="24"/>
                <w:szCs w:val="24"/>
              </w:rPr>
            </w:pPr>
          </w:p>
          <w:p w14:paraId="0F58DD29" w14:textId="09DF8704" w:rsidR="009D39E3" w:rsidRPr="003B1E2F" w:rsidRDefault="009D39E3" w:rsidP="009D39E3">
            <w:pPr>
              <w:rPr>
                <w:rFonts w:ascii="Times New Roman" w:hAnsi="Times New Roman" w:cs="Times New Roman"/>
                <w:b/>
                <w:sz w:val="24"/>
                <w:szCs w:val="24"/>
              </w:rPr>
            </w:pPr>
            <w:r w:rsidRPr="009D39E3">
              <w:rPr>
                <w:rFonts w:ascii="Times New Roman" w:eastAsia="Calibri" w:hAnsi="Times New Roman" w:cs="Times New Roman"/>
                <w:sz w:val="24"/>
                <w:szCs w:val="24"/>
              </w:rPr>
              <w:t>Rengiant priemonės įgyvendinimo planą aptartos pagrindinės bendro pobūdžio rizikos. Priemonės įgyvendinimo schema ir tęstinumas bus detaliau aprašyti projektų finansavimo sąlygų apraše.</w:t>
            </w:r>
          </w:p>
        </w:tc>
      </w:tr>
      <w:tr w:rsidR="009D39E3" w:rsidRPr="003B1E2F" w14:paraId="491F210A" w14:textId="77777777" w:rsidTr="006D62B3">
        <w:trPr>
          <w:trHeight w:val="2063"/>
        </w:trPr>
        <w:tc>
          <w:tcPr>
            <w:tcW w:w="1296" w:type="dxa"/>
          </w:tcPr>
          <w:p w14:paraId="21C267F4" w14:textId="77777777" w:rsidR="009D39E3" w:rsidRPr="003B1E2F" w:rsidRDefault="009D39E3" w:rsidP="00714ED0">
            <w:pPr>
              <w:pStyle w:val="ListParagraph"/>
              <w:numPr>
                <w:ilvl w:val="0"/>
                <w:numId w:val="1"/>
              </w:numPr>
              <w:rPr>
                <w:rFonts w:ascii="Times New Roman" w:hAnsi="Times New Roman" w:cs="Times New Roman"/>
                <w:sz w:val="24"/>
                <w:szCs w:val="24"/>
              </w:rPr>
            </w:pPr>
          </w:p>
        </w:tc>
        <w:tc>
          <w:tcPr>
            <w:tcW w:w="8424" w:type="dxa"/>
          </w:tcPr>
          <w:p w14:paraId="043EBA2D" w14:textId="193B495C" w:rsidR="009D39E3" w:rsidRPr="009D39E3" w:rsidRDefault="009D39E3" w:rsidP="009D39E3">
            <w:pPr>
              <w:rPr>
                <w:rStyle w:val="BodyText1"/>
                <w:rFonts w:eastAsia="Courier New"/>
                <w:sz w:val="24"/>
                <w:szCs w:val="24"/>
              </w:rPr>
            </w:pPr>
            <w:r w:rsidRPr="009D39E3">
              <w:rPr>
                <w:rStyle w:val="BodyText1"/>
                <w:rFonts w:eastAsia="Courier New"/>
                <w:sz w:val="24"/>
                <w:szCs w:val="24"/>
              </w:rPr>
              <w:t>17. Projektų atrankos būdo pagrįstumas</w:t>
            </w:r>
            <w:r w:rsidR="006D62B3">
              <w:rPr>
                <w:rStyle w:val="BodyText1"/>
                <w:rFonts w:eastAsia="Courier New"/>
                <w:sz w:val="24"/>
                <w:szCs w:val="24"/>
              </w:rPr>
              <w:t>.</w:t>
            </w:r>
          </w:p>
          <w:p w14:paraId="75790026" w14:textId="77777777" w:rsidR="009D39E3" w:rsidRPr="009D39E3" w:rsidRDefault="009D39E3" w:rsidP="009D39E3">
            <w:pPr>
              <w:rPr>
                <w:rStyle w:val="BodyText1"/>
                <w:rFonts w:eastAsia="Courier New"/>
                <w:sz w:val="24"/>
                <w:szCs w:val="24"/>
              </w:rPr>
            </w:pPr>
          </w:p>
          <w:p w14:paraId="3E07ADA9" w14:textId="73F1C463" w:rsidR="009D39E3" w:rsidRPr="009D39E3" w:rsidRDefault="009D39E3" w:rsidP="009D39E3">
            <w:pPr>
              <w:rPr>
                <w:rStyle w:val="BodyText1"/>
                <w:rFonts w:eastAsia="Courier New"/>
                <w:sz w:val="24"/>
                <w:szCs w:val="24"/>
              </w:rPr>
            </w:pPr>
            <w:r w:rsidRPr="009D39E3">
              <w:rPr>
                <w:rStyle w:val="BodyText1"/>
                <w:rFonts w:eastAsia="Courier New"/>
                <w:sz w:val="24"/>
                <w:szCs w:val="24"/>
              </w:rPr>
              <w:t xml:space="preserve">1.Neaiški priemonės specifika ir įgyvendinimo schema. Neaišku, ar pagal priemonę planuojama finansuoti, tik keičiant biomasę naudojančius individualius katilus. Jei taip, kaip jie bus identifikuojami, kad tai tik biomasę naudojantis katilas. </w:t>
            </w:r>
          </w:p>
          <w:p w14:paraId="3A1ACD8A" w14:textId="479E0FF9" w:rsidR="009D39E3" w:rsidRPr="009D39E3" w:rsidRDefault="009D39E3" w:rsidP="009D39E3">
            <w:pPr>
              <w:rPr>
                <w:rStyle w:val="BodyText1"/>
                <w:rFonts w:eastAsia="Courier New"/>
                <w:sz w:val="24"/>
                <w:szCs w:val="24"/>
              </w:rPr>
            </w:pPr>
            <w:r w:rsidRPr="009D39E3">
              <w:rPr>
                <w:rStyle w:val="BodyText1"/>
                <w:rFonts w:eastAsia="Courier New"/>
                <w:sz w:val="24"/>
                <w:szCs w:val="24"/>
              </w:rPr>
              <w:t>2. Trūksta kriterijų, kaip bus atrenkami katilai keitimui. Neaišku, kokie katilai bus keičiami (pagal senumą, galingumą ar kt. kriterijus).</w:t>
            </w:r>
          </w:p>
        </w:tc>
        <w:tc>
          <w:tcPr>
            <w:tcW w:w="5417" w:type="dxa"/>
          </w:tcPr>
          <w:p w14:paraId="5AE5FB2E" w14:textId="6059E1AD" w:rsidR="009D39E3" w:rsidRPr="009D39E3" w:rsidRDefault="009D39E3" w:rsidP="009D39E3">
            <w:pPr>
              <w:spacing w:line="256" w:lineRule="auto"/>
              <w:rPr>
                <w:rFonts w:ascii="Times New Roman" w:eastAsia="Calibri" w:hAnsi="Times New Roman" w:cs="Times New Roman"/>
                <w:b/>
                <w:sz w:val="24"/>
                <w:szCs w:val="24"/>
              </w:rPr>
            </w:pPr>
            <w:r w:rsidRPr="009D39E3">
              <w:rPr>
                <w:rFonts w:ascii="Times New Roman" w:eastAsia="Calibri" w:hAnsi="Times New Roman" w:cs="Times New Roman"/>
                <w:b/>
                <w:sz w:val="24"/>
                <w:szCs w:val="24"/>
              </w:rPr>
              <w:t>Į pastabą numatoma atsižvelgti vėlesniuose priemonės rengimo etapuose</w:t>
            </w:r>
            <w:r w:rsidR="006D62B3">
              <w:rPr>
                <w:rFonts w:ascii="Times New Roman" w:eastAsia="Calibri" w:hAnsi="Times New Roman" w:cs="Times New Roman"/>
                <w:b/>
                <w:sz w:val="24"/>
                <w:szCs w:val="24"/>
              </w:rPr>
              <w:t>.</w:t>
            </w:r>
          </w:p>
          <w:p w14:paraId="43E2042E" w14:textId="77777777" w:rsidR="009D39E3" w:rsidRPr="009D39E3" w:rsidRDefault="009D39E3" w:rsidP="009D39E3">
            <w:pPr>
              <w:spacing w:line="256" w:lineRule="auto"/>
              <w:rPr>
                <w:rFonts w:ascii="Times New Roman" w:eastAsia="Calibri" w:hAnsi="Times New Roman" w:cs="Times New Roman"/>
                <w:b/>
                <w:sz w:val="24"/>
                <w:szCs w:val="24"/>
              </w:rPr>
            </w:pPr>
          </w:p>
          <w:p w14:paraId="314BEF11" w14:textId="50C724D6" w:rsidR="009D39E3" w:rsidRPr="009D39E3" w:rsidRDefault="009D39E3" w:rsidP="009D39E3">
            <w:pPr>
              <w:spacing w:line="256" w:lineRule="auto"/>
              <w:rPr>
                <w:rFonts w:ascii="Times New Roman" w:eastAsia="Calibri" w:hAnsi="Times New Roman" w:cs="Times New Roman"/>
                <w:b/>
                <w:sz w:val="24"/>
                <w:szCs w:val="24"/>
              </w:rPr>
            </w:pPr>
            <w:r w:rsidRPr="009D39E3">
              <w:rPr>
                <w:rFonts w:ascii="Times New Roman" w:eastAsia="Calibri" w:hAnsi="Times New Roman" w:cs="Times New Roman"/>
                <w:sz w:val="24"/>
                <w:szCs w:val="24"/>
              </w:rPr>
              <w:t>Detalūs priemonės įgyvendinimo aspektai bus pateikti projektų finansavimo sąlygų apraše.</w:t>
            </w:r>
          </w:p>
        </w:tc>
      </w:tr>
      <w:tr w:rsidR="00C45CFD" w:rsidRPr="003B1E2F" w14:paraId="382FED50" w14:textId="77777777" w:rsidTr="00597CC3">
        <w:trPr>
          <w:trHeight w:val="263"/>
        </w:trPr>
        <w:tc>
          <w:tcPr>
            <w:tcW w:w="15137" w:type="dxa"/>
            <w:gridSpan w:val="3"/>
          </w:tcPr>
          <w:p w14:paraId="6AF4460A" w14:textId="4A9A8B68" w:rsidR="00C45CFD" w:rsidRPr="00D45583" w:rsidRDefault="00C45CFD" w:rsidP="00C45CFD">
            <w:pPr>
              <w:pStyle w:val="ListParagraph"/>
              <w:spacing w:line="256" w:lineRule="auto"/>
              <w:ind w:left="1080"/>
              <w:jc w:val="center"/>
              <w:rPr>
                <w:rFonts w:ascii="Times New Roman" w:eastAsia="Calibri" w:hAnsi="Times New Roman" w:cs="Times New Roman"/>
                <w:b/>
                <w:sz w:val="24"/>
                <w:szCs w:val="24"/>
              </w:rPr>
            </w:pPr>
            <w:r w:rsidRPr="00D45583">
              <w:rPr>
                <w:rFonts w:ascii="Times New Roman" w:eastAsia="Calibri" w:hAnsi="Times New Roman" w:cs="Times New Roman"/>
                <w:b/>
                <w:sz w:val="24"/>
                <w:szCs w:val="24"/>
              </w:rPr>
              <w:t>LR ūkio ministerijos 2017 m. gegužės 10 d. raštas Nr. (18.6-51)-3</w:t>
            </w:r>
            <w:proofErr w:type="gramStart"/>
            <w:r w:rsidRPr="00D45583">
              <w:rPr>
                <w:rFonts w:ascii="Times New Roman" w:eastAsia="Calibri" w:hAnsi="Times New Roman" w:cs="Times New Roman"/>
                <w:b/>
                <w:sz w:val="24"/>
                <w:szCs w:val="24"/>
              </w:rPr>
              <w:t>-</w:t>
            </w:r>
            <w:proofErr w:type="gramEnd"/>
            <w:r w:rsidRPr="00D45583">
              <w:rPr>
                <w:rFonts w:ascii="Times New Roman" w:eastAsia="Calibri" w:hAnsi="Times New Roman" w:cs="Times New Roman"/>
                <w:b/>
                <w:sz w:val="24"/>
                <w:szCs w:val="24"/>
              </w:rPr>
              <w:t>1966</w:t>
            </w:r>
          </w:p>
        </w:tc>
      </w:tr>
      <w:tr w:rsidR="00861E55" w:rsidRPr="003B1E2F" w14:paraId="252BE1C0" w14:textId="77777777" w:rsidTr="006D62B3">
        <w:trPr>
          <w:trHeight w:val="263"/>
        </w:trPr>
        <w:tc>
          <w:tcPr>
            <w:tcW w:w="1296" w:type="dxa"/>
          </w:tcPr>
          <w:p w14:paraId="34D3EF18" w14:textId="77777777" w:rsidR="00861E55" w:rsidRPr="003B1E2F" w:rsidRDefault="00861E55" w:rsidP="00714ED0">
            <w:pPr>
              <w:pStyle w:val="ListParagraph"/>
              <w:numPr>
                <w:ilvl w:val="0"/>
                <w:numId w:val="1"/>
              </w:numPr>
              <w:rPr>
                <w:rFonts w:ascii="Times New Roman" w:hAnsi="Times New Roman" w:cs="Times New Roman"/>
                <w:sz w:val="24"/>
                <w:szCs w:val="24"/>
              </w:rPr>
            </w:pPr>
          </w:p>
        </w:tc>
        <w:tc>
          <w:tcPr>
            <w:tcW w:w="8424" w:type="dxa"/>
          </w:tcPr>
          <w:p w14:paraId="0FFC9D5F" w14:textId="493AA29D" w:rsidR="00925876" w:rsidRPr="00925876" w:rsidRDefault="00925876" w:rsidP="00925876">
            <w:pPr>
              <w:rPr>
                <w:rStyle w:val="BodyText1"/>
                <w:rFonts w:eastAsia="Courier New"/>
                <w:sz w:val="24"/>
                <w:szCs w:val="24"/>
              </w:rPr>
            </w:pPr>
            <w:r w:rsidRPr="00925876">
              <w:rPr>
                <w:rFonts w:ascii="Times New Roman" w:hAnsi="Times New Roman" w:cs="Times New Roman"/>
                <w:sz w:val="24"/>
                <w:szCs w:val="24"/>
              </w:rPr>
              <w:t xml:space="preserve"> 6. </w:t>
            </w:r>
            <w:r w:rsidRPr="00925876">
              <w:rPr>
                <w:rStyle w:val="BodyText1"/>
                <w:rFonts w:eastAsia="Courier New"/>
                <w:sz w:val="24"/>
                <w:szCs w:val="24"/>
              </w:rPr>
              <w:t>Priemonės įgyvendinimo stebėsenos rodikliai.</w:t>
            </w:r>
          </w:p>
          <w:p w14:paraId="5515422E" w14:textId="77777777" w:rsidR="00861E55" w:rsidRDefault="00861E55" w:rsidP="00925876">
            <w:pPr>
              <w:rPr>
                <w:rStyle w:val="BodyText1"/>
                <w:rFonts w:eastAsia="Courier New"/>
                <w:sz w:val="24"/>
                <w:szCs w:val="24"/>
              </w:rPr>
            </w:pPr>
            <w:r w:rsidRPr="00925876">
              <w:rPr>
                <w:rStyle w:val="BodyText1"/>
                <w:rFonts w:eastAsia="Courier New"/>
                <w:sz w:val="24"/>
                <w:szCs w:val="24"/>
              </w:rPr>
              <w:t>Ūkio ministerija, atsakydama į Energetikos ministerijos 2017 m. gegužės 4 d. raštą Nr. (18.1-17)3</w:t>
            </w:r>
            <w:proofErr w:type="gramStart"/>
            <w:r w:rsidRPr="00925876">
              <w:rPr>
                <w:rStyle w:val="BodyText1"/>
                <w:rFonts w:eastAsia="Courier New"/>
                <w:sz w:val="24"/>
                <w:szCs w:val="24"/>
              </w:rPr>
              <w:t>-</w:t>
            </w:r>
            <w:proofErr w:type="gramEnd"/>
            <w:r w:rsidRPr="00925876">
              <w:rPr>
                <w:rStyle w:val="BodyText1"/>
                <w:rFonts w:eastAsia="Courier New"/>
                <w:sz w:val="24"/>
                <w:szCs w:val="24"/>
              </w:rPr>
              <w:t xml:space="preserve">910, teikia pasiūlymą apsvarstyti stebėsenos bendrojo produkto </w:t>
            </w:r>
            <w:r w:rsidRPr="00925876">
              <w:rPr>
                <w:rStyle w:val="BodyText1"/>
                <w:rFonts w:eastAsia="Courier New"/>
                <w:sz w:val="24"/>
                <w:szCs w:val="24"/>
              </w:rPr>
              <w:lastRenderedPageBreak/>
              <w:t xml:space="preserve">rodiklio P.B. 230 „Papildomi atsinaujinančių išteklių energijos gamybos </w:t>
            </w:r>
            <w:proofErr w:type="spellStart"/>
            <w:r w:rsidRPr="00925876">
              <w:rPr>
                <w:rStyle w:val="BodyText1"/>
                <w:rFonts w:eastAsia="Courier New"/>
                <w:sz w:val="24"/>
                <w:szCs w:val="24"/>
              </w:rPr>
              <w:t>pajėgumai</w:t>
            </w:r>
            <w:proofErr w:type="spellEnd"/>
            <w:r w:rsidRPr="00925876">
              <w:rPr>
                <w:rStyle w:val="BodyText1"/>
                <w:rFonts w:eastAsia="Courier New"/>
                <w:sz w:val="24"/>
                <w:szCs w:val="24"/>
              </w:rPr>
              <w:t>“ nustatymą priemonėse Nr. 04.3.2-LVPA-V-111 „Katilinių keitimas namų ūkiuose“ ir Nr. 04.1.1-LVPA-K-112 „Biokurą naudojančių šilumos gamybos įrengimų keitimas“. Šis stebėsenos rodiklis prisidėtų prie priemonių tikslų, kadangi skaičiuotų siektiną priemonių rezultatą – atsinaujinančių energijos išteklių padidėjimą.</w:t>
            </w:r>
          </w:p>
          <w:p w14:paraId="68E89E7F" w14:textId="1AD41423" w:rsidR="00DC56EE" w:rsidRPr="00925876" w:rsidRDefault="00DC56EE" w:rsidP="00925876">
            <w:pPr>
              <w:rPr>
                <w:rStyle w:val="BodyText1"/>
                <w:rFonts w:eastAsia="Courier New"/>
                <w:sz w:val="24"/>
                <w:szCs w:val="24"/>
              </w:rPr>
            </w:pPr>
          </w:p>
        </w:tc>
        <w:tc>
          <w:tcPr>
            <w:tcW w:w="5417" w:type="dxa"/>
          </w:tcPr>
          <w:p w14:paraId="648DC12F" w14:textId="5C8E3D41" w:rsidR="00861E55" w:rsidRDefault="00861E55" w:rsidP="00861E55">
            <w:pPr>
              <w:spacing w:line="256" w:lineRule="auto"/>
              <w:rPr>
                <w:rFonts w:ascii="Times New Roman" w:eastAsia="Calibri" w:hAnsi="Times New Roman" w:cs="Times New Roman"/>
                <w:b/>
                <w:sz w:val="24"/>
                <w:szCs w:val="24"/>
              </w:rPr>
            </w:pPr>
            <w:r w:rsidRPr="00861E55">
              <w:rPr>
                <w:rFonts w:ascii="Times New Roman" w:eastAsia="Calibri" w:hAnsi="Times New Roman" w:cs="Times New Roman"/>
                <w:b/>
                <w:sz w:val="24"/>
                <w:szCs w:val="24"/>
              </w:rPr>
              <w:lastRenderedPageBreak/>
              <w:t>Neatsižvelgta</w:t>
            </w:r>
            <w:r w:rsidR="006D62B3">
              <w:rPr>
                <w:rFonts w:ascii="Times New Roman" w:eastAsia="Calibri" w:hAnsi="Times New Roman" w:cs="Times New Roman"/>
                <w:b/>
                <w:sz w:val="24"/>
                <w:szCs w:val="24"/>
              </w:rPr>
              <w:t>.</w:t>
            </w:r>
          </w:p>
          <w:p w14:paraId="6C414507" w14:textId="77777777" w:rsidR="00861E55" w:rsidRPr="00861E55" w:rsidRDefault="00861E55" w:rsidP="00861E55">
            <w:pPr>
              <w:spacing w:line="256" w:lineRule="auto"/>
              <w:rPr>
                <w:rFonts w:ascii="Times New Roman" w:eastAsia="Calibri" w:hAnsi="Times New Roman" w:cs="Times New Roman"/>
                <w:sz w:val="24"/>
                <w:szCs w:val="24"/>
              </w:rPr>
            </w:pPr>
          </w:p>
          <w:p w14:paraId="41884E2D" w14:textId="14A0CFA1" w:rsidR="00861E55" w:rsidRPr="00861E55" w:rsidRDefault="00861E55" w:rsidP="001F71CA">
            <w:pPr>
              <w:spacing w:line="256" w:lineRule="auto"/>
              <w:rPr>
                <w:rFonts w:ascii="Times New Roman" w:eastAsia="Calibri" w:hAnsi="Times New Roman" w:cs="Times New Roman"/>
                <w:b/>
                <w:sz w:val="24"/>
                <w:szCs w:val="24"/>
              </w:rPr>
            </w:pPr>
            <w:r w:rsidRPr="00861E55">
              <w:rPr>
                <w:rFonts w:ascii="Times New Roman" w:eastAsia="Calibri" w:hAnsi="Times New Roman" w:cs="Times New Roman"/>
                <w:sz w:val="24"/>
                <w:szCs w:val="24"/>
              </w:rPr>
              <w:lastRenderedPageBreak/>
              <w:t xml:space="preserve">Įgyvendinant priemonę bus siekiama didinti energijos vartojimo efektyvumą, o ne skatinti </w:t>
            </w:r>
            <w:r>
              <w:rPr>
                <w:rFonts w:ascii="Times New Roman" w:eastAsia="Calibri" w:hAnsi="Times New Roman" w:cs="Times New Roman"/>
                <w:sz w:val="24"/>
                <w:szCs w:val="24"/>
              </w:rPr>
              <w:t xml:space="preserve">didesnį </w:t>
            </w:r>
            <w:r w:rsidRPr="00861E55">
              <w:rPr>
                <w:rFonts w:ascii="Times New Roman" w:eastAsia="Calibri" w:hAnsi="Times New Roman" w:cs="Times New Roman"/>
                <w:sz w:val="24"/>
                <w:szCs w:val="24"/>
              </w:rPr>
              <w:t xml:space="preserve">atsinaujinančių </w:t>
            </w:r>
            <w:r w:rsidR="001F71CA">
              <w:rPr>
                <w:rFonts w:ascii="Times New Roman" w:eastAsia="Calibri" w:hAnsi="Times New Roman" w:cs="Times New Roman"/>
                <w:sz w:val="24"/>
                <w:szCs w:val="24"/>
              </w:rPr>
              <w:t xml:space="preserve">energijos </w:t>
            </w:r>
            <w:r w:rsidRPr="00861E55">
              <w:rPr>
                <w:rFonts w:ascii="Times New Roman" w:eastAsia="Calibri" w:hAnsi="Times New Roman" w:cs="Times New Roman"/>
                <w:sz w:val="24"/>
                <w:szCs w:val="24"/>
              </w:rPr>
              <w:t>išteklių naudojimą</w:t>
            </w:r>
            <w:r w:rsidR="001F71CA">
              <w:rPr>
                <w:rFonts w:ascii="Times New Roman" w:eastAsia="Calibri" w:hAnsi="Times New Roman" w:cs="Times New Roman"/>
                <w:sz w:val="24"/>
                <w:szCs w:val="24"/>
              </w:rPr>
              <w:t>.</w:t>
            </w:r>
            <w:r w:rsidR="003772AD">
              <w:rPr>
                <w:rFonts w:ascii="Times New Roman" w:eastAsia="Calibri" w:hAnsi="Times New Roman" w:cs="Times New Roman"/>
                <w:sz w:val="24"/>
                <w:szCs w:val="24"/>
              </w:rPr>
              <w:t xml:space="preserve"> </w:t>
            </w:r>
            <w:r w:rsidR="0052016A">
              <w:rPr>
                <w:rFonts w:ascii="Times New Roman" w:eastAsia="Calibri" w:hAnsi="Times New Roman" w:cs="Times New Roman"/>
                <w:sz w:val="24"/>
                <w:szCs w:val="24"/>
              </w:rPr>
              <w:t>Taip pat</w:t>
            </w:r>
            <w:r w:rsidR="006264D8">
              <w:rPr>
                <w:rFonts w:ascii="Times New Roman" w:eastAsia="Calibri" w:hAnsi="Times New Roman" w:cs="Times New Roman"/>
                <w:sz w:val="24"/>
                <w:szCs w:val="24"/>
              </w:rPr>
              <w:t>,</w:t>
            </w:r>
            <w:r w:rsidR="0052016A">
              <w:rPr>
                <w:rFonts w:ascii="Times New Roman" w:eastAsia="Calibri" w:hAnsi="Times New Roman" w:cs="Times New Roman"/>
                <w:sz w:val="24"/>
                <w:szCs w:val="24"/>
              </w:rPr>
              <w:t xml:space="preserve"> šis rodiklis nėra priskirtas </w:t>
            </w:r>
            <w:r w:rsidR="006264D8">
              <w:rPr>
                <w:rFonts w:ascii="Times New Roman" w:eastAsia="Calibri" w:hAnsi="Times New Roman" w:cs="Times New Roman"/>
                <w:sz w:val="24"/>
                <w:szCs w:val="24"/>
              </w:rPr>
              <w:t>veiksmų programos 4.3.2 konkrečiam uždaviniui „</w:t>
            </w:r>
            <w:r w:rsidR="006264D8" w:rsidRPr="006264D8">
              <w:rPr>
                <w:rFonts w:ascii="Times New Roman" w:eastAsia="Calibri" w:hAnsi="Times New Roman" w:cs="Times New Roman"/>
                <w:sz w:val="24"/>
                <w:szCs w:val="24"/>
              </w:rPr>
              <w:t>Padidinti energijos vartojimo efektyvumą šilumos tiekimo srityje ir namų ūkiuose</w:t>
            </w:r>
            <w:r w:rsidR="006264D8">
              <w:rPr>
                <w:rFonts w:ascii="Times New Roman" w:eastAsia="Calibri" w:hAnsi="Times New Roman" w:cs="Times New Roman"/>
                <w:sz w:val="24"/>
                <w:szCs w:val="24"/>
              </w:rPr>
              <w:t>“.</w:t>
            </w:r>
          </w:p>
        </w:tc>
      </w:tr>
      <w:tr w:rsidR="006825AE" w:rsidRPr="003B1E2F" w14:paraId="3D0410BB" w14:textId="77777777" w:rsidTr="00C31AB7">
        <w:trPr>
          <w:trHeight w:val="263"/>
        </w:trPr>
        <w:tc>
          <w:tcPr>
            <w:tcW w:w="15137" w:type="dxa"/>
            <w:gridSpan w:val="3"/>
          </w:tcPr>
          <w:p w14:paraId="41D0106F" w14:textId="08FCE03C" w:rsidR="00E27194" w:rsidRDefault="006825AE" w:rsidP="00C45CFD">
            <w:pPr>
              <w:pStyle w:val="ListParagraph"/>
              <w:spacing w:line="256" w:lineRule="auto"/>
              <w:ind w:left="1080"/>
              <w:jc w:val="center"/>
              <w:rPr>
                <w:rFonts w:ascii="Times New Roman" w:eastAsia="Calibri" w:hAnsi="Times New Roman" w:cs="Times New Roman"/>
                <w:b/>
                <w:sz w:val="24"/>
                <w:szCs w:val="24"/>
              </w:rPr>
            </w:pPr>
            <w:r w:rsidRPr="006825AE">
              <w:rPr>
                <w:rFonts w:ascii="Times New Roman" w:eastAsia="Calibri" w:hAnsi="Times New Roman" w:cs="Times New Roman"/>
                <w:b/>
                <w:sz w:val="24"/>
                <w:szCs w:val="24"/>
              </w:rPr>
              <w:lastRenderedPageBreak/>
              <w:t>LR aplinkos ministerijos Aplinkos projektų valdymo agentūros 2017 m. gegužės 1</w:t>
            </w:r>
            <w:r w:rsidR="00E27194">
              <w:rPr>
                <w:rFonts w:ascii="Times New Roman" w:eastAsia="Calibri" w:hAnsi="Times New Roman" w:cs="Times New Roman"/>
                <w:b/>
                <w:sz w:val="24"/>
                <w:szCs w:val="24"/>
              </w:rPr>
              <w:t>8</w:t>
            </w:r>
            <w:r w:rsidRPr="006825AE">
              <w:rPr>
                <w:rFonts w:ascii="Times New Roman" w:eastAsia="Calibri" w:hAnsi="Times New Roman" w:cs="Times New Roman"/>
                <w:b/>
                <w:sz w:val="24"/>
                <w:szCs w:val="24"/>
              </w:rPr>
              <w:t xml:space="preserve"> d. raštas Nr.</w:t>
            </w:r>
            <w:proofErr w:type="gramStart"/>
            <w:r w:rsidRPr="006825AE">
              <w:rPr>
                <w:rFonts w:ascii="Times New Roman" w:eastAsia="Calibri" w:hAnsi="Times New Roman" w:cs="Times New Roman"/>
                <w:b/>
                <w:sz w:val="24"/>
                <w:szCs w:val="24"/>
              </w:rPr>
              <w:t xml:space="preserve"> </w:t>
            </w:r>
            <w:r w:rsidR="00E27194">
              <w:t xml:space="preserve"> </w:t>
            </w:r>
            <w:proofErr w:type="gramEnd"/>
            <w:r w:rsidR="00E27194" w:rsidRPr="00E27194">
              <w:rPr>
                <w:rFonts w:ascii="Times New Roman" w:eastAsia="Calibri" w:hAnsi="Times New Roman" w:cs="Times New Roman"/>
                <w:b/>
                <w:sz w:val="24"/>
                <w:szCs w:val="24"/>
              </w:rPr>
              <w:t>(29-2-7)-APVA-1097</w:t>
            </w:r>
          </w:p>
          <w:p w14:paraId="0F68A80F" w14:textId="77777777" w:rsidR="006825AE" w:rsidRPr="006825AE" w:rsidRDefault="006825AE" w:rsidP="006825AE">
            <w:pPr>
              <w:pStyle w:val="ListParagraph"/>
              <w:spacing w:line="256" w:lineRule="auto"/>
              <w:ind w:left="1080"/>
              <w:rPr>
                <w:rFonts w:ascii="Times New Roman" w:eastAsia="Calibri" w:hAnsi="Times New Roman" w:cs="Times New Roman"/>
                <w:b/>
                <w:sz w:val="24"/>
                <w:szCs w:val="24"/>
              </w:rPr>
            </w:pPr>
          </w:p>
        </w:tc>
      </w:tr>
      <w:tr w:rsidR="00CA08E3" w:rsidRPr="00861E55" w14:paraId="568A076A" w14:textId="77777777" w:rsidTr="006D62B3">
        <w:trPr>
          <w:trHeight w:val="263"/>
        </w:trPr>
        <w:tc>
          <w:tcPr>
            <w:tcW w:w="1296" w:type="dxa"/>
          </w:tcPr>
          <w:p w14:paraId="7C1DD93F" w14:textId="77777777" w:rsidR="00CA08E3" w:rsidRPr="003B1E2F" w:rsidRDefault="00CA08E3" w:rsidP="004C1D41">
            <w:pPr>
              <w:pStyle w:val="ListParagraph"/>
              <w:numPr>
                <w:ilvl w:val="0"/>
                <w:numId w:val="1"/>
              </w:numPr>
              <w:rPr>
                <w:rFonts w:ascii="Times New Roman" w:hAnsi="Times New Roman" w:cs="Times New Roman"/>
                <w:sz w:val="24"/>
                <w:szCs w:val="24"/>
              </w:rPr>
            </w:pPr>
          </w:p>
        </w:tc>
        <w:tc>
          <w:tcPr>
            <w:tcW w:w="8424" w:type="dxa"/>
          </w:tcPr>
          <w:p w14:paraId="030D28BF" w14:textId="790675D1" w:rsidR="00CA08E3" w:rsidRPr="00CA08E3" w:rsidRDefault="00CA08E3" w:rsidP="00CA08E3">
            <w:pPr>
              <w:rPr>
                <w:rStyle w:val="BodyText1"/>
                <w:rFonts w:eastAsia="Courier New"/>
                <w:sz w:val="24"/>
                <w:szCs w:val="24"/>
              </w:rPr>
            </w:pPr>
            <w:r w:rsidRPr="00CA08E3">
              <w:rPr>
                <w:rStyle w:val="BodyText1"/>
                <w:rFonts w:eastAsia="Courier New"/>
                <w:sz w:val="24"/>
                <w:szCs w:val="24"/>
              </w:rPr>
              <w:t>7.  Galimų pareiškėjų, galutinių naudos gavėjų ir partnerių pasirinkimo pagrindimas</w:t>
            </w:r>
            <w:r w:rsidR="006D62B3">
              <w:rPr>
                <w:rStyle w:val="BodyText1"/>
                <w:rFonts w:eastAsia="Courier New"/>
                <w:sz w:val="24"/>
                <w:szCs w:val="24"/>
              </w:rPr>
              <w:t>.</w:t>
            </w:r>
          </w:p>
          <w:p w14:paraId="2AE0E0C9" w14:textId="77777777" w:rsidR="00CA08E3" w:rsidRPr="00CA08E3" w:rsidRDefault="00CA08E3" w:rsidP="00CA08E3">
            <w:pPr>
              <w:rPr>
                <w:rStyle w:val="BodyText1"/>
                <w:rFonts w:eastAsia="Courier New"/>
                <w:sz w:val="24"/>
                <w:szCs w:val="24"/>
              </w:rPr>
            </w:pPr>
          </w:p>
          <w:p w14:paraId="101C37BF" w14:textId="77777777" w:rsidR="00CA08E3" w:rsidRPr="00CA08E3" w:rsidRDefault="00CA08E3" w:rsidP="00CA08E3">
            <w:pPr>
              <w:rPr>
                <w:rStyle w:val="BodyText1"/>
                <w:rFonts w:eastAsia="Courier New"/>
                <w:sz w:val="24"/>
                <w:szCs w:val="24"/>
              </w:rPr>
            </w:pPr>
            <w:r w:rsidRPr="00CA08E3">
              <w:rPr>
                <w:rStyle w:val="BodyText1"/>
                <w:rFonts w:eastAsia="Courier New"/>
                <w:sz w:val="24"/>
                <w:szCs w:val="24"/>
              </w:rPr>
              <w:t>1. Atsižvelgdami į tai, kad 2014</w:t>
            </w:r>
            <w:proofErr w:type="gramStart"/>
            <w:r w:rsidRPr="00CA08E3">
              <w:rPr>
                <w:rStyle w:val="BodyText1"/>
                <w:rFonts w:eastAsia="Courier New"/>
                <w:sz w:val="24"/>
                <w:szCs w:val="24"/>
              </w:rPr>
              <w:t>-</w:t>
            </w:r>
            <w:proofErr w:type="gramEnd"/>
            <w:r w:rsidRPr="00CA08E3">
              <w:rPr>
                <w:rStyle w:val="BodyText1"/>
                <w:rFonts w:eastAsia="Courier New"/>
                <w:sz w:val="24"/>
                <w:szCs w:val="24"/>
              </w:rPr>
              <w:t xml:space="preserve">2020 metų Europos Sąjungos fondų investicijų veiksmų programos prioritetų įgyvendinimo priemonės Nr. 04.3.2-LVPA-V-111 „Katilų keitimas namų ūkiuose“ pagrindimo 7 p. nurodoma, jog Lietuvos aplinkos apsaugos investicijų fondas po numatomos reorganizacijos bus prijungtas prie Lietuvos Respublikos aplinkos ministerijos Aplinkos projektų valdymo agentūros, ir siekdami išvengti papildomo 2014–2020 m. Europos Sąjungos fondų investicijų veiksmų programos prioritetų įgyvendinimo priemonių įgyvendinimo plano keitimo po reorganizacijos, siūlome Projekte neminėti konkretaus biudžetinės įstaigos pavadinimo. Siūlome Projekto 1.1 p. išdėstyto I skyriaus aštuntojo skirsnio 1.4 p. išdėstyti taip: </w:t>
            </w:r>
          </w:p>
          <w:p w14:paraId="259351C3" w14:textId="77777777" w:rsidR="00CA08E3" w:rsidRPr="00CA08E3" w:rsidRDefault="00CA08E3" w:rsidP="00CA08E3">
            <w:pPr>
              <w:rPr>
                <w:rStyle w:val="BodyText1"/>
                <w:rFonts w:eastAsia="Courier New"/>
                <w:sz w:val="24"/>
                <w:szCs w:val="24"/>
              </w:rPr>
            </w:pPr>
            <w:r w:rsidRPr="00CA08E3">
              <w:rPr>
                <w:rStyle w:val="BodyText1"/>
                <w:rFonts w:eastAsia="Courier New"/>
                <w:sz w:val="24"/>
                <w:szCs w:val="24"/>
              </w:rPr>
              <w:t>„1.4. Galimas pareiškėjas: biudžetinė įstaiga.“</w:t>
            </w:r>
          </w:p>
          <w:p w14:paraId="20244737" w14:textId="5D3CDD93" w:rsidR="00CA08E3" w:rsidRPr="00861E55" w:rsidRDefault="00CA08E3" w:rsidP="004C1D41">
            <w:pPr>
              <w:rPr>
                <w:rStyle w:val="BodyText1"/>
                <w:rFonts w:eastAsia="Courier New"/>
                <w:sz w:val="24"/>
                <w:szCs w:val="24"/>
              </w:rPr>
            </w:pPr>
          </w:p>
        </w:tc>
        <w:tc>
          <w:tcPr>
            <w:tcW w:w="5417" w:type="dxa"/>
          </w:tcPr>
          <w:p w14:paraId="5C389139" w14:textId="19D1B1AD" w:rsidR="00CA08E3" w:rsidRPr="00CA08E3" w:rsidRDefault="00CA08E3" w:rsidP="00CA08E3">
            <w:pPr>
              <w:spacing w:after="160" w:line="256" w:lineRule="auto"/>
              <w:rPr>
                <w:rFonts w:ascii="Times New Roman" w:eastAsia="Calibri" w:hAnsi="Times New Roman" w:cs="Times New Roman"/>
                <w:b/>
                <w:sz w:val="24"/>
                <w:szCs w:val="24"/>
              </w:rPr>
            </w:pPr>
            <w:r w:rsidRPr="00CA08E3">
              <w:rPr>
                <w:rFonts w:ascii="Times New Roman" w:eastAsia="Calibri" w:hAnsi="Times New Roman" w:cs="Times New Roman"/>
                <w:b/>
                <w:sz w:val="24"/>
                <w:szCs w:val="24"/>
              </w:rPr>
              <w:t>Neatsižvelgta</w:t>
            </w:r>
            <w:r w:rsidR="006D62B3">
              <w:rPr>
                <w:rFonts w:ascii="Times New Roman" w:eastAsia="Calibri" w:hAnsi="Times New Roman" w:cs="Times New Roman"/>
                <w:b/>
                <w:sz w:val="24"/>
                <w:szCs w:val="24"/>
              </w:rPr>
              <w:t>.</w:t>
            </w:r>
          </w:p>
          <w:p w14:paraId="0128118D" w14:textId="77777777" w:rsidR="00CA08E3" w:rsidRPr="00CA08E3" w:rsidRDefault="00CA08E3" w:rsidP="00CA08E3">
            <w:pPr>
              <w:spacing w:after="160" w:line="256" w:lineRule="auto"/>
              <w:rPr>
                <w:rFonts w:ascii="Times New Roman" w:eastAsia="Calibri" w:hAnsi="Times New Roman" w:cs="Times New Roman"/>
                <w:sz w:val="24"/>
                <w:szCs w:val="24"/>
              </w:rPr>
            </w:pPr>
          </w:p>
          <w:p w14:paraId="349F18E0" w14:textId="5012A64A" w:rsidR="00CA08E3" w:rsidRPr="00861E55" w:rsidRDefault="00CA08E3" w:rsidP="00CA08E3">
            <w:pPr>
              <w:spacing w:line="256" w:lineRule="auto"/>
              <w:rPr>
                <w:rFonts w:ascii="Times New Roman" w:eastAsia="Calibri" w:hAnsi="Times New Roman" w:cs="Times New Roman"/>
                <w:b/>
                <w:sz w:val="24"/>
                <w:szCs w:val="24"/>
              </w:rPr>
            </w:pPr>
            <w:r w:rsidRPr="00396C7C">
              <w:rPr>
                <w:rFonts w:ascii="Times New Roman" w:eastAsia="Calibri" w:hAnsi="Times New Roman" w:cs="Times New Roman"/>
                <w:sz w:val="24"/>
                <w:szCs w:val="24"/>
              </w:rPr>
              <w:t xml:space="preserve">Vadovaujantis PAFT 35 punktu, </w:t>
            </w:r>
            <w:r w:rsidRPr="00396C7C">
              <w:rPr>
                <w:rFonts w:ascii="Calibri" w:eastAsia="Calibri" w:hAnsi="Calibri" w:cs="Times New Roman"/>
              </w:rPr>
              <w:t>p</w:t>
            </w:r>
            <w:r w:rsidRPr="00396C7C">
              <w:rPr>
                <w:rFonts w:ascii="Times New Roman" w:eastAsia="Calibri" w:hAnsi="Times New Roman" w:cs="Times New Roman"/>
                <w:sz w:val="24"/>
                <w:szCs w:val="24"/>
              </w:rPr>
              <w:t>rojektas įtraukiamas į valstybės projektų sąrašą, jei strateginio planavimo dokumente nustatytas projekto vykdytojas ir jam pavestos įgyvendinti veiklos sritys (kurios atitinka projekto tikslą) arba strateginio planavimo dokumente nurodomas planuojamas įgyvendinti projektas, projekto vykdytojas ir jam numatytos projekto veiklos. Taigi projekto vykdytojas privalo būti nurodytas, siekiant projektą įtraukti į valstybės projektų sąrašą</w:t>
            </w:r>
            <w:r>
              <w:rPr>
                <w:rFonts w:ascii="Times New Roman" w:eastAsia="Calibri" w:hAnsi="Times New Roman" w:cs="Times New Roman"/>
                <w:sz w:val="24"/>
                <w:szCs w:val="24"/>
              </w:rPr>
              <w:t>.</w:t>
            </w:r>
          </w:p>
        </w:tc>
      </w:tr>
      <w:tr w:rsidR="00CA08E3" w:rsidRPr="00861E55" w14:paraId="090DEB63" w14:textId="77777777" w:rsidTr="006D62B3">
        <w:trPr>
          <w:trHeight w:val="263"/>
        </w:trPr>
        <w:tc>
          <w:tcPr>
            <w:tcW w:w="1296" w:type="dxa"/>
          </w:tcPr>
          <w:p w14:paraId="34BECEBA" w14:textId="77777777" w:rsidR="00CA08E3" w:rsidRPr="003B1E2F" w:rsidRDefault="00CA08E3" w:rsidP="004C1D41">
            <w:pPr>
              <w:pStyle w:val="ListParagraph"/>
              <w:numPr>
                <w:ilvl w:val="0"/>
                <w:numId w:val="1"/>
              </w:numPr>
              <w:rPr>
                <w:rFonts w:ascii="Times New Roman" w:hAnsi="Times New Roman" w:cs="Times New Roman"/>
                <w:sz w:val="24"/>
                <w:szCs w:val="24"/>
              </w:rPr>
            </w:pPr>
          </w:p>
        </w:tc>
        <w:tc>
          <w:tcPr>
            <w:tcW w:w="8424" w:type="dxa"/>
          </w:tcPr>
          <w:p w14:paraId="3951AC5C" w14:textId="1952F3E2" w:rsidR="00CA08E3" w:rsidRPr="00CA08E3" w:rsidRDefault="00CA08E3" w:rsidP="00CA08E3">
            <w:pPr>
              <w:rPr>
                <w:rStyle w:val="BodyText1"/>
                <w:rFonts w:eastAsia="Courier New"/>
                <w:sz w:val="24"/>
                <w:szCs w:val="24"/>
              </w:rPr>
            </w:pPr>
            <w:r>
              <w:rPr>
                <w:rStyle w:val="BodyText1"/>
                <w:rFonts w:eastAsia="Courier New"/>
                <w:sz w:val="24"/>
                <w:szCs w:val="24"/>
              </w:rPr>
              <w:t xml:space="preserve">6. </w:t>
            </w:r>
            <w:r w:rsidRPr="00CA08E3">
              <w:rPr>
                <w:rStyle w:val="BodyText1"/>
                <w:rFonts w:eastAsia="Courier New"/>
                <w:sz w:val="24"/>
                <w:szCs w:val="24"/>
              </w:rPr>
              <w:t>Priemonės įgyvendinimo stebėsenos rodikliai</w:t>
            </w:r>
            <w:r w:rsidR="006D62B3">
              <w:rPr>
                <w:rStyle w:val="BodyText1"/>
                <w:rFonts w:eastAsia="Courier New"/>
                <w:sz w:val="24"/>
                <w:szCs w:val="24"/>
              </w:rPr>
              <w:t>.</w:t>
            </w:r>
          </w:p>
          <w:p w14:paraId="0D4E1B98" w14:textId="77777777" w:rsidR="00CA08E3" w:rsidRPr="00CA08E3" w:rsidRDefault="00CA08E3" w:rsidP="00CA08E3">
            <w:pPr>
              <w:rPr>
                <w:rStyle w:val="BodyText1"/>
                <w:rFonts w:eastAsia="Courier New"/>
                <w:sz w:val="24"/>
                <w:szCs w:val="24"/>
              </w:rPr>
            </w:pPr>
          </w:p>
          <w:p w14:paraId="35568811" w14:textId="77777777" w:rsidR="00CA08E3" w:rsidRDefault="00CA08E3" w:rsidP="00CA08E3">
            <w:pPr>
              <w:rPr>
                <w:rStyle w:val="BodyText1"/>
                <w:rFonts w:eastAsia="Courier New"/>
                <w:sz w:val="24"/>
                <w:szCs w:val="24"/>
              </w:rPr>
            </w:pPr>
            <w:r w:rsidRPr="00CA08E3">
              <w:rPr>
                <w:rStyle w:val="BodyText1"/>
                <w:rFonts w:eastAsia="Courier New"/>
                <w:sz w:val="24"/>
                <w:szCs w:val="24"/>
              </w:rPr>
              <w:t xml:space="preserve">Atsižvelgiant į tai, kad iki stebėsenos rodiklių „Energijos suvartojimas namų ūkiuose (neprijungtuose prie centralizuotų šilumos tinklų)“ ir „Namų ūkiai, kuriuose padidintas atsinaujinančių išteklių energijos naudojimo efektyvumas“ tarpinės reikšmės fiksavimo momento (2018 m. gruodžio 31 d.) likus apie 1,5 m. nėra parengtas minėtų stebėsenos rodiklių skaičiavimo aprašas, projektų finansavimo sąlygų aprašas ir nepatvirtintas projektų sąrašas, taip pat atkreipiant dėmesį į tai, kad pagal priemonę įgyvendintinas projektas nėra tipinis, kadangi su projekto vykdytoju pasirašius projekto finansavimo ir administravimo sutartį turės būti parengta reikiama dokumentacija, būtina siekiant paskirstyti finansavimą atskiriems namų ūkiams), taip pat atsižvelgiant į planuojamą didelį namų ūkių kiekį, namų ūkių šildymo sezoniškumą bei į numatomą galimo pareiškėjo Lietuvos aplinkos apsaugos investicijų fondo reorganizaciją, manytina, kad Projekte nustatytos tarpinės </w:t>
            </w:r>
            <w:r w:rsidRPr="00CA08E3">
              <w:rPr>
                <w:rStyle w:val="BodyText1"/>
                <w:rFonts w:eastAsia="Courier New"/>
                <w:sz w:val="24"/>
                <w:szCs w:val="24"/>
              </w:rPr>
              <w:lastRenderedPageBreak/>
              <w:t>stebėsenos rodiklių „Energijos suvartojimas namų ūkiuose (neprijungtuose prie centralizuotų šilumos tinklų)“ ir „Namų ūkiai, kuriuose padidintas atsinaujinančių išteklių energijos naudojimo efektyvumas“ reikšmės yra itin rizikingos. Siūlome atsisakyti  Projekto 1.1 p. išdėstyto I skyriaus aštuntojo skirsnio 6 p. nurodytų tarpinių stebėsenos rodiklių „Energijos suvartojimas namų ūkiuose (neprijungtuose prie centralizuotų šilumos tinklų)“ ir „Namų ūkiai, kuriuose padidintas atsinaujinančių išteklių energijos naudojimo efektyvumas“ reikšmių 2018 m. gruodžio 31 d.</w:t>
            </w:r>
          </w:p>
          <w:p w14:paraId="170D7ACF" w14:textId="3B7C946A" w:rsidR="00DC56EE" w:rsidRPr="00CA08E3" w:rsidRDefault="00DC56EE" w:rsidP="00CA08E3">
            <w:pPr>
              <w:rPr>
                <w:rStyle w:val="BodyText1"/>
                <w:rFonts w:eastAsia="Courier New"/>
                <w:sz w:val="24"/>
                <w:szCs w:val="24"/>
              </w:rPr>
            </w:pPr>
          </w:p>
        </w:tc>
        <w:tc>
          <w:tcPr>
            <w:tcW w:w="5417" w:type="dxa"/>
          </w:tcPr>
          <w:p w14:paraId="0AB67101" w14:textId="103568F9" w:rsidR="00857C16" w:rsidRPr="00857C16" w:rsidRDefault="00857C16" w:rsidP="00857C16">
            <w:pPr>
              <w:spacing w:line="256" w:lineRule="auto"/>
              <w:rPr>
                <w:rFonts w:ascii="Times New Roman" w:eastAsia="Calibri" w:hAnsi="Times New Roman" w:cs="Times New Roman"/>
                <w:b/>
                <w:sz w:val="24"/>
                <w:szCs w:val="24"/>
              </w:rPr>
            </w:pPr>
            <w:r w:rsidRPr="00857C16">
              <w:rPr>
                <w:rFonts w:ascii="Times New Roman" w:eastAsia="Calibri" w:hAnsi="Times New Roman" w:cs="Times New Roman"/>
                <w:b/>
                <w:sz w:val="24"/>
                <w:szCs w:val="24"/>
              </w:rPr>
              <w:lastRenderedPageBreak/>
              <w:t>Atsižvelgta.</w:t>
            </w:r>
          </w:p>
          <w:p w14:paraId="2D8852D7" w14:textId="77777777" w:rsidR="00857C16" w:rsidRDefault="00857C16" w:rsidP="00857C16">
            <w:pPr>
              <w:spacing w:line="256" w:lineRule="auto"/>
              <w:rPr>
                <w:rFonts w:ascii="Times New Roman" w:eastAsia="Calibri" w:hAnsi="Times New Roman" w:cs="Times New Roman"/>
                <w:sz w:val="24"/>
                <w:szCs w:val="24"/>
              </w:rPr>
            </w:pPr>
          </w:p>
          <w:p w14:paraId="437BBA6F" w14:textId="1CFD1EB2" w:rsidR="00857C16" w:rsidRDefault="00857C16" w:rsidP="00857C16">
            <w:pPr>
              <w:spacing w:line="256" w:lineRule="auto"/>
              <w:rPr>
                <w:rFonts w:ascii="Times New Roman" w:eastAsia="Courier New" w:hAnsi="Times New Roman" w:cs="Times New Roman"/>
                <w:color w:val="000000"/>
                <w:sz w:val="24"/>
                <w:szCs w:val="24"/>
                <w:lang w:eastAsia="lt-LT" w:bidi="lt-LT"/>
              </w:rPr>
            </w:pPr>
            <w:r w:rsidRPr="002A65BA">
              <w:rPr>
                <w:rFonts w:ascii="Times New Roman" w:eastAsia="Calibri" w:hAnsi="Times New Roman" w:cs="Times New Roman"/>
                <w:sz w:val="24"/>
                <w:szCs w:val="24"/>
              </w:rPr>
              <w:t xml:space="preserve">Įvertinus LAAIF </w:t>
            </w:r>
            <w:r w:rsidR="003772AD">
              <w:rPr>
                <w:rFonts w:ascii="Times New Roman" w:eastAsia="Calibri" w:hAnsi="Times New Roman" w:cs="Times New Roman"/>
                <w:sz w:val="24"/>
                <w:szCs w:val="24"/>
              </w:rPr>
              <w:t xml:space="preserve">(žr. 10 punktą) </w:t>
            </w:r>
            <w:r w:rsidRPr="002A65BA">
              <w:rPr>
                <w:rFonts w:ascii="Times New Roman" w:eastAsia="Calibri" w:hAnsi="Times New Roman" w:cs="Times New Roman"/>
                <w:sz w:val="24"/>
                <w:szCs w:val="24"/>
              </w:rPr>
              <w:t xml:space="preserve">ir APVA raštuose </w:t>
            </w:r>
            <w:r>
              <w:rPr>
                <w:rFonts w:ascii="Times New Roman" w:eastAsia="Calibri" w:hAnsi="Times New Roman" w:cs="Times New Roman"/>
                <w:sz w:val="24"/>
                <w:szCs w:val="24"/>
              </w:rPr>
              <w:t xml:space="preserve">pateiktus argumentus, rodiklio </w:t>
            </w:r>
            <w:r w:rsidRPr="00396C7C">
              <w:rPr>
                <w:rFonts w:ascii="Times New Roman" w:eastAsia="Courier New" w:hAnsi="Times New Roman" w:cs="Times New Roman"/>
                <w:color w:val="000000"/>
                <w:sz w:val="24"/>
                <w:szCs w:val="24"/>
                <w:lang w:eastAsia="lt-LT" w:bidi="lt-LT"/>
              </w:rPr>
              <w:t>P.S.317 „Namų ūkiai, kuriuose padidintas atsinaujinančių išteklių energijos naudojimo efektyvumas“ tarpinė</w:t>
            </w:r>
            <w:r>
              <w:rPr>
                <w:rFonts w:ascii="Times New Roman" w:eastAsia="Courier New" w:hAnsi="Times New Roman" w:cs="Times New Roman"/>
                <w:color w:val="000000"/>
                <w:sz w:val="24"/>
                <w:szCs w:val="24"/>
                <w:lang w:eastAsia="lt-LT" w:bidi="lt-LT"/>
              </w:rPr>
              <w:t xml:space="preserve"> 2018 m. reikšmė sumažinta nuo 2250 iki 500. </w:t>
            </w:r>
          </w:p>
          <w:p w14:paraId="7B2D0461" w14:textId="75C93824" w:rsidR="00CA08E3" w:rsidRPr="00CA08E3" w:rsidRDefault="00CA08E3" w:rsidP="00CA08E3">
            <w:pPr>
              <w:spacing w:line="256" w:lineRule="auto"/>
              <w:rPr>
                <w:rFonts w:ascii="Times New Roman" w:eastAsia="Calibri" w:hAnsi="Times New Roman" w:cs="Times New Roman"/>
                <w:b/>
                <w:sz w:val="24"/>
                <w:szCs w:val="24"/>
              </w:rPr>
            </w:pPr>
          </w:p>
        </w:tc>
      </w:tr>
      <w:tr w:rsidR="00CA08E3" w:rsidRPr="00861E55" w14:paraId="75565459" w14:textId="77777777" w:rsidTr="006D62B3">
        <w:trPr>
          <w:trHeight w:val="263"/>
        </w:trPr>
        <w:tc>
          <w:tcPr>
            <w:tcW w:w="1296" w:type="dxa"/>
          </w:tcPr>
          <w:p w14:paraId="40AF1EC8" w14:textId="77777777" w:rsidR="00CA08E3" w:rsidRPr="003B1E2F" w:rsidRDefault="00CA08E3" w:rsidP="004C1D41">
            <w:pPr>
              <w:pStyle w:val="ListParagraph"/>
              <w:numPr>
                <w:ilvl w:val="0"/>
                <w:numId w:val="1"/>
              </w:numPr>
              <w:rPr>
                <w:rFonts w:ascii="Times New Roman" w:hAnsi="Times New Roman" w:cs="Times New Roman"/>
                <w:sz w:val="24"/>
                <w:szCs w:val="24"/>
              </w:rPr>
            </w:pPr>
          </w:p>
        </w:tc>
        <w:tc>
          <w:tcPr>
            <w:tcW w:w="8424" w:type="dxa"/>
          </w:tcPr>
          <w:p w14:paraId="40E48123" w14:textId="48CF1398" w:rsidR="00CA08E3" w:rsidRPr="00CA08E3" w:rsidRDefault="00CA08E3" w:rsidP="00CA08E3">
            <w:pPr>
              <w:rPr>
                <w:rStyle w:val="BodyText1"/>
                <w:rFonts w:eastAsia="Courier New"/>
                <w:sz w:val="24"/>
                <w:szCs w:val="24"/>
              </w:rPr>
            </w:pPr>
            <w:r w:rsidRPr="00CA08E3">
              <w:rPr>
                <w:rStyle w:val="BodyText1"/>
                <w:rFonts w:eastAsia="Courier New"/>
                <w:sz w:val="24"/>
                <w:szCs w:val="24"/>
              </w:rPr>
              <w:t>6. Priemonės įgyvendinimo stebėsenos rodikliai</w:t>
            </w:r>
            <w:r w:rsidR="006D62B3">
              <w:rPr>
                <w:rStyle w:val="BodyText1"/>
                <w:rFonts w:eastAsia="Courier New"/>
                <w:sz w:val="24"/>
                <w:szCs w:val="24"/>
              </w:rPr>
              <w:t>.</w:t>
            </w:r>
          </w:p>
          <w:p w14:paraId="193AFD80" w14:textId="77777777" w:rsidR="00CA08E3" w:rsidRPr="00CA08E3" w:rsidRDefault="00CA08E3" w:rsidP="00CA08E3">
            <w:pPr>
              <w:rPr>
                <w:rStyle w:val="BodyText1"/>
                <w:rFonts w:eastAsia="Courier New"/>
                <w:sz w:val="24"/>
                <w:szCs w:val="24"/>
              </w:rPr>
            </w:pPr>
          </w:p>
          <w:p w14:paraId="1D87C70F" w14:textId="77777777" w:rsidR="00CA08E3" w:rsidRDefault="00CA08E3" w:rsidP="00CA08E3">
            <w:pPr>
              <w:rPr>
                <w:rStyle w:val="BodyText1"/>
                <w:rFonts w:eastAsia="Courier New"/>
                <w:sz w:val="24"/>
                <w:szCs w:val="24"/>
              </w:rPr>
            </w:pPr>
            <w:r w:rsidRPr="00CA08E3">
              <w:rPr>
                <w:rStyle w:val="BodyText1"/>
                <w:rFonts w:eastAsia="Courier New"/>
                <w:sz w:val="24"/>
                <w:szCs w:val="24"/>
              </w:rPr>
              <w:t>Pagal galiojantį ir Projekte numatytą teisinį reglamentavimą nėra aišku, kaip turi būti skaičiuojamos rodiklių „Energijos suvartojimas namų ūkiuose (neprijungtuose prie centralizuotų šilumos tinklų)“ ir „Namų ūkiai, kuriuose padidintas atsinaujinančių išteklių energijos naudojimo efektyvumas“ pasiekimo reikšmės, todėl siūlome papildyti Projekto 2 p. keičiamą 2014–2020 m. Europos Sąjungos fondų investicijų veiksmų programos nacionalinių stebėsenos rodiklių skaičiavimo aprašą ir jame numatyti minėtų rodiklių skaičiavimo metodiką.</w:t>
            </w:r>
          </w:p>
          <w:p w14:paraId="193CAE62" w14:textId="5EAFE8ED" w:rsidR="00DC56EE" w:rsidRDefault="00DC56EE" w:rsidP="00CA08E3">
            <w:pPr>
              <w:rPr>
                <w:rStyle w:val="BodyText1"/>
                <w:rFonts w:eastAsia="Courier New"/>
                <w:sz w:val="24"/>
                <w:szCs w:val="24"/>
              </w:rPr>
            </w:pPr>
          </w:p>
        </w:tc>
        <w:tc>
          <w:tcPr>
            <w:tcW w:w="5417" w:type="dxa"/>
          </w:tcPr>
          <w:p w14:paraId="266FC437" w14:textId="5DD20A75" w:rsidR="00CA08E3" w:rsidRPr="006303CE" w:rsidRDefault="00CA08E3" w:rsidP="00CA08E3">
            <w:pPr>
              <w:spacing w:after="160" w:line="256" w:lineRule="auto"/>
              <w:rPr>
                <w:rFonts w:ascii="Times New Roman" w:eastAsia="Calibri" w:hAnsi="Times New Roman" w:cs="Times New Roman"/>
                <w:b/>
                <w:sz w:val="24"/>
                <w:szCs w:val="24"/>
              </w:rPr>
            </w:pPr>
            <w:r w:rsidRPr="00CA08E3">
              <w:rPr>
                <w:rFonts w:ascii="Times New Roman" w:eastAsia="Calibri" w:hAnsi="Times New Roman" w:cs="Times New Roman"/>
                <w:b/>
                <w:sz w:val="24"/>
                <w:szCs w:val="24"/>
              </w:rPr>
              <w:t>Neatsižvelgta</w:t>
            </w:r>
            <w:r w:rsidR="006D62B3">
              <w:rPr>
                <w:rFonts w:ascii="Times New Roman" w:eastAsia="Calibri" w:hAnsi="Times New Roman" w:cs="Times New Roman"/>
                <w:b/>
                <w:sz w:val="24"/>
                <w:szCs w:val="24"/>
              </w:rPr>
              <w:t>.</w:t>
            </w:r>
          </w:p>
          <w:p w14:paraId="0A2DC083" w14:textId="77777777" w:rsidR="006303CE" w:rsidRDefault="006303CE" w:rsidP="003772AD">
            <w:pPr>
              <w:spacing w:line="256" w:lineRule="auto"/>
              <w:rPr>
                <w:rFonts w:ascii="Times New Roman" w:eastAsia="Calibri" w:hAnsi="Times New Roman" w:cs="Times New Roman"/>
                <w:sz w:val="24"/>
                <w:szCs w:val="24"/>
              </w:rPr>
            </w:pPr>
          </w:p>
          <w:p w14:paraId="47FAA344" w14:textId="7F966351" w:rsidR="00CA08E3" w:rsidRPr="00CA08E3" w:rsidRDefault="00C3657A" w:rsidP="00C3657A">
            <w:pPr>
              <w:spacing w:line="256" w:lineRule="auto"/>
              <w:rPr>
                <w:rFonts w:ascii="Times New Roman" w:eastAsia="Calibri" w:hAnsi="Times New Roman" w:cs="Times New Roman"/>
                <w:b/>
                <w:sz w:val="24"/>
                <w:szCs w:val="24"/>
              </w:rPr>
            </w:pPr>
            <w:r>
              <w:rPr>
                <w:rFonts w:ascii="Times New Roman" w:eastAsia="Calibri" w:hAnsi="Times New Roman" w:cs="Times New Roman"/>
                <w:sz w:val="24"/>
                <w:szCs w:val="24"/>
              </w:rPr>
              <w:t>PIP numatyti rodiklių</w:t>
            </w:r>
            <w:r w:rsidR="00CA08E3" w:rsidRPr="00396C7C">
              <w:rPr>
                <w:rFonts w:ascii="Times New Roman" w:eastAsia="Calibri" w:hAnsi="Times New Roman" w:cs="Times New Roman"/>
                <w:sz w:val="24"/>
                <w:szCs w:val="24"/>
              </w:rPr>
              <w:t xml:space="preserve"> skaičiavimo būdai bei duomenų šaltiniai </w:t>
            </w:r>
            <w:r w:rsidR="003772AD">
              <w:rPr>
                <w:rFonts w:ascii="Times New Roman" w:eastAsia="Calibri" w:hAnsi="Times New Roman" w:cs="Times New Roman"/>
                <w:sz w:val="24"/>
                <w:szCs w:val="24"/>
              </w:rPr>
              <w:t>patvirtinti</w:t>
            </w:r>
            <w:r w:rsidR="00CA08E3" w:rsidRPr="00396C7C">
              <w:rPr>
                <w:rFonts w:ascii="Times New Roman" w:eastAsia="Calibri" w:hAnsi="Times New Roman" w:cs="Times New Roman"/>
                <w:sz w:val="24"/>
                <w:szCs w:val="24"/>
              </w:rPr>
              <w:t xml:space="preserve"> 2014–2020 metų Europos Sąjungos fondų investicijų veiksmų programos stebėsenos rodiklių skaičiavimo apraše</w:t>
            </w:r>
            <w:r w:rsidR="003772AD">
              <w:rPr>
                <w:rFonts w:ascii="Times New Roman" w:eastAsia="Calibri" w:hAnsi="Times New Roman" w:cs="Times New Roman"/>
                <w:sz w:val="24"/>
                <w:szCs w:val="24"/>
              </w:rPr>
              <w:t>, patvirtintame 2014.12.30</w:t>
            </w:r>
            <w:r w:rsidR="00CA08E3" w:rsidRPr="00396C7C">
              <w:rPr>
                <w:rFonts w:ascii="Times New Roman" w:eastAsia="Calibri" w:hAnsi="Times New Roman" w:cs="Times New Roman"/>
                <w:sz w:val="24"/>
                <w:szCs w:val="24"/>
              </w:rPr>
              <w:t>.</w:t>
            </w:r>
            <w:r w:rsidR="003772AD">
              <w:rPr>
                <w:rFonts w:ascii="Times New Roman" w:eastAsia="Calibri" w:hAnsi="Times New Roman" w:cs="Times New Roman"/>
                <w:sz w:val="24"/>
                <w:szCs w:val="24"/>
              </w:rPr>
              <w:t xml:space="preserve"> LR finansų ministro įsakymu Nr. 1K-499.</w:t>
            </w:r>
          </w:p>
        </w:tc>
      </w:tr>
      <w:tr w:rsidR="00CA08E3" w:rsidRPr="00861E55" w14:paraId="507BB82B" w14:textId="77777777" w:rsidTr="006E5F71">
        <w:trPr>
          <w:trHeight w:val="263"/>
        </w:trPr>
        <w:tc>
          <w:tcPr>
            <w:tcW w:w="15137" w:type="dxa"/>
            <w:gridSpan w:val="3"/>
          </w:tcPr>
          <w:p w14:paraId="49F82A4D" w14:textId="08366C9E" w:rsidR="00CA08E3" w:rsidRPr="00CA08E3" w:rsidRDefault="00CA08E3" w:rsidP="00CA08E3">
            <w:pPr>
              <w:pStyle w:val="ListParagraph"/>
              <w:spacing w:line="256" w:lineRule="auto"/>
              <w:ind w:left="1080"/>
              <w:jc w:val="center"/>
              <w:rPr>
                <w:rFonts w:ascii="Times New Roman" w:hAnsi="Times New Roman" w:cs="Times New Roman"/>
                <w:sz w:val="24"/>
                <w:szCs w:val="24"/>
              </w:rPr>
            </w:pPr>
            <w:r w:rsidRPr="00CA08E3">
              <w:rPr>
                <w:rFonts w:ascii="Times New Roman" w:eastAsia="Calibri" w:hAnsi="Times New Roman" w:cs="Times New Roman"/>
                <w:b/>
                <w:sz w:val="24"/>
                <w:szCs w:val="24"/>
              </w:rPr>
              <w:t>Lietuvos aplinkos apsaugos investicijų fondo 2017 m. gegužės 18 d. raštas Nr. (LAAIF)-S-458</w:t>
            </w:r>
          </w:p>
        </w:tc>
      </w:tr>
      <w:tr w:rsidR="00CA08E3" w:rsidRPr="00861E55" w14:paraId="2AD27A65" w14:textId="77777777" w:rsidTr="006D62B3">
        <w:trPr>
          <w:trHeight w:val="263"/>
        </w:trPr>
        <w:tc>
          <w:tcPr>
            <w:tcW w:w="1296" w:type="dxa"/>
          </w:tcPr>
          <w:p w14:paraId="44E695C4" w14:textId="3F33D4F8" w:rsidR="00CA08E3" w:rsidRPr="00BA42B4" w:rsidRDefault="00CA08E3" w:rsidP="00CA08E3">
            <w:pPr>
              <w:pStyle w:val="ListParagraph"/>
              <w:numPr>
                <w:ilvl w:val="0"/>
                <w:numId w:val="1"/>
              </w:numPr>
              <w:rPr>
                <w:rFonts w:ascii="Times New Roman" w:hAnsi="Times New Roman" w:cs="Times New Roman"/>
                <w:sz w:val="24"/>
                <w:szCs w:val="24"/>
              </w:rPr>
            </w:pPr>
          </w:p>
        </w:tc>
        <w:tc>
          <w:tcPr>
            <w:tcW w:w="8424" w:type="dxa"/>
          </w:tcPr>
          <w:p w14:paraId="3CD47DF9" w14:textId="77777777" w:rsidR="00925876" w:rsidRPr="00BA42B4" w:rsidRDefault="00925876" w:rsidP="00CA08E3">
            <w:pPr>
              <w:rPr>
                <w:rFonts w:ascii="Times New Roman" w:eastAsia="Courier New" w:hAnsi="Times New Roman" w:cs="Times New Roman"/>
                <w:color w:val="000000"/>
                <w:sz w:val="24"/>
                <w:szCs w:val="24"/>
                <w:lang w:eastAsia="lt-LT" w:bidi="lt-LT"/>
              </w:rPr>
            </w:pPr>
            <w:r w:rsidRPr="00BA42B4">
              <w:rPr>
                <w:rFonts w:ascii="Times New Roman" w:eastAsia="Courier New" w:hAnsi="Times New Roman" w:cs="Times New Roman"/>
                <w:color w:val="000000"/>
                <w:sz w:val="24"/>
                <w:szCs w:val="24"/>
                <w:lang w:eastAsia="lt-LT" w:bidi="lt-LT"/>
              </w:rPr>
              <w:t>6. Priemonės įgyvendinimo stebėsenos rodikliai.</w:t>
            </w:r>
          </w:p>
          <w:p w14:paraId="13F676CE" w14:textId="77777777" w:rsidR="00925876" w:rsidRPr="00BA42B4" w:rsidRDefault="00925876" w:rsidP="00CA08E3">
            <w:pPr>
              <w:rPr>
                <w:rFonts w:ascii="Times New Roman" w:eastAsia="Courier New" w:hAnsi="Times New Roman" w:cs="Times New Roman"/>
                <w:color w:val="000000"/>
                <w:sz w:val="24"/>
                <w:szCs w:val="24"/>
                <w:lang w:eastAsia="lt-LT" w:bidi="lt-LT"/>
              </w:rPr>
            </w:pPr>
          </w:p>
          <w:p w14:paraId="284E5A84" w14:textId="77777777" w:rsidR="00CA08E3" w:rsidRPr="00BA42B4" w:rsidRDefault="00CA08E3" w:rsidP="00CA08E3">
            <w:pPr>
              <w:rPr>
                <w:rFonts w:ascii="Times New Roman" w:eastAsia="Courier New" w:hAnsi="Times New Roman" w:cs="Times New Roman"/>
                <w:color w:val="000000"/>
                <w:sz w:val="24"/>
                <w:szCs w:val="24"/>
                <w:lang w:eastAsia="lt-LT" w:bidi="lt-LT"/>
              </w:rPr>
            </w:pPr>
            <w:r w:rsidRPr="00396C7C">
              <w:rPr>
                <w:rFonts w:ascii="Times New Roman" w:eastAsia="Courier New" w:hAnsi="Times New Roman" w:cs="Times New Roman"/>
                <w:color w:val="000000"/>
                <w:sz w:val="24"/>
                <w:szCs w:val="24"/>
                <w:lang w:eastAsia="lt-LT" w:bidi="lt-LT"/>
              </w:rPr>
              <w:t xml:space="preserve">LAAIF nuomone, Projekto Aštunto skirsnio veiksmų programos prioriteto įgyvendinimo priemonės Nr. 04.3.2-LVP A-V-111 „Katilų keitimas namų ūkiuose“ 6 punkte „Priemonės įgyvendinimo stebėsenos rodikliai“ yra neaiškios priemonės įgyvendinimo stebėsenos rodiklio R.S.319 „Energijos suvartojimas namų ūkiuose (neprijungtuose prie centralizuotų </w:t>
            </w:r>
            <w:proofErr w:type="spellStart"/>
            <w:r w:rsidRPr="00396C7C">
              <w:rPr>
                <w:rFonts w:ascii="Times New Roman" w:eastAsia="Courier New" w:hAnsi="Times New Roman" w:cs="Times New Roman"/>
                <w:color w:val="000000"/>
                <w:sz w:val="24"/>
                <w:szCs w:val="24"/>
                <w:lang w:eastAsia="lt-LT" w:bidi="lt-LT"/>
              </w:rPr>
              <w:t>šilumo</w:t>
            </w:r>
            <w:proofErr w:type="spellEnd"/>
            <w:r w:rsidRPr="00396C7C">
              <w:rPr>
                <w:rFonts w:ascii="Times New Roman" w:eastAsia="Courier New" w:hAnsi="Times New Roman" w:cs="Times New Roman"/>
                <w:color w:val="000000"/>
                <w:sz w:val="24"/>
                <w:szCs w:val="24"/>
                <w:lang w:eastAsia="lt-LT" w:bidi="lt-LT"/>
              </w:rPr>
              <w:t xml:space="preserve"> tinklų)“ reikšmės. Vieno gyvenamojo namo šildymui iš viso per metus vidutiniškai reikia 1,43 </w:t>
            </w:r>
            <w:proofErr w:type="spellStart"/>
            <w:r w:rsidRPr="00396C7C">
              <w:rPr>
                <w:rFonts w:ascii="Times New Roman" w:eastAsia="Courier New" w:hAnsi="Times New Roman" w:cs="Times New Roman"/>
                <w:color w:val="000000"/>
                <w:sz w:val="24"/>
                <w:szCs w:val="24"/>
                <w:lang w:eastAsia="lt-LT" w:bidi="lt-LT"/>
              </w:rPr>
              <w:t>tne</w:t>
            </w:r>
            <w:proofErr w:type="spellEnd"/>
            <w:r w:rsidRPr="00396C7C">
              <w:rPr>
                <w:rFonts w:ascii="Times New Roman" w:eastAsia="Courier New" w:hAnsi="Times New Roman" w:cs="Times New Roman"/>
                <w:color w:val="000000"/>
                <w:sz w:val="24"/>
                <w:szCs w:val="24"/>
                <w:lang w:eastAsia="lt-LT" w:bidi="lt-LT"/>
              </w:rPr>
              <w:t xml:space="preserve"> kuro (skaičiuojant, kad metinis 120 m2 ploto namo šilumos poreikis yra 17 MW), tokiu atveju sutaupymas negali būti vienam namų ūkiui 20,74 </w:t>
            </w:r>
            <w:proofErr w:type="spellStart"/>
            <w:r w:rsidRPr="00396C7C">
              <w:rPr>
                <w:rFonts w:ascii="Times New Roman" w:eastAsia="Courier New" w:hAnsi="Times New Roman" w:cs="Times New Roman"/>
                <w:color w:val="000000"/>
                <w:sz w:val="24"/>
                <w:szCs w:val="24"/>
                <w:lang w:eastAsia="lt-LT" w:bidi="lt-LT"/>
              </w:rPr>
              <w:t>tne</w:t>
            </w:r>
            <w:proofErr w:type="spellEnd"/>
            <w:r w:rsidRPr="00396C7C">
              <w:rPr>
                <w:rFonts w:ascii="Times New Roman" w:eastAsia="Courier New" w:hAnsi="Times New Roman" w:cs="Times New Roman"/>
                <w:color w:val="000000"/>
                <w:sz w:val="24"/>
                <w:szCs w:val="24"/>
                <w:lang w:eastAsia="lt-LT" w:bidi="lt-LT"/>
              </w:rPr>
              <w:t>. LAAIF siūlo tikslinti priemonės įgyvendinimo stebėsenos rodiklio R.S.319 reikšmes.</w:t>
            </w:r>
          </w:p>
          <w:p w14:paraId="5D0C67D4" w14:textId="6DE5E9FC" w:rsidR="00DC56EE" w:rsidRPr="00BA42B4" w:rsidRDefault="00DC56EE" w:rsidP="00CA08E3">
            <w:pPr>
              <w:rPr>
                <w:rStyle w:val="BodyText1"/>
                <w:rFonts w:eastAsia="Courier New"/>
                <w:sz w:val="24"/>
                <w:szCs w:val="24"/>
              </w:rPr>
            </w:pPr>
          </w:p>
        </w:tc>
        <w:tc>
          <w:tcPr>
            <w:tcW w:w="5417" w:type="dxa"/>
          </w:tcPr>
          <w:p w14:paraId="3FF594D3" w14:textId="6D4092D1" w:rsidR="00CA08E3" w:rsidRDefault="00D5194B" w:rsidP="00CA08E3">
            <w:pPr>
              <w:spacing w:line="256" w:lineRule="auto"/>
              <w:rPr>
                <w:rFonts w:ascii="Times New Roman" w:eastAsia="Calibri" w:hAnsi="Times New Roman" w:cs="Times New Roman"/>
                <w:b/>
                <w:sz w:val="24"/>
                <w:szCs w:val="24"/>
              </w:rPr>
            </w:pPr>
            <w:r>
              <w:rPr>
                <w:rFonts w:ascii="Times New Roman" w:eastAsia="Calibri" w:hAnsi="Times New Roman" w:cs="Times New Roman"/>
                <w:b/>
                <w:sz w:val="24"/>
                <w:szCs w:val="24"/>
              </w:rPr>
              <w:t>Neatsižvelgta.</w:t>
            </w:r>
          </w:p>
          <w:p w14:paraId="6B411935" w14:textId="77777777" w:rsidR="00EC3A64" w:rsidRDefault="00EC3A64" w:rsidP="00CA08E3">
            <w:pPr>
              <w:spacing w:line="256" w:lineRule="auto"/>
              <w:rPr>
                <w:rFonts w:ascii="Times New Roman" w:eastAsia="Calibri" w:hAnsi="Times New Roman" w:cs="Times New Roman"/>
                <w:b/>
                <w:sz w:val="24"/>
                <w:szCs w:val="24"/>
              </w:rPr>
            </w:pPr>
          </w:p>
          <w:p w14:paraId="0C16B701" w14:textId="77777777" w:rsidR="00EC3A64" w:rsidRDefault="003772AD" w:rsidP="00436F81">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Šio rodiklio</w:t>
            </w:r>
            <w:r w:rsidR="00EC3A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reikšmė </w:t>
            </w:r>
            <w:r w:rsidR="00EC3A64">
              <w:rPr>
                <w:rFonts w:ascii="Times New Roman" w:eastAsia="Calibri" w:hAnsi="Times New Roman" w:cs="Times New Roman"/>
                <w:sz w:val="24"/>
                <w:szCs w:val="24"/>
              </w:rPr>
              <w:t>s</w:t>
            </w:r>
            <w:r>
              <w:rPr>
                <w:rFonts w:ascii="Times New Roman" w:eastAsia="Calibri" w:hAnsi="Times New Roman" w:cs="Times New Roman"/>
                <w:sz w:val="24"/>
                <w:szCs w:val="24"/>
              </w:rPr>
              <w:t>kaičiuojama</w:t>
            </w:r>
            <w:r w:rsidR="00EC3A64" w:rsidRPr="00EC3A64">
              <w:rPr>
                <w:rFonts w:ascii="Times New Roman" w:eastAsia="Calibri" w:hAnsi="Times New Roman" w:cs="Times New Roman"/>
                <w:sz w:val="24"/>
                <w:szCs w:val="24"/>
              </w:rPr>
              <w:t xml:space="preserve"> pagal </w:t>
            </w:r>
            <w:r w:rsidR="00EC3A64">
              <w:rPr>
                <w:rFonts w:ascii="Times New Roman" w:eastAsia="Calibri" w:hAnsi="Times New Roman" w:cs="Times New Roman"/>
                <w:sz w:val="24"/>
                <w:szCs w:val="24"/>
              </w:rPr>
              <w:t>m</w:t>
            </w:r>
            <w:r w:rsidR="00EC3A64" w:rsidRPr="00EC3A64">
              <w:rPr>
                <w:rFonts w:ascii="Times New Roman" w:eastAsia="Calibri" w:hAnsi="Times New Roman" w:cs="Times New Roman"/>
                <w:sz w:val="24"/>
                <w:szCs w:val="24"/>
              </w:rPr>
              <w:t>etinio kuro ir energijos statistinio tyrimo metodiką, patvirtintą Lietuvos statistikos departamento generalinio direktoriaus.</w:t>
            </w:r>
            <w:r w:rsidR="00EC3A64">
              <w:rPr>
                <w:rFonts w:ascii="Times New Roman" w:eastAsia="Calibri" w:hAnsi="Times New Roman" w:cs="Times New Roman"/>
                <w:b/>
                <w:sz w:val="24"/>
                <w:szCs w:val="24"/>
              </w:rPr>
              <w:t xml:space="preserve"> </w:t>
            </w:r>
            <w:r w:rsidR="00436F81">
              <w:rPr>
                <w:rFonts w:ascii="Times New Roman" w:eastAsia="Calibri" w:hAnsi="Times New Roman" w:cs="Times New Roman"/>
                <w:sz w:val="24"/>
                <w:szCs w:val="24"/>
              </w:rPr>
              <w:t>Rodiklis</w:t>
            </w:r>
            <w:r w:rsidR="00436F81" w:rsidRPr="00436F81">
              <w:rPr>
                <w:rFonts w:ascii="Times New Roman" w:eastAsia="Calibri" w:hAnsi="Times New Roman" w:cs="Times New Roman"/>
                <w:sz w:val="24"/>
                <w:szCs w:val="24"/>
              </w:rPr>
              <w:t xml:space="preserve"> apima ne tik projekte dalyvausiančius namų ūkius, bet visus Lietuvoje esančius namų ūkius, kurie šildymui naudoja malkas ir kurui skirtas medienos atliekas</w:t>
            </w:r>
            <w:r w:rsidR="00436F81">
              <w:rPr>
                <w:rFonts w:ascii="Times New Roman" w:eastAsia="Calibri" w:hAnsi="Times New Roman" w:cs="Times New Roman"/>
                <w:sz w:val="24"/>
                <w:szCs w:val="24"/>
              </w:rPr>
              <w:t xml:space="preserve"> (biokurą)</w:t>
            </w:r>
            <w:r w:rsidR="00436F81" w:rsidRPr="00436F81">
              <w:rPr>
                <w:rFonts w:ascii="Times New Roman" w:eastAsia="Calibri" w:hAnsi="Times New Roman" w:cs="Times New Roman"/>
                <w:sz w:val="24"/>
                <w:szCs w:val="24"/>
              </w:rPr>
              <w:t>.</w:t>
            </w:r>
            <w:r w:rsidR="00436F81">
              <w:rPr>
                <w:rFonts w:ascii="Times New Roman" w:eastAsia="Calibri" w:hAnsi="Times New Roman" w:cs="Times New Roman"/>
                <w:sz w:val="24"/>
                <w:szCs w:val="24"/>
              </w:rPr>
              <w:t xml:space="preserve"> </w:t>
            </w:r>
            <w:r w:rsidR="00857C16">
              <w:rPr>
                <w:rFonts w:ascii="Times New Roman" w:eastAsia="Calibri" w:hAnsi="Times New Roman" w:cs="Times New Roman"/>
                <w:sz w:val="24"/>
                <w:szCs w:val="24"/>
              </w:rPr>
              <w:t>Rodiklio pokyčiui turės</w:t>
            </w:r>
            <w:r w:rsidR="00436F81">
              <w:rPr>
                <w:rFonts w:ascii="Times New Roman" w:eastAsia="Calibri" w:hAnsi="Times New Roman" w:cs="Times New Roman"/>
                <w:sz w:val="24"/>
                <w:szCs w:val="24"/>
              </w:rPr>
              <w:t xml:space="preserve"> įtakos ne tik </w:t>
            </w:r>
            <w:r w:rsidR="00857C16">
              <w:rPr>
                <w:rFonts w:ascii="Times New Roman" w:eastAsia="Calibri" w:hAnsi="Times New Roman" w:cs="Times New Roman"/>
                <w:sz w:val="24"/>
                <w:szCs w:val="24"/>
              </w:rPr>
              <w:t xml:space="preserve">šios </w:t>
            </w:r>
            <w:r w:rsidR="00436F81">
              <w:rPr>
                <w:rFonts w:ascii="Times New Roman" w:eastAsia="Calibri" w:hAnsi="Times New Roman" w:cs="Times New Roman"/>
                <w:sz w:val="24"/>
                <w:szCs w:val="24"/>
              </w:rPr>
              <w:t xml:space="preserve">priemonės įgyvendinimas, bet ir kiti veiksniai. </w:t>
            </w:r>
            <w:r w:rsidR="00D5194B">
              <w:rPr>
                <w:rFonts w:ascii="Times New Roman" w:eastAsia="Calibri" w:hAnsi="Times New Roman" w:cs="Times New Roman"/>
                <w:sz w:val="24"/>
                <w:szCs w:val="24"/>
              </w:rPr>
              <w:t xml:space="preserve">Vertinant priemonės indėlį į šio rodiklio pokytį planuota, kad vienas namų ūkis kasmet sutaupys apie 2 </w:t>
            </w:r>
            <w:proofErr w:type="spellStart"/>
            <w:r w:rsidR="00D5194B">
              <w:rPr>
                <w:rFonts w:ascii="Times New Roman" w:eastAsia="Calibri" w:hAnsi="Times New Roman" w:cs="Times New Roman"/>
                <w:sz w:val="24"/>
                <w:szCs w:val="24"/>
              </w:rPr>
              <w:t>tne</w:t>
            </w:r>
            <w:proofErr w:type="spellEnd"/>
            <w:r w:rsidR="00D5194B">
              <w:rPr>
                <w:rFonts w:ascii="Times New Roman" w:eastAsia="Calibri" w:hAnsi="Times New Roman" w:cs="Times New Roman"/>
                <w:sz w:val="24"/>
                <w:szCs w:val="24"/>
              </w:rPr>
              <w:t xml:space="preserve"> energijos.</w:t>
            </w:r>
          </w:p>
          <w:p w14:paraId="3FF811DF" w14:textId="3C7FC0DD" w:rsidR="006303CE" w:rsidRPr="00CA08E3" w:rsidRDefault="006303CE" w:rsidP="00436F81">
            <w:pPr>
              <w:spacing w:line="256" w:lineRule="auto"/>
              <w:rPr>
                <w:rFonts w:ascii="Times New Roman" w:eastAsia="Calibri" w:hAnsi="Times New Roman" w:cs="Times New Roman"/>
                <w:b/>
                <w:sz w:val="24"/>
                <w:szCs w:val="24"/>
              </w:rPr>
            </w:pPr>
          </w:p>
        </w:tc>
      </w:tr>
      <w:tr w:rsidR="00CA08E3" w:rsidRPr="00861E55" w14:paraId="241ACA0E" w14:textId="77777777" w:rsidTr="006D62B3">
        <w:trPr>
          <w:trHeight w:val="263"/>
        </w:trPr>
        <w:tc>
          <w:tcPr>
            <w:tcW w:w="1296" w:type="dxa"/>
          </w:tcPr>
          <w:p w14:paraId="1D363C60" w14:textId="362885EA"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6AE79C41" w14:textId="77777777" w:rsidR="00925876" w:rsidRDefault="00925876" w:rsidP="00CA08E3">
            <w:pPr>
              <w:rPr>
                <w:rFonts w:ascii="Times New Roman" w:eastAsia="Courier New" w:hAnsi="Times New Roman" w:cs="Times New Roman"/>
                <w:color w:val="000000"/>
                <w:sz w:val="24"/>
                <w:szCs w:val="24"/>
                <w:lang w:eastAsia="lt-LT" w:bidi="lt-LT"/>
              </w:rPr>
            </w:pPr>
            <w:r w:rsidRPr="00925876">
              <w:rPr>
                <w:rFonts w:ascii="Times New Roman" w:eastAsia="Courier New" w:hAnsi="Times New Roman" w:cs="Times New Roman"/>
                <w:color w:val="000000"/>
                <w:sz w:val="24"/>
                <w:szCs w:val="24"/>
                <w:lang w:eastAsia="lt-LT" w:bidi="lt-LT"/>
              </w:rPr>
              <w:t>6. Priemonės įgyvendinimo stebėsenos rodikliai.</w:t>
            </w:r>
          </w:p>
          <w:p w14:paraId="6BC534D6" w14:textId="77777777" w:rsidR="00925876" w:rsidRDefault="00925876" w:rsidP="00CA08E3">
            <w:pPr>
              <w:rPr>
                <w:rFonts w:ascii="Times New Roman" w:eastAsia="Courier New" w:hAnsi="Times New Roman" w:cs="Times New Roman"/>
                <w:color w:val="000000"/>
                <w:sz w:val="24"/>
                <w:szCs w:val="24"/>
                <w:lang w:eastAsia="lt-LT" w:bidi="lt-LT"/>
              </w:rPr>
            </w:pPr>
          </w:p>
          <w:p w14:paraId="35C7A066" w14:textId="77777777" w:rsidR="00CA08E3" w:rsidRDefault="00CA08E3" w:rsidP="00CA08E3">
            <w:pPr>
              <w:rPr>
                <w:rFonts w:ascii="Times New Roman" w:eastAsia="Courier New" w:hAnsi="Times New Roman" w:cs="Times New Roman"/>
                <w:color w:val="000000"/>
                <w:sz w:val="24"/>
                <w:szCs w:val="24"/>
                <w:lang w:eastAsia="lt-LT" w:bidi="lt-LT"/>
              </w:rPr>
            </w:pPr>
            <w:r w:rsidRPr="00396C7C">
              <w:rPr>
                <w:rFonts w:ascii="Times New Roman" w:eastAsia="Courier New" w:hAnsi="Times New Roman" w:cs="Times New Roman"/>
                <w:color w:val="000000"/>
                <w:sz w:val="24"/>
                <w:szCs w:val="24"/>
                <w:lang w:eastAsia="lt-LT" w:bidi="lt-LT"/>
              </w:rPr>
              <w:t>Projekto Aštunto skirsnio veiksmų programos prioriteto įgyvendinimo priemonės Nr. 04.3.2-LVP A-V-111 „Katilų keitimas namų ūkiuose“ 6 punkte „Priemonės įgyvendinimo stebėsenos rodikliai“ priemonės įgyvendinimo stebėsenos rodiklio P.S.317 „Namų ūkiai, kuriuose padidintas atsinaujinančių išteklių energijos naudojimo efektyvumas“ tarpinė 2018 m. gruodžio 31 d. rodiklio reikšmė yra per daug ambicinga ir neįgyvendinama. LAAIF siūlo tarpinę rodiklio reikšmę sumažinti ir skaičiuoti ne 2018, o 2019 ar 2020 metais.</w:t>
            </w:r>
          </w:p>
          <w:p w14:paraId="44B70185" w14:textId="36E978AF" w:rsidR="00DC56EE" w:rsidRPr="00CA08E3" w:rsidRDefault="00DC56EE" w:rsidP="00CA08E3">
            <w:pPr>
              <w:rPr>
                <w:rStyle w:val="BodyText1"/>
                <w:rFonts w:eastAsia="Courier New"/>
                <w:sz w:val="24"/>
                <w:szCs w:val="24"/>
              </w:rPr>
            </w:pPr>
          </w:p>
        </w:tc>
        <w:tc>
          <w:tcPr>
            <w:tcW w:w="5417" w:type="dxa"/>
          </w:tcPr>
          <w:p w14:paraId="06CF7579" w14:textId="77777777" w:rsidR="002A65BA" w:rsidRDefault="002A65BA" w:rsidP="00CA08E3">
            <w:pPr>
              <w:spacing w:line="256"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Atsižvelgta iš dalies.</w:t>
            </w:r>
          </w:p>
          <w:p w14:paraId="64272861" w14:textId="77777777" w:rsidR="002A65BA" w:rsidRDefault="002A65BA" w:rsidP="00CA08E3">
            <w:pPr>
              <w:spacing w:line="256" w:lineRule="auto"/>
              <w:rPr>
                <w:rFonts w:ascii="Times New Roman" w:eastAsia="Calibri" w:hAnsi="Times New Roman" w:cs="Times New Roman"/>
                <w:b/>
                <w:sz w:val="24"/>
                <w:szCs w:val="24"/>
              </w:rPr>
            </w:pPr>
          </w:p>
          <w:p w14:paraId="3DC359E5" w14:textId="2397FCC1" w:rsidR="002A65BA" w:rsidRDefault="002A65BA" w:rsidP="00CA08E3">
            <w:pPr>
              <w:spacing w:line="256" w:lineRule="auto"/>
              <w:rPr>
                <w:rFonts w:ascii="Times New Roman" w:eastAsia="Courier New" w:hAnsi="Times New Roman" w:cs="Times New Roman"/>
                <w:color w:val="000000"/>
                <w:sz w:val="24"/>
                <w:szCs w:val="24"/>
                <w:lang w:eastAsia="lt-LT" w:bidi="lt-LT"/>
              </w:rPr>
            </w:pPr>
            <w:r w:rsidRPr="002A65BA">
              <w:rPr>
                <w:rFonts w:ascii="Times New Roman" w:eastAsia="Calibri" w:hAnsi="Times New Roman" w:cs="Times New Roman"/>
                <w:sz w:val="24"/>
                <w:szCs w:val="24"/>
              </w:rPr>
              <w:t xml:space="preserve">Įvertinus LAAIF ir APVA </w:t>
            </w:r>
            <w:r w:rsidR="00157560">
              <w:rPr>
                <w:rFonts w:ascii="Times New Roman" w:eastAsia="Calibri" w:hAnsi="Times New Roman" w:cs="Times New Roman"/>
                <w:sz w:val="24"/>
                <w:szCs w:val="24"/>
              </w:rPr>
              <w:t>(</w:t>
            </w:r>
            <w:r w:rsidR="00280C55">
              <w:rPr>
                <w:rFonts w:ascii="Times New Roman" w:eastAsia="Calibri" w:hAnsi="Times New Roman" w:cs="Times New Roman"/>
                <w:sz w:val="24"/>
                <w:szCs w:val="24"/>
              </w:rPr>
              <w:t>žr. 7 punktą)</w:t>
            </w:r>
            <w:r w:rsidR="00C96676">
              <w:rPr>
                <w:rFonts w:ascii="Times New Roman" w:eastAsia="Calibri" w:hAnsi="Times New Roman" w:cs="Times New Roman"/>
                <w:sz w:val="24"/>
                <w:szCs w:val="24"/>
              </w:rPr>
              <w:t xml:space="preserve"> </w:t>
            </w:r>
            <w:r w:rsidRPr="002A65BA">
              <w:rPr>
                <w:rFonts w:ascii="Times New Roman" w:eastAsia="Calibri" w:hAnsi="Times New Roman" w:cs="Times New Roman"/>
                <w:sz w:val="24"/>
                <w:szCs w:val="24"/>
              </w:rPr>
              <w:t xml:space="preserve">raštuose </w:t>
            </w:r>
            <w:r>
              <w:rPr>
                <w:rFonts w:ascii="Times New Roman" w:eastAsia="Calibri" w:hAnsi="Times New Roman" w:cs="Times New Roman"/>
                <w:sz w:val="24"/>
                <w:szCs w:val="24"/>
              </w:rPr>
              <w:t xml:space="preserve">pateiktus argumentus, rodiklio </w:t>
            </w:r>
            <w:r w:rsidRPr="00396C7C">
              <w:rPr>
                <w:rFonts w:ascii="Times New Roman" w:eastAsia="Courier New" w:hAnsi="Times New Roman" w:cs="Times New Roman"/>
                <w:color w:val="000000"/>
                <w:sz w:val="24"/>
                <w:szCs w:val="24"/>
                <w:lang w:eastAsia="lt-LT" w:bidi="lt-LT"/>
              </w:rPr>
              <w:t>P.S.317 „Namų ūkiai, kuriuose padidintas atsinaujinančių išteklių energijos naudojimo efektyvumas“ tarpinė</w:t>
            </w:r>
            <w:r>
              <w:rPr>
                <w:rFonts w:ascii="Times New Roman" w:eastAsia="Courier New" w:hAnsi="Times New Roman" w:cs="Times New Roman"/>
                <w:color w:val="000000"/>
                <w:sz w:val="24"/>
                <w:szCs w:val="24"/>
                <w:lang w:eastAsia="lt-LT" w:bidi="lt-LT"/>
              </w:rPr>
              <w:t xml:space="preserve"> 2018 m. reikšmė sumažinta nuo 2250 iki 500. </w:t>
            </w:r>
          </w:p>
          <w:p w14:paraId="3BC23291" w14:textId="18A59EC2" w:rsidR="00CA08E3" w:rsidRPr="002A65BA" w:rsidRDefault="002A65BA" w:rsidP="00157560">
            <w:pPr>
              <w:spacing w:line="256" w:lineRule="auto"/>
              <w:rPr>
                <w:rFonts w:ascii="Times New Roman" w:eastAsia="Calibri" w:hAnsi="Times New Roman" w:cs="Times New Roman"/>
                <w:sz w:val="24"/>
                <w:szCs w:val="24"/>
                <w:lang w:val="en-US"/>
              </w:rPr>
            </w:pPr>
            <w:r>
              <w:rPr>
                <w:rFonts w:ascii="Times New Roman" w:eastAsia="Courier New" w:hAnsi="Times New Roman" w:cs="Times New Roman"/>
                <w:color w:val="000000"/>
                <w:sz w:val="24"/>
                <w:szCs w:val="24"/>
                <w:lang w:eastAsia="lt-LT" w:bidi="lt-LT"/>
              </w:rPr>
              <w:t>2019 m.</w:t>
            </w:r>
            <w:r w:rsidR="000B64CB">
              <w:rPr>
                <w:rFonts w:ascii="Times New Roman" w:eastAsia="Courier New" w:hAnsi="Times New Roman" w:cs="Times New Roman"/>
                <w:color w:val="000000"/>
                <w:sz w:val="24"/>
                <w:szCs w:val="24"/>
                <w:lang w:eastAsia="lt-LT" w:bidi="lt-LT"/>
              </w:rPr>
              <w:t xml:space="preserve"> a</w:t>
            </w:r>
            <w:r>
              <w:rPr>
                <w:rFonts w:ascii="Times New Roman" w:eastAsia="Courier New" w:hAnsi="Times New Roman" w:cs="Times New Roman"/>
                <w:color w:val="000000"/>
                <w:sz w:val="24"/>
                <w:szCs w:val="24"/>
                <w:lang w:eastAsia="lt-LT" w:bidi="lt-LT"/>
              </w:rPr>
              <w:t>r 2</w:t>
            </w:r>
            <w:r w:rsidR="00AD31D8">
              <w:rPr>
                <w:rFonts w:ascii="Times New Roman" w:eastAsia="Courier New" w:hAnsi="Times New Roman" w:cs="Times New Roman"/>
                <w:color w:val="000000"/>
                <w:sz w:val="24"/>
                <w:szCs w:val="24"/>
                <w:lang w:eastAsia="lt-LT" w:bidi="lt-LT"/>
              </w:rPr>
              <w:t>020 m. tarpinės reikšmės PIP neb</w:t>
            </w:r>
            <w:r>
              <w:rPr>
                <w:rFonts w:ascii="Times New Roman" w:eastAsia="Courier New" w:hAnsi="Times New Roman" w:cs="Times New Roman"/>
                <w:color w:val="000000"/>
                <w:sz w:val="24"/>
                <w:szCs w:val="24"/>
                <w:lang w:eastAsia="lt-LT" w:bidi="lt-LT"/>
              </w:rPr>
              <w:t>us numatomos</w:t>
            </w:r>
            <w:r w:rsidR="000B64CB">
              <w:rPr>
                <w:rFonts w:ascii="Times New Roman" w:eastAsia="Courier New" w:hAnsi="Times New Roman" w:cs="Times New Roman"/>
                <w:color w:val="000000"/>
                <w:sz w:val="24"/>
                <w:szCs w:val="24"/>
                <w:lang w:eastAsia="lt-LT" w:bidi="lt-LT"/>
              </w:rPr>
              <w:t>, kadangi</w:t>
            </w:r>
            <w:r w:rsidR="00857C16">
              <w:rPr>
                <w:rFonts w:ascii="Times New Roman" w:eastAsia="Courier New" w:hAnsi="Times New Roman" w:cs="Times New Roman"/>
                <w:color w:val="000000"/>
                <w:sz w:val="24"/>
                <w:szCs w:val="24"/>
                <w:lang w:eastAsia="lt-LT" w:bidi="lt-LT"/>
              </w:rPr>
              <w:t xml:space="preserve"> vadovaujantis PIP forma, </w:t>
            </w:r>
            <w:r w:rsidR="005B5D9A">
              <w:rPr>
                <w:rFonts w:ascii="Times New Roman" w:eastAsia="Courier New" w:hAnsi="Times New Roman" w:cs="Times New Roman"/>
                <w:color w:val="000000"/>
                <w:sz w:val="24"/>
                <w:szCs w:val="24"/>
                <w:lang w:eastAsia="lt-LT" w:bidi="lt-LT"/>
              </w:rPr>
              <w:t xml:space="preserve">patvirtinta LR finansų ministro </w:t>
            </w:r>
            <w:r w:rsidR="005B5D9A" w:rsidRPr="005B5D9A">
              <w:rPr>
                <w:rFonts w:ascii="Times New Roman" w:eastAsia="Courier New" w:hAnsi="Times New Roman" w:cs="Times New Roman"/>
                <w:color w:val="000000"/>
                <w:sz w:val="24"/>
                <w:szCs w:val="24"/>
                <w:lang w:eastAsia="lt-LT" w:bidi="lt-LT"/>
              </w:rPr>
              <w:t xml:space="preserve">2014 m. birželio 27 d. Nr. </w:t>
            </w:r>
            <w:r w:rsidR="005B5D9A">
              <w:rPr>
                <w:rFonts w:ascii="Times New Roman" w:eastAsia="Courier New" w:hAnsi="Times New Roman" w:cs="Times New Roman"/>
                <w:color w:val="000000"/>
                <w:sz w:val="24"/>
                <w:szCs w:val="24"/>
                <w:lang w:eastAsia="lt-LT" w:bidi="lt-LT"/>
              </w:rPr>
              <w:t xml:space="preserve">įsakymu Nr. </w:t>
            </w:r>
            <w:r w:rsidR="005B5D9A" w:rsidRPr="005B5D9A">
              <w:rPr>
                <w:rFonts w:ascii="Times New Roman" w:eastAsia="Courier New" w:hAnsi="Times New Roman" w:cs="Times New Roman"/>
                <w:color w:val="000000"/>
                <w:sz w:val="24"/>
                <w:szCs w:val="24"/>
                <w:lang w:eastAsia="lt-LT" w:bidi="lt-LT"/>
              </w:rPr>
              <w:t>1K-199</w:t>
            </w:r>
            <w:r w:rsidR="005B5D9A">
              <w:rPr>
                <w:rFonts w:ascii="Times New Roman" w:eastAsia="Courier New" w:hAnsi="Times New Roman" w:cs="Times New Roman"/>
                <w:color w:val="000000"/>
                <w:sz w:val="24"/>
                <w:szCs w:val="24"/>
                <w:lang w:eastAsia="lt-LT" w:bidi="lt-LT"/>
              </w:rPr>
              <w:t>,</w:t>
            </w:r>
            <w:r w:rsidR="005B5D9A" w:rsidRPr="005B5D9A">
              <w:rPr>
                <w:rFonts w:ascii="Times New Roman" w:eastAsia="Courier New" w:hAnsi="Times New Roman" w:cs="Times New Roman"/>
                <w:color w:val="000000"/>
                <w:sz w:val="24"/>
                <w:szCs w:val="24"/>
                <w:lang w:eastAsia="lt-LT" w:bidi="lt-LT"/>
              </w:rPr>
              <w:t xml:space="preserve"> </w:t>
            </w:r>
            <w:r w:rsidR="00857C16">
              <w:rPr>
                <w:rFonts w:ascii="Times New Roman" w:eastAsia="Courier New" w:hAnsi="Times New Roman" w:cs="Times New Roman"/>
                <w:color w:val="000000"/>
                <w:sz w:val="24"/>
                <w:szCs w:val="24"/>
                <w:lang w:eastAsia="lt-LT" w:bidi="lt-LT"/>
              </w:rPr>
              <w:t>stebėsenos rodiklių tarpinės reikšmės skaičiuojamos tik 2018 metais.</w:t>
            </w:r>
            <w:r w:rsidR="00280C55">
              <w:rPr>
                <w:rFonts w:ascii="Times New Roman" w:eastAsia="Courier New" w:hAnsi="Times New Roman" w:cs="Times New Roman"/>
                <w:color w:val="000000"/>
                <w:sz w:val="24"/>
                <w:szCs w:val="24"/>
                <w:lang w:eastAsia="lt-LT" w:bidi="lt-LT"/>
              </w:rPr>
              <w:t xml:space="preserve"> </w:t>
            </w:r>
          </w:p>
        </w:tc>
      </w:tr>
      <w:tr w:rsidR="00CA08E3" w:rsidRPr="00861E55" w14:paraId="4F9DDFFB" w14:textId="77777777" w:rsidTr="006D62B3">
        <w:trPr>
          <w:trHeight w:val="263"/>
        </w:trPr>
        <w:tc>
          <w:tcPr>
            <w:tcW w:w="1296" w:type="dxa"/>
          </w:tcPr>
          <w:p w14:paraId="67EB5810" w14:textId="4FD8C7D0"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4A9E5CAA" w14:textId="21A90F0E" w:rsidR="00CA08E3" w:rsidRPr="00CA08E3" w:rsidRDefault="00CA08E3" w:rsidP="00CA08E3">
            <w:pPr>
              <w:rPr>
                <w:rStyle w:val="BodyText1"/>
                <w:rFonts w:eastAsia="Courier New"/>
                <w:sz w:val="24"/>
                <w:szCs w:val="24"/>
              </w:rPr>
            </w:pPr>
            <w:r w:rsidRPr="00396C7C">
              <w:rPr>
                <w:rFonts w:ascii="Times New Roman" w:eastAsia="Courier New" w:hAnsi="Times New Roman" w:cs="Times New Roman"/>
                <w:color w:val="000000"/>
                <w:sz w:val="24"/>
                <w:szCs w:val="24"/>
                <w:lang w:eastAsia="lt-LT" w:bidi="lt-LT"/>
              </w:rPr>
              <w:t>Siūlome 2014</w:t>
            </w:r>
            <w:proofErr w:type="gramStart"/>
            <w:r w:rsidRPr="00396C7C">
              <w:rPr>
                <w:rFonts w:ascii="Times New Roman" w:eastAsia="Courier New" w:hAnsi="Times New Roman" w:cs="Times New Roman"/>
                <w:color w:val="000000"/>
                <w:sz w:val="24"/>
                <w:szCs w:val="24"/>
                <w:lang w:eastAsia="lt-LT" w:bidi="lt-LT"/>
              </w:rPr>
              <w:t>-</w:t>
            </w:r>
            <w:proofErr w:type="gramEnd"/>
            <w:r w:rsidRPr="00396C7C">
              <w:rPr>
                <w:rFonts w:ascii="Times New Roman" w:eastAsia="Courier New" w:hAnsi="Times New Roman" w:cs="Times New Roman"/>
                <w:color w:val="000000"/>
                <w:sz w:val="24"/>
                <w:szCs w:val="24"/>
                <w:lang w:eastAsia="lt-LT" w:bidi="lt-LT"/>
              </w:rPr>
              <w:t>2020 m. Europos Sąjungos fondų investicijų veiksmų programos prioritetų įgyvendinimo priemonės Nr. 04.3.2-LVP A-V-111 „Katilų keitimas namų ūkiuose“ pagrindime neminėti saulės kolektorių galimos katilų keitimo technologijos, nes saulės kolektoriai neužtikrins reikiamos šilumos energijos gamybos šaltuoju metų laiku.</w:t>
            </w:r>
          </w:p>
        </w:tc>
        <w:tc>
          <w:tcPr>
            <w:tcW w:w="5417" w:type="dxa"/>
          </w:tcPr>
          <w:p w14:paraId="4EE08148" w14:textId="0186960A" w:rsidR="00CA08E3" w:rsidRPr="00396C7C" w:rsidRDefault="00CA08E3" w:rsidP="00CA08E3">
            <w:pPr>
              <w:spacing w:line="256" w:lineRule="auto"/>
              <w:rPr>
                <w:rFonts w:ascii="Times New Roman" w:eastAsia="Calibri" w:hAnsi="Times New Roman" w:cs="Times New Roman"/>
                <w:b/>
                <w:sz w:val="24"/>
                <w:szCs w:val="24"/>
              </w:rPr>
            </w:pPr>
            <w:r w:rsidRPr="00396C7C">
              <w:rPr>
                <w:rFonts w:ascii="Times New Roman" w:eastAsia="Calibri" w:hAnsi="Times New Roman" w:cs="Times New Roman"/>
                <w:b/>
                <w:sz w:val="24"/>
                <w:szCs w:val="24"/>
              </w:rPr>
              <w:t>Atsižvelgta</w:t>
            </w:r>
            <w:r w:rsidR="006D62B3">
              <w:rPr>
                <w:rFonts w:ascii="Times New Roman" w:eastAsia="Calibri" w:hAnsi="Times New Roman" w:cs="Times New Roman"/>
                <w:b/>
                <w:sz w:val="24"/>
                <w:szCs w:val="24"/>
              </w:rPr>
              <w:t>.</w:t>
            </w:r>
          </w:p>
          <w:p w14:paraId="15CC7682" w14:textId="77777777" w:rsidR="00CA08E3" w:rsidRPr="00396C7C" w:rsidRDefault="00CA08E3" w:rsidP="00CA08E3">
            <w:pPr>
              <w:spacing w:line="256" w:lineRule="auto"/>
              <w:rPr>
                <w:rFonts w:ascii="Times New Roman" w:eastAsia="Calibri" w:hAnsi="Times New Roman" w:cs="Times New Roman"/>
                <w:b/>
                <w:sz w:val="24"/>
                <w:szCs w:val="24"/>
              </w:rPr>
            </w:pPr>
          </w:p>
          <w:p w14:paraId="3855D374" w14:textId="5750C5DA" w:rsidR="00CA08E3" w:rsidRPr="00CA08E3" w:rsidRDefault="00CA08E3" w:rsidP="009739EA">
            <w:pPr>
              <w:spacing w:line="256" w:lineRule="auto"/>
              <w:rPr>
                <w:rFonts w:ascii="Times New Roman" w:eastAsia="Calibri" w:hAnsi="Times New Roman" w:cs="Times New Roman"/>
                <w:b/>
                <w:sz w:val="24"/>
                <w:szCs w:val="24"/>
              </w:rPr>
            </w:pPr>
            <w:r w:rsidRPr="00396C7C">
              <w:rPr>
                <w:rFonts w:ascii="Times New Roman" w:eastAsia="Calibri" w:hAnsi="Times New Roman" w:cs="Times New Roman"/>
                <w:sz w:val="24"/>
                <w:szCs w:val="24"/>
              </w:rPr>
              <w:t xml:space="preserve">Efektyvesnių technologijų sąvoka nedetalizuojama </w:t>
            </w:r>
            <w:proofErr w:type="spellStart"/>
            <w:r w:rsidRPr="00396C7C">
              <w:rPr>
                <w:rFonts w:ascii="Times New Roman" w:eastAsia="Calibri" w:hAnsi="Times New Roman" w:cs="Times New Roman"/>
                <w:sz w:val="24"/>
                <w:szCs w:val="24"/>
              </w:rPr>
              <w:t>PIP‘e</w:t>
            </w:r>
            <w:proofErr w:type="spellEnd"/>
            <w:r w:rsidRPr="00396C7C">
              <w:rPr>
                <w:rFonts w:ascii="Times New Roman" w:eastAsia="Calibri" w:hAnsi="Times New Roman" w:cs="Times New Roman"/>
                <w:sz w:val="24"/>
                <w:szCs w:val="24"/>
              </w:rPr>
              <w:t xml:space="preserve"> ir PIP pagrindime. Tai numatoma padaryti vėlesniame priemonės rengimo etape</w:t>
            </w:r>
            <w:r w:rsidR="00DD0687" w:rsidRPr="00396C7C">
              <w:rPr>
                <w:rFonts w:ascii="Times New Roman" w:eastAsia="Calibri" w:hAnsi="Times New Roman" w:cs="Times New Roman"/>
                <w:sz w:val="24"/>
                <w:szCs w:val="24"/>
              </w:rPr>
              <w:t xml:space="preserve"> </w:t>
            </w:r>
            <w:r w:rsidR="00DD0687">
              <w:rPr>
                <w:rFonts w:ascii="Times New Roman" w:eastAsia="Calibri" w:hAnsi="Times New Roman" w:cs="Times New Roman"/>
                <w:sz w:val="24"/>
                <w:szCs w:val="24"/>
              </w:rPr>
              <w:t xml:space="preserve">- </w:t>
            </w:r>
            <w:r w:rsidR="00DD0687" w:rsidRPr="00396C7C">
              <w:rPr>
                <w:rFonts w:ascii="Times New Roman" w:eastAsia="Calibri" w:hAnsi="Times New Roman" w:cs="Times New Roman"/>
                <w:sz w:val="24"/>
                <w:szCs w:val="24"/>
              </w:rPr>
              <w:t xml:space="preserve">rengiant </w:t>
            </w:r>
            <w:r w:rsidR="00DD0687" w:rsidRPr="00396C7C">
              <w:rPr>
                <w:rFonts w:ascii="Times New Roman" w:eastAsia="Times New Roman" w:hAnsi="Times New Roman" w:cs="Times New Roman"/>
                <w:color w:val="000000"/>
                <w:sz w:val="24"/>
                <w:szCs w:val="24"/>
                <w:lang w:eastAsia="lt-LT"/>
              </w:rPr>
              <w:t>projektų finansavimo sąlygų aprašą.</w:t>
            </w:r>
          </w:p>
        </w:tc>
      </w:tr>
      <w:tr w:rsidR="00CA08E3" w:rsidRPr="00861E55" w14:paraId="61B96A0D" w14:textId="77777777" w:rsidTr="006D62B3">
        <w:trPr>
          <w:trHeight w:val="263"/>
        </w:trPr>
        <w:tc>
          <w:tcPr>
            <w:tcW w:w="1296" w:type="dxa"/>
          </w:tcPr>
          <w:p w14:paraId="52A6851C" w14:textId="0C5FCAAB"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76602284" w14:textId="30C1F9D9" w:rsidR="00780731" w:rsidRDefault="00780731" w:rsidP="00CA08E3">
            <w:p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23. </w:t>
            </w:r>
            <w:r w:rsidRPr="00780731">
              <w:rPr>
                <w:rFonts w:ascii="Times New Roman" w:eastAsia="Courier New" w:hAnsi="Times New Roman" w:cs="Times New Roman"/>
                <w:color w:val="000000"/>
                <w:sz w:val="24"/>
                <w:szCs w:val="24"/>
                <w:lang w:eastAsia="lt-LT" w:bidi="lt-LT"/>
              </w:rPr>
              <w:t>Priemonei skiriamo finansavimo sumos pagrindimas</w:t>
            </w:r>
            <w:r>
              <w:rPr>
                <w:rFonts w:ascii="Times New Roman" w:eastAsia="Courier New" w:hAnsi="Times New Roman" w:cs="Times New Roman"/>
                <w:color w:val="000000"/>
                <w:sz w:val="24"/>
                <w:szCs w:val="24"/>
                <w:lang w:eastAsia="lt-LT" w:bidi="lt-LT"/>
              </w:rPr>
              <w:t>.</w:t>
            </w:r>
          </w:p>
          <w:p w14:paraId="60D4785B" w14:textId="77777777" w:rsidR="00780731" w:rsidRDefault="00780731" w:rsidP="00CA08E3">
            <w:pPr>
              <w:rPr>
                <w:rFonts w:ascii="Times New Roman" w:eastAsia="Courier New" w:hAnsi="Times New Roman" w:cs="Times New Roman"/>
                <w:color w:val="000000"/>
                <w:sz w:val="24"/>
                <w:szCs w:val="24"/>
                <w:lang w:eastAsia="lt-LT" w:bidi="lt-LT"/>
              </w:rPr>
            </w:pPr>
          </w:p>
          <w:p w14:paraId="29896B8E" w14:textId="77777777" w:rsidR="00CA08E3" w:rsidRDefault="00CA08E3" w:rsidP="00CA08E3">
            <w:pPr>
              <w:rPr>
                <w:rFonts w:ascii="Times New Roman" w:eastAsia="Courier New" w:hAnsi="Times New Roman" w:cs="Times New Roman"/>
                <w:color w:val="000000"/>
                <w:sz w:val="24"/>
                <w:szCs w:val="24"/>
                <w:lang w:eastAsia="lt-LT" w:bidi="lt-LT"/>
              </w:rPr>
            </w:pPr>
            <w:r w:rsidRPr="00396C7C">
              <w:rPr>
                <w:rFonts w:ascii="Times New Roman" w:eastAsia="Courier New" w:hAnsi="Times New Roman" w:cs="Times New Roman"/>
                <w:color w:val="000000"/>
                <w:sz w:val="24"/>
                <w:szCs w:val="24"/>
                <w:lang w:eastAsia="lt-LT" w:bidi="lt-LT"/>
              </w:rPr>
              <w:t>Tikslinga 2014</w:t>
            </w:r>
            <w:proofErr w:type="gramStart"/>
            <w:r w:rsidRPr="00396C7C">
              <w:rPr>
                <w:rFonts w:ascii="Times New Roman" w:eastAsia="Courier New" w:hAnsi="Times New Roman" w:cs="Times New Roman"/>
                <w:color w:val="000000"/>
                <w:sz w:val="24"/>
                <w:szCs w:val="24"/>
                <w:lang w:eastAsia="lt-LT" w:bidi="lt-LT"/>
              </w:rPr>
              <w:t>-</w:t>
            </w:r>
            <w:proofErr w:type="gramEnd"/>
            <w:r w:rsidRPr="00396C7C">
              <w:rPr>
                <w:rFonts w:ascii="Times New Roman" w:eastAsia="Courier New" w:hAnsi="Times New Roman" w:cs="Times New Roman"/>
                <w:color w:val="000000"/>
                <w:sz w:val="24"/>
                <w:szCs w:val="24"/>
                <w:lang w:eastAsia="lt-LT" w:bidi="lt-LT"/>
              </w:rPr>
              <w:t>2020 m. Europos Sąjungos fondų investicijų veiksmų programos prioritetų įgyvendinimo priemonės Nr. 04.3.2-LVPA-V-111 „Katilų keitimas namų ūkiuose“ pagrindime numatyti konkretų kompensuojamos dalies dydį procentais, kitu atveju nebus aišku, koks paramos intensyvumas galės būti taikomas, ar priemonė bus pakankamai patraukli galutiniams naudos gavėjams, kad būtų pasiekti planuojami rodikliai, arba nurodyti, kokiame dokumente jis bus nustatytas ir diferencijuotas priklausomai nuo diegiamų technologijų.</w:t>
            </w:r>
          </w:p>
          <w:p w14:paraId="594D5F55" w14:textId="5ADE9F12" w:rsidR="00DC56EE" w:rsidRPr="00CA08E3" w:rsidRDefault="00DC56EE" w:rsidP="00CA08E3">
            <w:pPr>
              <w:rPr>
                <w:rStyle w:val="BodyText1"/>
                <w:rFonts w:eastAsia="Courier New"/>
                <w:sz w:val="24"/>
                <w:szCs w:val="24"/>
              </w:rPr>
            </w:pPr>
          </w:p>
        </w:tc>
        <w:tc>
          <w:tcPr>
            <w:tcW w:w="5417" w:type="dxa"/>
          </w:tcPr>
          <w:p w14:paraId="00641C33" w14:textId="76DD9E88" w:rsidR="00CA08E3" w:rsidRPr="00396C7C" w:rsidRDefault="00CA08E3" w:rsidP="00CA08E3">
            <w:pPr>
              <w:rPr>
                <w:rFonts w:ascii="Times New Roman" w:eastAsia="Calibri" w:hAnsi="Times New Roman" w:cs="Times New Roman"/>
                <w:b/>
                <w:sz w:val="24"/>
                <w:szCs w:val="24"/>
              </w:rPr>
            </w:pPr>
            <w:r w:rsidRPr="00396C7C">
              <w:rPr>
                <w:rFonts w:ascii="Times New Roman" w:eastAsia="Calibri" w:hAnsi="Times New Roman" w:cs="Times New Roman"/>
                <w:b/>
                <w:sz w:val="24"/>
                <w:szCs w:val="24"/>
              </w:rPr>
              <w:t>Į pastabą numatoma atsižvelgti vėlesniuose priemonės rengimo etapuose</w:t>
            </w:r>
            <w:r w:rsidR="006D62B3">
              <w:rPr>
                <w:rFonts w:ascii="Times New Roman" w:eastAsia="Calibri" w:hAnsi="Times New Roman" w:cs="Times New Roman"/>
                <w:b/>
                <w:sz w:val="24"/>
                <w:szCs w:val="24"/>
              </w:rPr>
              <w:t>.</w:t>
            </w:r>
          </w:p>
          <w:p w14:paraId="1B9A7039" w14:textId="77777777" w:rsidR="00CA08E3" w:rsidRPr="00396C7C" w:rsidRDefault="00CA08E3" w:rsidP="00CA08E3">
            <w:pPr>
              <w:rPr>
                <w:rFonts w:ascii="Times New Roman" w:eastAsia="Calibri" w:hAnsi="Times New Roman" w:cs="Times New Roman"/>
                <w:b/>
                <w:sz w:val="24"/>
                <w:szCs w:val="24"/>
              </w:rPr>
            </w:pPr>
          </w:p>
          <w:p w14:paraId="0ED00E2F" w14:textId="77777777" w:rsidR="00CA08E3" w:rsidRPr="00396C7C" w:rsidRDefault="00CA08E3" w:rsidP="00CA08E3">
            <w:pPr>
              <w:spacing w:line="256" w:lineRule="auto"/>
              <w:jc w:val="both"/>
              <w:rPr>
                <w:rFonts w:ascii="Times New Roman" w:eastAsia="Times New Roman" w:hAnsi="Times New Roman" w:cs="Times New Roman"/>
                <w:color w:val="000000"/>
                <w:sz w:val="24"/>
                <w:szCs w:val="24"/>
                <w:lang w:eastAsia="lt-LT"/>
              </w:rPr>
            </w:pPr>
            <w:r w:rsidRPr="00396C7C">
              <w:rPr>
                <w:rFonts w:ascii="Times New Roman" w:eastAsia="Calibri" w:hAnsi="Times New Roman" w:cs="Times New Roman"/>
                <w:sz w:val="24"/>
                <w:szCs w:val="24"/>
              </w:rPr>
              <w:t xml:space="preserve">Į pastabą bus atsižvelgta rengiant </w:t>
            </w:r>
            <w:r w:rsidRPr="00396C7C">
              <w:rPr>
                <w:rFonts w:ascii="Times New Roman" w:eastAsia="Times New Roman" w:hAnsi="Times New Roman" w:cs="Times New Roman"/>
                <w:color w:val="000000"/>
                <w:sz w:val="24"/>
                <w:szCs w:val="24"/>
                <w:lang w:eastAsia="lt-LT"/>
              </w:rPr>
              <w:t xml:space="preserve">projektų finansavimo sąlygų aprašą. </w:t>
            </w:r>
          </w:p>
          <w:p w14:paraId="084F3538" w14:textId="0F8C171F" w:rsidR="00CA08E3" w:rsidRPr="00CA08E3" w:rsidRDefault="00CA08E3" w:rsidP="00CA08E3">
            <w:pPr>
              <w:spacing w:line="256" w:lineRule="auto"/>
              <w:rPr>
                <w:rFonts w:ascii="Times New Roman" w:eastAsia="Calibri" w:hAnsi="Times New Roman" w:cs="Times New Roman"/>
                <w:b/>
                <w:sz w:val="24"/>
                <w:szCs w:val="24"/>
              </w:rPr>
            </w:pPr>
          </w:p>
        </w:tc>
      </w:tr>
      <w:tr w:rsidR="00CA08E3" w:rsidRPr="00861E55" w14:paraId="7660E680" w14:textId="77777777" w:rsidTr="006D62B3">
        <w:trPr>
          <w:trHeight w:val="263"/>
        </w:trPr>
        <w:tc>
          <w:tcPr>
            <w:tcW w:w="1296" w:type="dxa"/>
          </w:tcPr>
          <w:p w14:paraId="6449E902" w14:textId="3710835B"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10F6DC43" w14:textId="69FB151B" w:rsidR="00780731" w:rsidRDefault="00780731" w:rsidP="00CA08E3">
            <w:p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8. </w:t>
            </w:r>
            <w:r w:rsidRPr="00780731">
              <w:rPr>
                <w:rFonts w:ascii="Times New Roman" w:eastAsia="Courier New" w:hAnsi="Times New Roman" w:cs="Times New Roman"/>
                <w:color w:val="000000"/>
                <w:sz w:val="24"/>
                <w:szCs w:val="24"/>
                <w:lang w:eastAsia="lt-LT" w:bidi="lt-LT"/>
              </w:rPr>
              <w:t>Supaprastintas išlaidų apmokėjimas</w:t>
            </w:r>
            <w:r>
              <w:rPr>
                <w:rFonts w:ascii="Times New Roman" w:eastAsia="Courier New" w:hAnsi="Times New Roman" w:cs="Times New Roman"/>
                <w:color w:val="000000"/>
                <w:sz w:val="24"/>
                <w:szCs w:val="24"/>
                <w:lang w:eastAsia="lt-LT" w:bidi="lt-LT"/>
              </w:rPr>
              <w:t>.</w:t>
            </w:r>
          </w:p>
          <w:p w14:paraId="6B75D446" w14:textId="77777777" w:rsidR="00780731" w:rsidRDefault="00780731" w:rsidP="00CA08E3">
            <w:pPr>
              <w:rPr>
                <w:rFonts w:ascii="Times New Roman" w:eastAsia="Courier New" w:hAnsi="Times New Roman" w:cs="Times New Roman"/>
                <w:color w:val="000000"/>
                <w:sz w:val="24"/>
                <w:szCs w:val="24"/>
                <w:lang w:eastAsia="lt-LT" w:bidi="lt-LT"/>
              </w:rPr>
            </w:pPr>
          </w:p>
          <w:p w14:paraId="598E297E" w14:textId="585878B2" w:rsidR="00CA08E3" w:rsidRDefault="00CA08E3" w:rsidP="00CA08E3">
            <w:pPr>
              <w:rPr>
                <w:rFonts w:ascii="Times New Roman" w:eastAsia="Courier New" w:hAnsi="Times New Roman" w:cs="Times New Roman"/>
                <w:color w:val="000000"/>
                <w:sz w:val="24"/>
                <w:szCs w:val="24"/>
                <w:lang w:eastAsia="lt-LT" w:bidi="lt-LT"/>
              </w:rPr>
            </w:pPr>
            <w:r w:rsidRPr="00396C7C">
              <w:rPr>
                <w:rFonts w:ascii="Times New Roman" w:eastAsia="Courier New" w:hAnsi="Times New Roman" w:cs="Times New Roman"/>
                <w:color w:val="000000"/>
                <w:sz w:val="24"/>
                <w:szCs w:val="24"/>
                <w:lang w:eastAsia="lt-LT" w:bidi="lt-LT"/>
              </w:rPr>
              <w:t>2014</w:t>
            </w:r>
            <w:proofErr w:type="gramStart"/>
            <w:r w:rsidRPr="00396C7C">
              <w:rPr>
                <w:rFonts w:ascii="Times New Roman" w:eastAsia="Courier New" w:hAnsi="Times New Roman" w:cs="Times New Roman"/>
                <w:color w:val="000000"/>
                <w:sz w:val="24"/>
                <w:szCs w:val="24"/>
                <w:lang w:eastAsia="lt-LT" w:bidi="lt-LT"/>
              </w:rPr>
              <w:t>-</w:t>
            </w:r>
            <w:proofErr w:type="gramEnd"/>
            <w:r w:rsidRPr="00396C7C">
              <w:rPr>
                <w:rFonts w:ascii="Times New Roman" w:eastAsia="Courier New" w:hAnsi="Times New Roman" w:cs="Times New Roman"/>
                <w:color w:val="000000"/>
                <w:sz w:val="24"/>
                <w:szCs w:val="24"/>
                <w:lang w:eastAsia="lt-LT" w:bidi="lt-LT"/>
              </w:rPr>
              <w:t xml:space="preserve">2020 m. Europos Sąjungos fondų investicijų veiksmų programos prioritetų įgyvendinimo priemonės Nr. 04.3.2-LVPA-V-111 „Katilų keitimas namų ūkiuose“ pagrindime prie Supaprastinto išlaidų apmokėjimo būtina nurodyti, kad keičiant neefektyviai biomasę naudojančius individualius katilus į efektyvesnes technologijas, naudojančias atsinaujinančių išteklių energiją, taikant fiksuotus įkainius bus apmokamos išlaidos skirtos tiesiogiai projekto veikloms įgyvendinti, </w:t>
            </w:r>
            <w:r w:rsidRPr="00396C7C">
              <w:rPr>
                <w:rFonts w:ascii="Times New Roman" w:eastAsia="Courier New" w:hAnsi="Times New Roman" w:cs="Times New Roman"/>
                <w:color w:val="000000"/>
                <w:sz w:val="24"/>
                <w:szCs w:val="24"/>
                <w:lang w:eastAsia="lt-LT" w:bidi="lt-LT"/>
              </w:rPr>
              <w:lastRenderedPageBreak/>
              <w:t>kitu atveju, bus per daug sudėtinga priemonės įgyvendinimo schema, dėl ko taps nepatraukli ir nebus užtikrinta jos įgyvendinimo sparta. Atitinkamai iš 2014-2020 m. Europos Sąjungos fondų investicijų veiksmų programos prioritetų įgyvendinimo priemonės Nr. 04.3.2-LVPA-V-111 „Katilų keitimas namų ūkiuose“ pagrindimo 8 eilutės brauktinas teiginys „Kitoms priemonės įgyvendinimo metu patiriamoms išlaidoms supaprastinimo taikyti nenumatoma“.</w:t>
            </w:r>
          </w:p>
          <w:p w14:paraId="027CE306" w14:textId="591D713D" w:rsidR="00DC56EE" w:rsidRPr="00CA08E3" w:rsidRDefault="00DC56EE" w:rsidP="00CA08E3">
            <w:pPr>
              <w:rPr>
                <w:rStyle w:val="BodyText1"/>
                <w:rFonts w:eastAsia="Courier New"/>
                <w:sz w:val="24"/>
                <w:szCs w:val="24"/>
              </w:rPr>
            </w:pPr>
          </w:p>
        </w:tc>
        <w:tc>
          <w:tcPr>
            <w:tcW w:w="5417" w:type="dxa"/>
          </w:tcPr>
          <w:p w14:paraId="0B9AC943" w14:textId="75D5CE6C" w:rsidR="00CA08E3" w:rsidRPr="00396C7C" w:rsidRDefault="00CA08E3" w:rsidP="00CA08E3">
            <w:pPr>
              <w:spacing w:line="256" w:lineRule="auto"/>
              <w:jc w:val="both"/>
              <w:rPr>
                <w:rFonts w:ascii="Times New Roman" w:eastAsia="Calibri" w:hAnsi="Times New Roman" w:cs="Times New Roman"/>
                <w:sz w:val="24"/>
                <w:szCs w:val="24"/>
              </w:rPr>
            </w:pPr>
            <w:r w:rsidRPr="00396C7C">
              <w:rPr>
                <w:rFonts w:ascii="Times New Roman" w:eastAsia="Calibri" w:hAnsi="Times New Roman" w:cs="Times New Roman"/>
                <w:b/>
                <w:sz w:val="24"/>
                <w:szCs w:val="24"/>
              </w:rPr>
              <w:lastRenderedPageBreak/>
              <w:t>Neatsižvelgta</w:t>
            </w:r>
            <w:r w:rsidR="006D62B3">
              <w:rPr>
                <w:rFonts w:ascii="Times New Roman" w:eastAsia="Calibri" w:hAnsi="Times New Roman" w:cs="Times New Roman"/>
                <w:sz w:val="24"/>
                <w:szCs w:val="24"/>
              </w:rPr>
              <w:t>.</w:t>
            </w:r>
          </w:p>
          <w:p w14:paraId="4C27CC1B" w14:textId="77777777" w:rsidR="00CA08E3" w:rsidRPr="00396C7C" w:rsidRDefault="00CA08E3" w:rsidP="00CA08E3">
            <w:pPr>
              <w:spacing w:line="256" w:lineRule="auto"/>
              <w:jc w:val="both"/>
              <w:rPr>
                <w:rFonts w:ascii="Times New Roman" w:eastAsia="Calibri" w:hAnsi="Times New Roman" w:cs="Times New Roman"/>
                <w:sz w:val="24"/>
                <w:szCs w:val="24"/>
              </w:rPr>
            </w:pPr>
          </w:p>
          <w:p w14:paraId="2DCE0D90" w14:textId="67C3FD14" w:rsidR="00CA08E3" w:rsidRPr="00396C7C" w:rsidRDefault="00CA08E3" w:rsidP="00CA08E3">
            <w:pPr>
              <w:spacing w:line="256" w:lineRule="auto"/>
              <w:jc w:val="both"/>
              <w:rPr>
                <w:rFonts w:ascii="Times New Roman" w:eastAsia="Times New Roman" w:hAnsi="Times New Roman" w:cs="Times New Roman"/>
                <w:color w:val="000000"/>
                <w:sz w:val="24"/>
                <w:szCs w:val="24"/>
                <w:lang w:eastAsia="lt-LT"/>
              </w:rPr>
            </w:pPr>
            <w:r w:rsidRPr="00396C7C">
              <w:rPr>
                <w:rFonts w:ascii="Times New Roman" w:eastAsia="Calibri" w:hAnsi="Times New Roman" w:cs="Times New Roman"/>
                <w:sz w:val="24"/>
                <w:szCs w:val="24"/>
              </w:rPr>
              <w:t>Nėra tikslinga taikyti fiksuotuosius įkainius kompensuojant veiklų įgyvendinimo išlaidas fiziniams asmenims, kadangi jie pareiškėjui (</w:t>
            </w:r>
            <w:proofErr w:type="spellStart"/>
            <w:r w:rsidRPr="00396C7C">
              <w:rPr>
                <w:rFonts w:ascii="Times New Roman" w:eastAsia="Calibri" w:hAnsi="Times New Roman" w:cs="Times New Roman"/>
                <w:sz w:val="24"/>
                <w:szCs w:val="24"/>
              </w:rPr>
              <w:t>LAAIF‘ui</w:t>
            </w:r>
            <w:proofErr w:type="spellEnd"/>
            <w:r w:rsidRPr="00396C7C">
              <w:rPr>
                <w:rFonts w:ascii="Times New Roman" w:eastAsia="Calibri" w:hAnsi="Times New Roman" w:cs="Times New Roman"/>
                <w:sz w:val="24"/>
                <w:szCs w:val="24"/>
              </w:rPr>
              <w:t>) turės pateikti visus veiklų įgyvendinimą ir išlaidų patyrimą pagrindžiančius dokumentus</w:t>
            </w:r>
            <w:r w:rsidR="00160A1B">
              <w:rPr>
                <w:rFonts w:ascii="Times New Roman" w:eastAsia="Calibri" w:hAnsi="Times New Roman" w:cs="Times New Roman"/>
                <w:sz w:val="24"/>
                <w:szCs w:val="24"/>
              </w:rPr>
              <w:t xml:space="preserve">, todėl supaprastinimų taikymas </w:t>
            </w:r>
            <w:r w:rsidR="0045428A">
              <w:rPr>
                <w:rFonts w:ascii="Times New Roman" w:eastAsia="Calibri" w:hAnsi="Times New Roman" w:cs="Times New Roman"/>
                <w:sz w:val="24"/>
                <w:szCs w:val="24"/>
              </w:rPr>
              <w:t>neprisidėtų prie administracinės naštos mažinimo.</w:t>
            </w:r>
          </w:p>
          <w:p w14:paraId="0C1E02DF" w14:textId="22C33D39" w:rsidR="00CA08E3" w:rsidRPr="00CA08E3" w:rsidRDefault="00CA08E3" w:rsidP="00CA08E3">
            <w:pPr>
              <w:spacing w:line="256" w:lineRule="auto"/>
              <w:rPr>
                <w:rFonts w:ascii="Times New Roman" w:eastAsia="Calibri" w:hAnsi="Times New Roman" w:cs="Times New Roman"/>
                <w:b/>
                <w:sz w:val="24"/>
                <w:szCs w:val="24"/>
              </w:rPr>
            </w:pPr>
          </w:p>
        </w:tc>
      </w:tr>
      <w:tr w:rsidR="00CA08E3" w:rsidRPr="00861E55" w14:paraId="5C7B2505" w14:textId="77777777" w:rsidTr="006D62B3">
        <w:trPr>
          <w:trHeight w:val="263"/>
        </w:trPr>
        <w:tc>
          <w:tcPr>
            <w:tcW w:w="1296" w:type="dxa"/>
          </w:tcPr>
          <w:p w14:paraId="7C4760E9" w14:textId="78BA6BB7"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38904FA6" w14:textId="78BD7943" w:rsidR="009B53C3" w:rsidRDefault="009B53C3" w:rsidP="00CA08E3">
            <w:p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12. </w:t>
            </w:r>
            <w:r w:rsidRPr="009B53C3">
              <w:rPr>
                <w:rFonts w:ascii="Times New Roman" w:eastAsia="Courier New" w:hAnsi="Times New Roman" w:cs="Times New Roman"/>
                <w:color w:val="000000"/>
                <w:sz w:val="24"/>
                <w:szCs w:val="24"/>
                <w:lang w:eastAsia="lt-LT" w:bidi="lt-LT"/>
              </w:rPr>
              <w:t>Galimų rizikų vertinimas</w:t>
            </w:r>
            <w:r>
              <w:rPr>
                <w:rFonts w:ascii="Times New Roman" w:eastAsia="Courier New" w:hAnsi="Times New Roman" w:cs="Times New Roman"/>
                <w:color w:val="000000"/>
                <w:sz w:val="24"/>
                <w:szCs w:val="24"/>
                <w:lang w:eastAsia="lt-LT" w:bidi="lt-LT"/>
              </w:rPr>
              <w:t>.</w:t>
            </w:r>
          </w:p>
          <w:p w14:paraId="2A16918E" w14:textId="77777777" w:rsidR="009B53C3" w:rsidRDefault="009B53C3" w:rsidP="00CA08E3">
            <w:pPr>
              <w:rPr>
                <w:rFonts w:ascii="Times New Roman" w:eastAsia="Courier New" w:hAnsi="Times New Roman" w:cs="Times New Roman"/>
                <w:color w:val="000000"/>
                <w:sz w:val="24"/>
                <w:szCs w:val="24"/>
                <w:lang w:eastAsia="lt-LT" w:bidi="lt-LT"/>
              </w:rPr>
            </w:pPr>
          </w:p>
          <w:p w14:paraId="3C4ACDC0" w14:textId="77777777" w:rsidR="00CA08E3" w:rsidRDefault="00CA08E3" w:rsidP="00CA08E3">
            <w:pPr>
              <w:rPr>
                <w:rFonts w:ascii="Times New Roman" w:eastAsia="Courier New" w:hAnsi="Times New Roman" w:cs="Times New Roman"/>
                <w:color w:val="000000"/>
                <w:sz w:val="24"/>
                <w:szCs w:val="24"/>
                <w:lang w:eastAsia="lt-LT" w:bidi="lt-LT"/>
              </w:rPr>
            </w:pPr>
            <w:r w:rsidRPr="00396C7C">
              <w:rPr>
                <w:rFonts w:ascii="Times New Roman" w:eastAsia="Courier New" w:hAnsi="Times New Roman" w:cs="Times New Roman"/>
                <w:color w:val="000000"/>
                <w:sz w:val="24"/>
                <w:szCs w:val="24"/>
                <w:lang w:eastAsia="lt-LT" w:bidi="lt-LT"/>
              </w:rPr>
              <w:t>2014</w:t>
            </w:r>
            <w:proofErr w:type="gramStart"/>
            <w:r w:rsidRPr="00396C7C">
              <w:rPr>
                <w:rFonts w:ascii="Times New Roman" w:eastAsia="Courier New" w:hAnsi="Times New Roman" w:cs="Times New Roman"/>
                <w:color w:val="000000"/>
                <w:sz w:val="24"/>
                <w:szCs w:val="24"/>
                <w:lang w:eastAsia="lt-LT" w:bidi="lt-LT"/>
              </w:rPr>
              <w:t>-</w:t>
            </w:r>
            <w:proofErr w:type="gramEnd"/>
            <w:r w:rsidRPr="00396C7C">
              <w:rPr>
                <w:rFonts w:ascii="Times New Roman" w:eastAsia="Courier New" w:hAnsi="Times New Roman" w:cs="Times New Roman"/>
                <w:color w:val="000000"/>
                <w:sz w:val="24"/>
                <w:szCs w:val="24"/>
                <w:lang w:eastAsia="lt-LT" w:bidi="lt-LT"/>
              </w:rPr>
              <w:t>2020 m. Europos Sąjungos fondų investicijų veiksmų programos prioritetų įgyvendinimo priemonės Nr. 04.3.2-LVPA-V-111 „Katilų keitimas namų ūkiuose“ pagrindimo Galimų rizikų vertinime kaip didžiausia rizika turėtų būti nurodyta žmogiškųjų išteklių pakankamumas. Taip pat reikėtų konkrečiai nurodyti, kaip rizika būtų valdoma. LAAIF turima patirtis rodo, kad nepakankamas darbuotojų skaičius yra esminis veiksnys, lemiantis tokios priemonės įgyvendinimo sėkmę, Atkreiptinas dėmesys, kad šioje priemonėje bus daug galutinių naudos gavėjų, neturinčių patirties projektų administravime. Todėl priemonės įgyvendinimo sėkmė tiesiogiai priklausys nuo skirtų šiam tikslui žmogiškųjų išteklių.</w:t>
            </w:r>
          </w:p>
          <w:p w14:paraId="595DB86A" w14:textId="626448D4" w:rsidR="00DC56EE" w:rsidRPr="00CA08E3" w:rsidRDefault="00DC56EE" w:rsidP="00CA08E3">
            <w:pPr>
              <w:rPr>
                <w:rStyle w:val="BodyText1"/>
                <w:rFonts w:eastAsia="Courier New"/>
                <w:sz w:val="24"/>
                <w:szCs w:val="24"/>
              </w:rPr>
            </w:pPr>
          </w:p>
        </w:tc>
        <w:tc>
          <w:tcPr>
            <w:tcW w:w="5417" w:type="dxa"/>
          </w:tcPr>
          <w:p w14:paraId="5A612AD3" w14:textId="6E9D4C59" w:rsidR="00CA08E3" w:rsidRPr="00396C7C" w:rsidRDefault="00CA08E3" w:rsidP="00CA08E3">
            <w:pPr>
              <w:spacing w:line="256" w:lineRule="auto"/>
              <w:jc w:val="both"/>
              <w:rPr>
                <w:rFonts w:ascii="Times New Roman" w:eastAsia="Calibri" w:hAnsi="Times New Roman" w:cs="Times New Roman"/>
                <w:b/>
                <w:sz w:val="24"/>
                <w:szCs w:val="24"/>
              </w:rPr>
            </w:pPr>
            <w:r w:rsidRPr="00396C7C">
              <w:rPr>
                <w:rFonts w:ascii="Times New Roman" w:eastAsia="Calibri" w:hAnsi="Times New Roman" w:cs="Times New Roman"/>
                <w:b/>
                <w:sz w:val="24"/>
                <w:szCs w:val="24"/>
              </w:rPr>
              <w:t>Atsižvelgta</w:t>
            </w:r>
            <w:r w:rsidR="006D62B3">
              <w:rPr>
                <w:rFonts w:ascii="Times New Roman" w:eastAsia="Calibri" w:hAnsi="Times New Roman" w:cs="Times New Roman"/>
                <w:b/>
                <w:sz w:val="24"/>
                <w:szCs w:val="24"/>
              </w:rPr>
              <w:t>.</w:t>
            </w:r>
          </w:p>
          <w:p w14:paraId="5CB4C415" w14:textId="77777777" w:rsidR="00CA08E3" w:rsidRPr="00396C7C" w:rsidRDefault="00CA08E3" w:rsidP="00CA08E3">
            <w:pPr>
              <w:spacing w:line="256" w:lineRule="auto"/>
              <w:jc w:val="both"/>
              <w:rPr>
                <w:rFonts w:ascii="Times New Roman" w:eastAsia="Calibri" w:hAnsi="Times New Roman" w:cs="Times New Roman"/>
                <w:sz w:val="24"/>
                <w:szCs w:val="24"/>
              </w:rPr>
            </w:pPr>
          </w:p>
          <w:p w14:paraId="7B789864" w14:textId="1EF6A71E" w:rsidR="00CA08E3" w:rsidRPr="00CA08E3" w:rsidRDefault="00CA08E3" w:rsidP="00B00A98">
            <w:pPr>
              <w:spacing w:line="256" w:lineRule="auto"/>
              <w:rPr>
                <w:rFonts w:ascii="Times New Roman" w:eastAsia="Calibri" w:hAnsi="Times New Roman" w:cs="Times New Roman"/>
                <w:b/>
                <w:sz w:val="24"/>
                <w:szCs w:val="24"/>
              </w:rPr>
            </w:pPr>
            <w:r w:rsidRPr="00396C7C">
              <w:rPr>
                <w:rFonts w:ascii="Times New Roman" w:eastAsia="Calibri" w:hAnsi="Times New Roman" w:cs="Times New Roman"/>
                <w:sz w:val="24"/>
                <w:szCs w:val="24"/>
              </w:rPr>
              <w:t>Papildytas PIP pagrindimo 12 punktas. Rizikos tikimybė padidinta iš mažos į vidutinę</w:t>
            </w:r>
            <w:r w:rsidR="00B00A98">
              <w:rPr>
                <w:rFonts w:ascii="Times New Roman" w:eastAsia="Calibri" w:hAnsi="Times New Roman" w:cs="Times New Roman"/>
                <w:sz w:val="24"/>
                <w:szCs w:val="24"/>
              </w:rPr>
              <w:t xml:space="preserve"> ir šios</w:t>
            </w:r>
            <w:r w:rsidRPr="00396C7C">
              <w:rPr>
                <w:rFonts w:ascii="Times New Roman" w:eastAsia="Calibri" w:hAnsi="Times New Roman" w:cs="Times New Roman"/>
                <w:sz w:val="24"/>
                <w:szCs w:val="24"/>
              </w:rPr>
              <w:t xml:space="preserve"> rizikos valdymo priemonė </w:t>
            </w:r>
            <w:r w:rsidR="00B00A98">
              <w:rPr>
                <w:rFonts w:ascii="Times New Roman" w:eastAsia="Calibri" w:hAnsi="Times New Roman" w:cs="Times New Roman"/>
                <w:sz w:val="24"/>
                <w:szCs w:val="24"/>
              </w:rPr>
              <w:t xml:space="preserve">patikslinta, </w:t>
            </w:r>
            <w:r w:rsidRPr="00396C7C">
              <w:rPr>
                <w:rFonts w:ascii="Times New Roman" w:eastAsia="Calibri" w:hAnsi="Times New Roman" w:cs="Times New Roman"/>
                <w:sz w:val="24"/>
                <w:szCs w:val="24"/>
              </w:rPr>
              <w:t>nurodant, kad siekiant užtikrinti būtinus žmogiškuosius ir (ar) techninius bei kitus išteklius, projekto administravimui bus numatytos netiesioginės išlaidos.</w:t>
            </w:r>
            <w:bookmarkStart w:id="0" w:name="_GoBack"/>
            <w:bookmarkEnd w:id="0"/>
          </w:p>
        </w:tc>
      </w:tr>
      <w:tr w:rsidR="00CA08E3" w:rsidRPr="00861E55" w14:paraId="607B34E6" w14:textId="77777777" w:rsidTr="006D62B3">
        <w:trPr>
          <w:trHeight w:val="263"/>
        </w:trPr>
        <w:tc>
          <w:tcPr>
            <w:tcW w:w="1296" w:type="dxa"/>
          </w:tcPr>
          <w:p w14:paraId="142C415D" w14:textId="533E748B"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73D586B3" w14:textId="3CE15990" w:rsidR="003D6AB7" w:rsidRDefault="003D6AB7" w:rsidP="00CA08E3">
            <w:p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 xml:space="preserve">23. </w:t>
            </w:r>
            <w:r w:rsidRPr="00755C92">
              <w:rPr>
                <w:rFonts w:ascii="Times New Roman" w:hAnsi="Times New Roman"/>
                <w:sz w:val="24"/>
                <w:szCs w:val="24"/>
              </w:rPr>
              <w:t xml:space="preserve"> Priemonei skiriamo finansavimo sumos pagrindimas</w:t>
            </w:r>
            <w:r>
              <w:rPr>
                <w:rFonts w:ascii="Times New Roman" w:eastAsia="Courier New" w:hAnsi="Times New Roman" w:cs="Times New Roman"/>
                <w:color w:val="000000"/>
                <w:sz w:val="24"/>
                <w:szCs w:val="24"/>
                <w:lang w:eastAsia="lt-LT" w:bidi="lt-LT"/>
              </w:rPr>
              <w:t>.</w:t>
            </w:r>
          </w:p>
          <w:p w14:paraId="60852101" w14:textId="77777777" w:rsidR="003D6AB7" w:rsidRDefault="003D6AB7" w:rsidP="00CA08E3">
            <w:pPr>
              <w:rPr>
                <w:rFonts w:ascii="Times New Roman" w:eastAsia="Courier New" w:hAnsi="Times New Roman" w:cs="Times New Roman"/>
                <w:color w:val="000000"/>
                <w:sz w:val="24"/>
                <w:szCs w:val="24"/>
                <w:lang w:eastAsia="lt-LT" w:bidi="lt-LT"/>
              </w:rPr>
            </w:pPr>
          </w:p>
          <w:p w14:paraId="4517F6D9" w14:textId="77777777" w:rsidR="00DC56EE" w:rsidRDefault="00CA08E3" w:rsidP="00CA08E3">
            <w:pPr>
              <w:rPr>
                <w:rFonts w:ascii="Times New Roman" w:eastAsia="Courier New" w:hAnsi="Times New Roman" w:cs="Times New Roman"/>
                <w:color w:val="000000"/>
                <w:sz w:val="24"/>
                <w:szCs w:val="24"/>
                <w:lang w:eastAsia="lt-LT" w:bidi="lt-LT"/>
              </w:rPr>
            </w:pPr>
            <w:r w:rsidRPr="00396C7C">
              <w:rPr>
                <w:rFonts w:ascii="Times New Roman" w:eastAsia="Courier New" w:hAnsi="Times New Roman" w:cs="Times New Roman"/>
                <w:color w:val="000000"/>
                <w:sz w:val="24"/>
                <w:szCs w:val="24"/>
                <w:lang w:eastAsia="lt-LT" w:bidi="lt-LT"/>
              </w:rPr>
              <w:t>2014</w:t>
            </w:r>
            <w:proofErr w:type="gramStart"/>
            <w:r w:rsidRPr="00396C7C">
              <w:rPr>
                <w:rFonts w:ascii="Times New Roman" w:eastAsia="Courier New" w:hAnsi="Times New Roman" w:cs="Times New Roman"/>
                <w:color w:val="000000"/>
                <w:sz w:val="24"/>
                <w:szCs w:val="24"/>
                <w:lang w:eastAsia="lt-LT" w:bidi="lt-LT"/>
              </w:rPr>
              <w:t>-</w:t>
            </w:r>
            <w:proofErr w:type="gramEnd"/>
            <w:r w:rsidRPr="00396C7C">
              <w:rPr>
                <w:rFonts w:ascii="Times New Roman" w:eastAsia="Courier New" w:hAnsi="Times New Roman" w:cs="Times New Roman"/>
                <w:color w:val="000000"/>
                <w:sz w:val="24"/>
                <w:szCs w:val="24"/>
                <w:lang w:eastAsia="lt-LT" w:bidi="lt-LT"/>
              </w:rPr>
              <w:t xml:space="preserve">2020 m. Europos Sąjungos fondų investicijų veiksmų programos prioritetų įgyvendinimo priemonės Nr. 04.3.2-LVPA-V-111 „Katilų keitimas namų ūkiuose“ pagrindimo Priemonės finansavimo šaltinių dalyje reikėtų aiškiau apibrėžti, kad išlaidos biokuro katilų keitimui naujais yra skaičiuojamos biokuro </w:t>
            </w:r>
            <w:proofErr w:type="spellStart"/>
            <w:r w:rsidRPr="00396C7C">
              <w:rPr>
                <w:rFonts w:ascii="Times New Roman" w:eastAsia="Courier New" w:hAnsi="Times New Roman" w:cs="Times New Roman"/>
                <w:color w:val="000000"/>
                <w:sz w:val="24"/>
                <w:szCs w:val="24"/>
                <w:lang w:eastAsia="lt-LT" w:bidi="lt-LT"/>
              </w:rPr>
              <w:t>granuliniams</w:t>
            </w:r>
            <w:proofErr w:type="spellEnd"/>
            <w:r w:rsidRPr="00396C7C">
              <w:rPr>
                <w:rFonts w:ascii="Times New Roman" w:eastAsia="Courier New" w:hAnsi="Times New Roman" w:cs="Times New Roman"/>
                <w:color w:val="000000"/>
                <w:sz w:val="24"/>
                <w:szCs w:val="24"/>
                <w:lang w:eastAsia="lt-LT" w:bidi="lt-LT"/>
              </w:rPr>
              <w:t xml:space="preserve"> katilams su automatizuotu kuro padavimu (kieto kuro biokuro katilų įsigijimo išlaidos yra gerokai mažesnės). LAAIF skaičiavimais, vienam fiziniam asmeniui įsidiegus 25 kW </w:t>
            </w:r>
            <w:proofErr w:type="spellStart"/>
            <w:r w:rsidRPr="00396C7C">
              <w:rPr>
                <w:rFonts w:ascii="Times New Roman" w:eastAsia="Courier New" w:hAnsi="Times New Roman" w:cs="Times New Roman"/>
                <w:color w:val="000000"/>
                <w:sz w:val="24"/>
                <w:szCs w:val="24"/>
                <w:lang w:eastAsia="lt-LT" w:bidi="lt-LT"/>
              </w:rPr>
              <w:t>granulinį</w:t>
            </w:r>
            <w:proofErr w:type="spellEnd"/>
            <w:r w:rsidRPr="00396C7C">
              <w:rPr>
                <w:rFonts w:ascii="Times New Roman" w:eastAsia="Courier New" w:hAnsi="Times New Roman" w:cs="Times New Roman"/>
                <w:color w:val="000000"/>
                <w:sz w:val="24"/>
                <w:szCs w:val="24"/>
                <w:lang w:eastAsia="lt-LT" w:bidi="lt-LT"/>
              </w:rPr>
              <w:t xml:space="preserve"> biokuro katilą skiriama finansavimo lėšų suma, esant 30 proc. paramos intensyvumui, vidutiniškai sudarytų 1300 </w:t>
            </w:r>
            <w:proofErr w:type="spellStart"/>
            <w:r w:rsidRPr="00396C7C">
              <w:rPr>
                <w:rFonts w:ascii="Times New Roman" w:eastAsia="Courier New" w:hAnsi="Times New Roman" w:cs="Times New Roman"/>
                <w:color w:val="000000"/>
                <w:sz w:val="24"/>
                <w:szCs w:val="24"/>
                <w:lang w:eastAsia="lt-LT" w:bidi="lt-LT"/>
              </w:rPr>
              <w:t>Eur</w:t>
            </w:r>
            <w:proofErr w:type="spellEnd"/>
            <w:r w:rsidRPr="00396C7C">
              <w:rPr>
                <w:rFonts w:ascii="Times New Roman" w:eastAsia="Courier New" w:hAnsi="Times New Roman" w:cs="Times New Roman"/>
                <w:color w:val="000000"/>
                <w:sz w:val="24"/>
                <w:szCs w:val="24"/>
                <w:lang w:eastAsia="lt-LT" w:bidi="lt-LT"/>
              </w:rPr>
              <w:t xml:space="preserve">, todėl priklausomai nuo galutinių naudos gavėjų diegiamų technologijų, paremtų </w:t>
            </w:r>
            <w:proofErr w:type="spellStart"/>
            <w:r w:rsidRPr="00396C7C">
              <w:rPr>
                <w:rFonts w:ascii="Times New Roman" w:eastAsia="Courier New" w:hAnsi="Times New Roman" w:cs="Times New Roman"/>
                <w:color w:val="000000"/>
                <w:sz w:val="24"/>
                <w:szCs w:val="24"/>
                <w:lang w:eastAsia="lt-LT" w:bidi="lt-LT"/>
              </w:rPr>
              <w:t>idividualių</w:t>
            </w:r>
            <w:proofErr w:type="spellEnd"/>
            <w:r w:rsidRPr="00396C7C">
              <w:rPr>
                <w:rFonts w:ascii="Times New Roman" w:eastAsia="Courier New" w:hAnsi="Times New Roman" w:cs="Times New Roman"/>
                <w:color w:val="000000"/>
                <w:sz w:val="24"/>
                <w:szCs w:val="24"/>
                <w:lang w:eastAsia="lt-LT" w:bidi="lt-LT"/>
              </w:rPr>
              <w:t xml:space="preserve"> namų ūkių skaičius gali būti didesnis nei 9000.</w:t>
            </w:r>
          </w:p>
          <w:p w14:paraId="00D45B64" w14:textId="58FB8B33" w:rsidR="00CA08E3" w:rsidRPr="00CA08E3" w:rsidRDefault="00CA08E3" w:rsidP="00CA08E3">
            <w:pPr>
              <w:rPr>
                <w:rStyle w:val="BodyText1"/>
                <w:rFonts w:eastAsia="Courier New"/>
                <w:sz w:val="24"/>
                <w:szCs w:val="24"/>
              </w:rPr>
            </w:pPr>
          </w:p>
        </w:tc>
        <w:tc>
          <w:tcPr>
            <w:tcW w:w="5417" w:type="dxa"/>
          </w:tcPr>
          <w:p w14:paraId="1B696A05" w14:textId="4287AA63" w:rsidR="00CA08E3" w:rsidRPr="00396C7C" w:rsidRDefault="00CA08E3" w:rsidP="00CA08E3">
            <w:pPr>
              <w:spacing w:line="256" w:lineRule="auto"/>
              <w:jc w:val="both"/>
              <w:rPr>
                <w:rFonts w:ascii="Times New Roman" w:eastAsia="Calibri" w:hAnsi="Times New Roman" w:cs="Times New Roman"/>
                <w:b/>
                <w:sz w:val="24"/>
                <w:szCs w:val="24"/>
              </w:rPr>
            </w:pPr>
            <w:r w:rsidRPr="00396C7C">
              <w:rPr>
                <w:rFonts w:ascii="Times New Roman" w:eastAsia="Calibri" w:hAnsi="Times New Roman" w:cs="Times New Roman"/>
                <w:b/>
                <w:sz w:val="24"/>
                <w:szCs w:val="24"/>
              </w:rPr>
              <w:t>Atsižvelgta</w:t>
            </w:r>
            <w:r w:rsidR="006D62B3">
              <w:rPr>
                <w:rFonts w:ascii="Times New Roman" w:eastAsia="Calibri" w:hAnsi="Times New Roman" w:cs="Times New Roman"/>
                <w:b/>
                <w:sz w:val="24"/>
                <w:szCs w:val="24"/>
              </w:rPr>
              <w:t>.</w:t>
            </w:r>
          </w:p>
          <w:p w14:paraId="3614F0CC" w14:textId="77777777" w:rsidR="00CA08E3" w:rsidRPr="00396C7C" w:rsidRDefault="00CA08E3" w:rsidP="00CA08E3">
            <w:pPr>
              <w:spacing w:line="256" w:lineRule="auto"/>
              <w:jc w:val="both"/>
              <w:rPr>
                <w:rFonts w:ascii="Times New Roman" w:eastAsia="Calibri" w:hAnsi="Times New Roman" w:cs="Times New Roman"/>
                <w:b/>
                <w:sz w:val="24"/>
                <w:szCs w:val="24"/>
              </w:rPr>
            </w:pPr>
          </w:p>
          <w:p w14:paraId="6DC2AD31" w14:textId="06D5B4B9" w:rsidR="00CA08E3" w:rsidRPr="00CA08E3" w:rsidRDefault="00CA08E3" w:rsidP="006D62B3">
            <w:pPr>
              <w:spacing w:line="256" w:lineRule="auto"/>
              <w:rPr>
                <w:rFonts w:ascii="Times New Roman" w:eastAsia="Calibri" w:hAnsi="Times New Roman" w:cs="Times New Roman"/>
                <w:b/>
                <w:sz w:val="24"/>
                <w:szCs w:val="24"/>
              </w:rPr>
            </w:pPr>
            <w:r w:rsidRPr="00396C7C">
              <w:rPr>
                <w:rFonts w:ascii="Times New Roman" w:eastAsia="Calibri" w:hAnsi="Times New Roman" w:cs="Times New Roman"/>
                <w:sz w:val="24"/>
                <w:szCs w:val="24"/>
              </w:rPr>
              <w:t xml:space="preserve">Papildytas PIP pagrindimo 23 punktas jame nurodant, kad skaičiuojant priemonei skiriamo finansavimo dydį, buvo vertinami biokuro </w:t>
            </w:r>
            <w:proofErr w:type="spellStart"/>
            <w:r w:rsidRPr="00396C7C">
              <w:rPr>
                <w:rFonts w:ascii="Times New Roman" w:eastAsia="Calibri" w:hAnsi="Times New Roman" w:cs="Times New Roman"/>
                <w:sz w:val="24"/>
                <w:szCs w:val="24"/>
              </w:rPr>
              <w:t>granulinių</w:t>
            </w:r>
            <w:proofErr w:type="spellEnd"/>
            <w:r w:rsidRPr="00396C7C">
              <w:rPr>
                <w:rFonts w:ascii="Times New Roman" w:eastAsia="Calibri" w:hAnsi="Times New Roman" w:cs="Times New Roman"/>
                <w:sz w:val="24"/>
                <w:szCs w:val="24"/>
              </w:rPr>
              <w:t xml:space="preserve"> katilų su automatizuotu kuro padavimu įkainiai</w:t>
            </w:r>
            <w:r w:rsidR="006D62B3">
              <w:rPr>
                <w:rFonts w:ascii="Times New Roman" w:eastAsia="Calibri" w:hAnsi="Times New Roman" w:cs="Times New Roman"/>
                <w:sz w:val="24"/>
                <w:szCs w:val="24"/>
              </w:rPr>
              <w:t>. Š</w:t>
            </w:r>
            <w:r w:rsidRPr="00396C7C">
              <w:rPr>
                <w:rFonts w:ascii="Times New Roman" w:eastAsia="Calibri" w:hAnsi="Times New Roman" w:cs="Times New Roman"/>
                <w:sz w:val="24"/>
                <w:szCs w:val="24"/>
              </w:rPr>
              <w:t>i aplinkybė neapribos kitų technologijų finansavimo galimybių projekto įgyvendinimo metu</w:t>
            </w:r>
            <w:r w:rsidR="006D62B3">
              <w:rPr>
                <w:rFonts w:ascii="Times New Roman" w:eastAsia="Calibri" w:hAnsi="Times New Roman" w:cs="Times New Roman"/>
                <w:sz w:val="24"/>
                <w:szCs w:val="24"/>
              </w:rPr>
              <w:t>, t</w:t>
            </w:r>
            <w:r w:rsidRPr="00396C7C">
              <w:rPr>
                <w:rFonts w:ascii="Times New Roman" w:eastAsia="Calibri" w:hAnsi="Times New Roman" w:cs="Times New Roman"/>
                <w:sz w:val="24"/>
                <w:szCs w:val="24"/>
              </w:rPr>
              <w:t>.</w:t>
            </w:r>
            <w:r w:rsidR="006D62B3">
              <w:rPr>
                <w:rFonts w:ascii="Times New Roman" w:eastAsia="Calibri" w:hAnsi="Times New Roman" w:cs="Times New Roman"/>
                <w:sz w:val="24"/>
                <w:szCs w:val="24"/>
              </w:rPr>
              <w:t xml:space="preserve"> y. bus finansuojamos ne tik minėtų katilų įsigijimo ir diegimo išlaidos, bet ir kitų technologijų analogiškos išlaidos.</w:t>
            </w:r>
            <w:r w:rsidRPr="00396C7C">
              <w:rPr>
                <w:rFonts w:ascii="Times New Roman" w:eastAsia="Calibri" w:hAnsi="Times New Roman" w:cs="Times New Roman"/>
                <w:sz w:val="24"/>
                <w:szCs w:val="24"/>
              </w:rPr>
              <w:t xml:space="preserve"> </w:t>
            </w:r>
          </w:p>
        </w:tc>
      </w:tr>
      <w:tr w:rsidR="00CA08E3" w:rsidRPr="00861E55" w14:paraId="0D695918" w14:textId="77777777" w:rsidTr="006D62B3">
        <w:trPr>
          <w:trHeight w:val="263"/>
        </w:trPr>
        <w:tc>
          <w:tcPr>
            <w:tcW w:w="1296" w:type="dxa"/>
          </w:tcPr>
          <w:p w14:paraId="6FE39795" w14:textId="32C515B0" w:rsidR="00CA08E3" w:rsidRPr="003B1E2F" w:rsidRDefault="00CA08E3" w:rsidP="00CA08E3">
            <w:pPr>
              <w:pStyle w:val="ListParagraph"/>
              <w:numPr>
                <w:ilvl w:val="0"/>
                <w:numId w:val="1"/>
              </w:numPr>
              <w:rPr>
                <w:rFonts w:ascii="Times New Roman" w:hAnsi="Times New Roman" w:cs="Times New Roman"/>
                <w:sz w:val="24"/>
                <w:szCs w:val="24"/>
              </w:rPr>
            </w:pPr>
          </w:p>
        </w:tc>
        <w:tc>
          <w:tcPr>
            <w:tcW w:w="8424" w:type="dxa"/>
          </w:tcPr>
          <w:p w14:paraId="093B3242" w14:textId="5AD63339" w:rsidR="00CA08E3" w:rsidRPr="00CA08E3" w:rsidRDefault="00CA08E3" w:rsidP="00CA08E3">
            <w:pPr>
              <w:rPr>
                <w:rStyle w:val="BodyText1"/>
                <w:rFonts w:eastAsia="Courier New"/>
                <w:sz w:val="24"/>
                <w:szCs w:val="24"/>
              </w:rPr>
            </w:pPr>
            <w:r w:rsidRPr="00396C7C">
              <w:rPr>
                <w:rFonts w:ascii="Times New Roman" w:eastAsia="Courier New" w:hAnsi="Times New Roman" w:cs="Times New Roman"/>
                <w:color w:val="000000"/>
                <w:sz w:val="24"/>
                <w:szCs w:val="24"/>
                <w:lang w:eastAsia="lt-LT" w:bidi="lt-LT"/>
              </w:rPr>
              <w:t xml:space="preserve">Pagal Projektų administravimo ir finansavimo taisykles, patvirtintas Lietuvos Respublikos finansų ministro 2014 m. spalio 8 d. įsakymu Nr. 1K-316 „Dėl Projektų administravimo ir finansavimo taisyklių patvirtinimo“ (toliau </w:t>
            </w:r>
            <w:proofErr w:type="gramStart"/>
            <w:r w:rsidRPr="00396C7C">
              <w:rPr>
                <w:rFonts w:ascii="Times New Roman" w:eastAsia="Courier New" w:hAnsi="Times New Roman" w:cs="Times New Roman"/>
                <w:color w:val="000000"/>
                <w:sz w:val="24"/>
                <w:szCs w:val="24"/>
                <w:lang w:eastAsia="lt-LT" w:bidi="lt-LT"/>
              </w:rPr>
              <w:t>-</w:t>
            </w:r>
            <w:proofErr w:type="gramEnd"/>
            <w:r w:rsidRPr="00396C7C">
              <w:rPr>
                <w:rFonts w:ascii="Times New Roman" w:eastAsia="Courier New" w:hAnsi="Times New Roman" w:cs="Times New Roman"/>
                <w:color w:val="000000"/>
                <w:sz w:val="24"/>
                <w:szCs w:val="24"/>
                <w:lang w:eastAsia="lt-LT" w:bidi="lt-LT"/>
              </w:rPr>
              <w:t xml:space="preserve"> Projektų </w:t>
            </w:r>
            <w:r w:rsidRPr="00396C7C">
              <w:rPr>
                <w:rFonts w:ascii="Times New Roman" w:eastAsia="Courier New" w:hAnsi="Times New Roman" w:cs="Times New Roman"/>
                <w:color w:val="000000"/>
                <w:sz w:val="24"/>
                <w:szCs w:val="24"/>
                <w:lang w:eastAsia="lt-LT" w:bidi="lt-LT"/>
              </w:rPr>
              <w:lastRenderedPageBreak/>
              <w:t>administravimo ir finansavimo taisyklės), siekiant įgyvendinti projekto veiklas, projekto vykdytojas - LAAIF, kuris yra perkančioji organizacija pagal Lietuvos Respublikos viešųjų pirkimų įstatymo reikalavimus, turės vykdyti pirkimo procedūras. Nesant numatytų Projektų administravimo ir finansavimo taisyklėse išimčių dėl pirkimų pagal priemonę „Katilų keitimas namų ūkiuose“, projekto įgyvendinimas pagal kiekvieno individualaus namų ūkio efektyvesnių technologijų poreikį yra praktiškai neįmanomas. Todėl yra būtinas aiškus reglamentavimas dėl projekto pirkimų procedūrų vykdymo, apskaitos tvarkymo, nuosavybės teisių, atsakomybių galutinių naudos gavėjų (fizinių asmenų) atžvilgiu</w:t>
            </w:r>
            <w:r w:rsidR="00907BA7">
              <w:rPr>
                <w:rFonts w:ascii="Times New Roman" w:eastAsia="Courier New" w:hAnsi="Times New Roman" w:cs="Times New Roman"/>
                <w:color w:val="000000"/>
                <w:sz w:val="24"/>
                <w:szCs w:val="24"/>
                <w:lang w:eastAsia="lt-LT" w:bidi="lt-LT"/>
              </w:rPr>
              <w:t>.</w:t>
            </w:r>
          </w:p>
        </w:tc>
        <w:tc>
          <w:tcPr>
            <w:tcW w:w="5417" w:type="dxa"/>
          </w:tcPr>
          <w:p w14:paraId="28AA85AE" w14:textId="6451E401" w:rsidR="00CA08E3" w:rsidRPr="00CA08E3" w:rsidRDefault="00CA08E3" w:rsidP="00CA08E3">
            <w:pPr>
              <w:spacing w:after="160" w:line="256" w:lineRule="auto"/>
              <w:jc w:val="both"/>
              <w:rPr>
                <w:rFonts w:ascii="Times New Roman" w:eastAsia="Calibri" w:hAnsi="Times New Roman" w:cs="Times New Roman"/>
                <w:b/>
                <w:sz w:val="24"/>
                <w:szCs w:val="24"/>
              </w:rPr>
            </w:pPr>
            <w:r w:rsidRPr="00CA08E3">
              <w:rPr>
                <w:rFonts w:ascii="Times New Roman" w:eastAsia="Calibri" w:hAnsi="Times New Roman" w:cs="Times New Roman"/>
                <w:b/>
                <w:sz w:val="24"/>
                <w:szCs w:val="24"/>
              </w:rPr>
              <w:lastRenderedPageBreak/>
              <w:t>Neatsižvelgta</w:t>
            </w:r>
            <w:r w:rsidR="006D62B3">
              <w:rPr>
                <w:rFonts w:ascii="Times New Roman" w:eastAsia="Calibri" w:hAnsi="Times New Roman" w:cs="Times New Roman"/>
                <w:b/>
                <w:sz w:val="24"/>
                <w:szCs w:val="24"/>
              </w:rPr>
              <w:t>.</w:t>
            </w:r>
          </w:p>
          <w:p w14:paraId="3F03BCA8" w14:textId="61A57EB1" w:rsidR="00CA08E3" w:rsidRPr="00CA08E3" w:rsidRDefault="00CA08E3" w:rsidP="00907BA7">
            <w:pPr>
              <w:spacing w:line="256" w:lineRule="auto"/>
              <w:rPr>
                <w:rFonts w:ascii="Times New Roman" w:eastAsia="Calibri" w:hAnsi="Times New Roman" w:cs="Times New Roman"/>
                <w:b/>
                <w:sz w:val="24"/>
                <w:szCs w:val="24"/>
              </w:rPr>
            </w:pPr>
            <w:r w:rsidRPr="00396C7C">
              <w:rPr>
                <w:rFonts w:ascii="Times New Roman" w:eastAsia="Calibri" w:hAnsi="Times New Roman" w:cs="Times New Roman"/>
                <w:sz w:val="24"/>
                <w:szCs w:val="24"/>
              </w:rPr>
              <w:t>Planuojama, kad įgyvendinant priemonę efekt</w:t>
            </w:r>
            <w:r w:rsidR="00907BA7">
              <w:rPr>
                <w:rFonts w:ascii="Times New Roman" w:eastAsia="Calibri" w:hAnsi="Times New Roman" w:cs="Times New Roman"/>
                <w:sz w:val="24"/>
                <w:szCs w:val="24"/>
              </w:rPr>
              <w:t>yvesnius biokuro katilus ar kitu</w:t>
            </w:r>
            <w:r w:rsidRPr="00396C7C">
              <w:rPr>
                <w:rFonts w:ascii="Times New Roman" w:eastAsia="Calibri" w:hAnsi="Times New Roman" w:cs="Times New Roman"/>
                <w:sz w:val="24"/>
                <w:szCs w:val="24"/>
              </w:rPr>
              <w:t>s technologij</w:t>
            </w:r>
            <w:r w:rsidR="00907BA7">
              <w:rPr>
                <w:rFonts w:ascii="Times New Roman" w:eastAsia="Calibri" w:hAnsi="Times New Roman" w:cs="Times New Roman"/>
                <w:sz w:val="24"/>
                <w:szCs w:val="24"/>
              </w:rPr>
              <w:t xml:space="preserve">ų įrenginius </w:t>
            </w:r>
            <w:r w:rsidRPr="00396C7C">
              <w:rPr>
                <w:rFonts w:ascii="Times New Roman" w:eastAsia="Calibri" w:hAnsi="Times New Roman" w:cs="Times New Roman"/>
                <w:sz w:val="24"/>
                <w:szCs w:val="24"/>
              </w:rPr>
              <w:t>pirktų patys fiziniai asmenys, t. y. gal</w:t>
            </w:r>
            <w:r w:rsidR="00DD0687">
              <w:rPr>
                <w:rFonts w:ascii="Times New Roman" w:eastAsia="Calibri" w:hAnsi="Times New Roman" w:cs="Times New Roman"/>
                <w:sz w:val="24"/>
                <w:szCs w:val="24"/>
              </w:rPr>
              <w:t>utiniai naudos gavėjai. LAAIF</w:t>
            </w:r>
            <w:r w:rsidRPr="00396C7C">
              <w:rPr>
                <w:rFonts w:ascii="Times New Roman" w:eastAsia="Calibri" w:hAnsi="Times New Roman" w:cs="Times New Roman"/>
                <w:sz w:val="24"/>
                <w:szCs w:val="24"/>
              </w:rPr>
              <w:t xml:space="preserve"> neturi sąlygų sandėliuoti nupirktą įrangą, be to, kiekvieno galutinio naudos gavėjo poreikiai yra individualūs ir perkamų katilų charakteristikos atskirais atvejais skiriasi, todėl bendras katilų pirkimas negalėtų būti atliktas. PAFT nedraudžia fiziniams asmenims patiems įsigyti reikiamą įrangą.</w:t>
            </w:r>
          </w:p>
        </w:tc>
      </w:tr>
      <w:tr w:rsidR="00BB309D" w:rsidRPr="00861E55" w14:paraId="50A72E95" w14:textId="77777777" w:rsidTr="00FF7E20">
        <w:trPr>
          <w:trHeight w:val="263"/>
        </w:trPr>
        <w:tc>
          <w:tcPr>
            <w:tcW w:w="15137" w:type="dxa"/>
            <w:gridSpan w:val="3"/>
          </w:tcPr>
          <w:p w14:paraId="79AF2EE6" w14:textId="128C7FE7" w:rsidR="00BB309D" w:rsidRPr="00BB309D" w:rsidRDefault="00BB309D" w:rsidP="00BB309D">
            <w:pPr>
              <w:pStyle w:val="ListParagraph"/>
              <w:ind w:left="1080"/>
              <w:jc w:val="center"/>
              <w:rPr>
                <w:rFonts w:ascii="Times New Roman" w:hAnsi="Times New Roman" w:cs="Times New Roman"/>
                <w:sz w:val="24"/>
                <w:szCs w:val="24"/>
              </w:rPr>
            </w:pPr>
            <w:r w:rsidRPr="00FC0742">
              <w:rPr>
                <w:rFonts w:ascii="Times New Roman" w:hAnsi="Times New Roman" w:cs="Times New Roman"/>
                <w:b/>
                <w:caps/>
                <w:sz w:val="24"/>
                <w:szCs w:val="24"/>
              </w:rPr>
              <w:lastRenderedPageBreak/>
              <w:t>04.1.1-LVPA</w:t>
            </w:r>
            <w:proofErr w:type="gramStart"/>
            <w:r w:rsidRPr="00FC0742">
              <w:rPr>
                <w:rFonts w:ascii="Times New Roman" w:hAnsi="Times New Roman" w:cs="Times New Roman"/>
                <w:b/>
                <w:caps/>
                <w:sz w:val="24"/>
                <w:szCs w:val="24"/>
              </w:rPr>
              <w:t>-</w:t>
            </w:r>
            <w:proofErr w:type="gramEnd"/>
            <w:r w:rsidRPr="00FC0742">
              <w:rPr>
                <w:rFonts w:ascii="Times New Roman" w:hAnsi="Times New Roman" w:cs="Times New Roman"/>
                <w:b/>
                <w:caps/>
                <w:sz w:val="24"/>
                <w:szCs w:val="24"/>
              </w:rPr>
              <w:t>K-112 „BIOKURĄ NAUDOJANČIŲ ŠILUMOS GAMYBOS ĮRENGINIŲ KEITIMAS“</w:t>
            </w:r>
          </w:p>
        </w:tc>
      </w:tr>
      <w:tr w:rsidR="00BB309D" w:rsidRPr="00861E55" w14:paraId="3BC222F8" w14:textId="77777777" w:rsidTr="00504085">
        <w:trPr>
          <w:trHeight w:val="263"/>
        </w:trPr>
        <w:tc>
          <w:tcPr>
            <w:tcW w:w="15137" w:type="dxa"/>
            <w:gridSpan w:val="3"/>
          </w:tcPr>
          <w:p w14:paraId="1C531E67" w14:textId="009D8D99" w:rsidR="00BB309D" w:rsidRPr="00BB309D" w:rsidRDefault="00BB309D" w:rsidP="00BB309D">
            <w:pPr>
              <w:jc w:val="center"/>
              <w:rPr>
                <w:rFonts w:ascii="Times New Roman" w:hAnsi="Times New Roman" w:cs="Times New Roman"/>
                <w:sz w:val="24"/>
                <w:szCs w:val="24"/>
              </w:rPr>
            </w:pPr>
            <w:r>
              <w:rPr>
                <w:rFonts w:ascii="Times New Roman" w:hAnsi="Times New Roman" w:cs="Times New Roman"/>
                <w:b/>
                <w:sz w:val="24"/>
                <w:szCs w:val="24"/>
              </w:rPr>
              <w:t xml:space="preserve"> Viešosios įstaigos Lietuvos verslo paramos agentūros</w:t>
            </w:r>
            <w:r w:rsidRPr="00E76D0B">
              <w:rPr>
                <w:rFonts w:ascii="Times New Roman" w:hAnsi="Times New Roman" w:cs="Times New Roman"/>
                <w:b/>
                <w:sz w:val="24"/>
                <w:szCs w:val="24"/>
              </w:rPr>
              <w:t xml:space="preserve"> 2017 m. gegužės </w:t>
            </w:r>
            <w:r>
              <w:rPr>
                <w:rFonts w:ascii="Times New Roman" w:hAnsi="Times New Roman" w:cs="Times New Roman"/>
                <w:b/>
                <w:sz w:val="24"/>
                <w:szCs w:val="24"/>
              </w:rPr>
              <w:t>18</w:t>
            </w:r>
            <w:r w:rsidRPr="00E76D0B">
              <w:rPr>
                <w:rFonts w:ascii="Times New Roman" w:hAnsi="Times New Roman" w:cs="Times New Roman"/>
                <w:b/>
                <w:sz w:val="24"/>
                <w:szCs w:val="24"/>
              </w:rPr>
              <w:t xml:space="preserve"> d. raštas Nr. </w:t>
            </w:r>
            <w:r>
              <w:rPr>
                <w:rFonts w:ascii="Times New Roman" w:hAnsi="Times New Roman" w:cs="Times New Roman"/>
                <w:b/>
                <w:sz w:val="24"/>
                <w:szCs w:val="24"/>
              </w:rPr>
              <w:t>R4-2736(15.1.6)</w:t>
            </w:r>
          </w:p>
        </w:tc>
      </w:tr>
      <w:tr w:rsidR="00BB309D" w:rsidRPr="00861E55" w14:paraId="659D4C7E" w14:textId="77777777" w:rsidTr="006D62B3">
        <w:trPr>
          <w:trHeight w:val="263"/>
        </w:trPr>
        <w:tc>
          <w:tcPr>
            <w:tcW w:w="1296" w:type="dxa"/>
          </w:tcPr>
          <w:p w14:paraId="70FB729A" w14:textId="77777777" w:rsidR="00BB309D" w:rsidRPr="003B1E2F" w:rsidRDefault="00BB309D" w:rsidP="00CA08E3">
            <w:pPr>
              <w:pStyle w:val="ListParagraph"/>
              <w:numPr>
                <w:ilvl w:val="0"/>
                <w:numId w:val="1"/>
              </w:numPr>
              <w:rPr>
                <w:rFonts w:ascii="Times New Roman" w:hAnsi="Times New Roman" w:cs="Times New Roman"/>
                <w:sz w:val="24"/>
                <w:szCs w:val="24"/>
              </w:rPr>
            </w:pPr>
          </w:p>
        </w:tc>
        <w:tc>
          <w:tcPr>
            <w:tcW w:w="8424" w:type="dxa"/>
          </w:tcPr>
          <w:p w14:paraId="1106FC3C" w14:textId="77777777" w:rsidR="00DC56EE" w:rsidRDefault="00DC56EE" w:rsidP="00DC56EE">
            <w:pPr>
              <w:rPr>
                <w:rFonts w:ascii="Times New Roman" w:eastAsia="Courier New" w:hAnsi="Times New Roman" w:cs="Times New Roman"/>
                <w:color w:val="000000"/>
                <w:sz w:val="24"/>
                <w:szCs w:val="24"/>
                <w:lang w:eastAsia="lt-LT" w:bidi="lt-LT"/>
              </w:rPr>
            </w:pPr>
            <w:r w:rsidRPr="00925876">
              <w:rPr>
                <w:rFonts w:ascii="Times New Roman" w:eastAsia="Courier New" w:hAnsi="Times New Roman" w:cs="Times New Roman"/>
                <w:color w:val="000000"/>
                <w:sz w:val="24"/>
                <w:szCs w:val="24"/>
                <w:lang w:eastAsia="lt-LT" w:bidi="lt-LT"/>
              </w:rPr>
              <w:t>6. Priemonės įgyvendinimo stebėsenos rodikliai.</w:t>
            </w:r>
          </w:p>
          <w:p w14:paraId="49EA7F3B" w14:textId="77777777" w:rsidR="00DC56EE" w:rsidRDefault="00DC56EE" w:rsidP="00CA08E3">
            <w:pPr>
              <w:rPr>
                <w:rFonts w:ascii="Times New Roman" w:hAnsi="Times New Roman" w:cs="Times New Roman"/>
                <w:sz w:val="24"/>
                <w:szCs w:val="24"/>
              </w:rPr>
            </w:pPr>
          </w:p>
          <w:p w14:paraId="79687767" w14:textId="39FA1453" w:rsidR="00BB309D" w:rsidRPr="00396C7C" w:rsidRDefault="00BB309D" w:rsidP="00CA08E3">
            <w:pPr>
              <w:rPr>
                <w:rFonts w:ascii="Times New Roman" w:eastAsia="Courier New" w:hAnsi="Times New Roman" w:cs="Times New Roman"/>
                <w:color w:val="000000"/>
                <w:sz w:val="24"/>
                <w:szCs w:val="24"/>
                <w:lang w:eastAsia="lt-LT" w:bidi="lt-LT"/>
              </w:rPr>
            </w:pPr>
            <w:r>
              <w:rPr>
                <w:rFonts w:ascii="Times New Roman" w:hAnsi="Times New Roman" w:cs="Times New Roman"/>
                <w:sz w:val="24"/>
                <w:szCs w:val="24"/>
              </w:rPr>
              <w:t>Neaišku kaip nustatyta Priemonės Nr. 04.1.1-LVPA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K-112 „Biokurą naudojančių šilumos gamybos įrenginių keitimas“ įgyvendinimo stebėsenos rodiklio P.N.111 „Pakeistų (naujai įrengtų) biokuro įrenginių vardinė (nominali) šiluminė galia“ reikšmė. Negalima įvertinti ar ji reali.</w:t>
            </w:r>
          </w:p>
        </w:tc>
        <w:tc>
          <w:tcPr>
            <w:tcW w:w="5417" w:type="dxa"/>
          </w:tcPr>
          <w:p w14:paraId="28B3D720" w14:textId="1A2EE676" w:rsidR="00BB309D" w:rsidRPr="00BB309D" w:rsidRDefault="00BB309D" w:rsidP="00BB309D">
            <w:pPr>
              <w:spacing w:line="256" w:lineRule="auto"/>
              <w:rPr>
                <w:rFonts w:ascii="Times New Roman" w:eastAsia="Calibri" w:hAnsi="Times New Roman" w:cs="Times New Roman"/>
                <w:b/>
                <w:sz w:val="24"/>
                <w:szCs w:val="24"/>
              </w:rPr>
            </w:pPr>
            <w:r w:rsidRPr="00BB309D">
              <w:rPr>
                <w:rFonts w:ascii="Times New Roman" w:eastAsia="Calibri" w:hAnsi="Times New Roman" w:cs="Times New Roman"/>
                <w:b/>
                <w:sz w:val="24"/>
                <w:szCs w:val="24"/>
              </w:rPr>
              <w:t>Paaiškinimas</w:t>
            </w:r>
            <w:r w:rsidR="006D62B3">
              <w:rPr>
                <w:rFonts w:ascii="Times New Roman" w:eastAsia="Calibri" w:hAnsi="Times New Roman" w:cs="Times New Roman"/>
                <w:b/>
                <w:sz w:val="24"/>
                <w:szCs w:val="24"/>
              </w:rPr>
              <w:t>.</w:t>
            </w:r>
          </w:p>
          <w:p w14:paraId="5D65B7E6" w14:textId="77777777" w:rsidR="00BB309D" w:rsidRPr="00BB309D" w:rsidRDefault="00BB309D" w:rsidP="00BB309D">
            <w:pPr>
              <w:spacing w:line="256" w:lineRule="auto"/>
              <w:rPr>
                <w:rFonts w:ascii="Times New Roman" w:eastAsia="Calibri" w:hAnsi="Times New Roman" w:cs="Times New Roman"/>
                <w:sz w:val="24"/>
                <w:szCs w:val="24"/>
              </w:rPr>
            </w:pPr>
          </w:p>
          <w:p w14:paraId="1650B06F" w14:textId="5DA308E0" w:rsidR="00BB309D" w:rsidRDefault="00BB309D" w:rsidP="00BB309D">
            <w:pPr>
              <w:tabs>
                <w:tab w:val="left" w:pos="313"/>
              </w:tabs>
              <w:spacing w:line="256" w:lineRule="auto"/>
              <w:rPr>
                <w:rFonts w:ascii="Times New Roman" w:eastAsia="Calibri" w:hAnsi="Times New Roman" w:cs="Times New Roman"/>
                <w:sz w:val="24"/>
                <w:szCs w:val="24"/>
              </w:rPr>
            </w:pPr>
            <w:r w:rsidRPr="00BB309D">
              <w:rPr>
                <w:rFonts w:ascii="Times New Roman" w:eastAsia="Calibri" w:hAnsi="Times New Roman" w:cs="Times New Roman"/>
                <w:sz w:val="24"/>
                <w:szCs w:val="24"/>
              </w:rPr>
              <w:t>Reikšmė nustatyta įvertinus anksčiau įgyvendintus projektus bei priemonei skirtus finansavimo šaltinius. Nustatyta, kad už suplanuotas lėšas būtų galima įrengti 28</w:t>
            </w:r>
            <w:proofErr w:type="gramStart"/>
            <w:r w:rsidRPr="00BB309D">
              <w:rPr>
                <w:rFonts w:ascii="Times New Roman" w:eastAsia="Calibri" w:hAnsi="Times New Roman" w:cs="Times New Roman"/>
                <w:sz w:val="24"/>
                <w:szCs w:val="24"/>
              </w:rPr>
              <w:t>-</w:t>
            </w:r>
            <w:proofErr w:type="gramEnd"/>
            <w:r w:rsidRPr="00BB309D">
              <w:rPr>
                <w:rFonts w:ascii="Times New Roman" w:eastAsia="Calibri" w:hAnsi="Times New Roman" w:cs="Times New Roman"/>
                <w:sz w:val="24"/>
                <w:szCs w:val="24"/>
              </w:rPr>
              <w:t>48 MW galią sudarančių biokuro katilų. Keletas pavyzdžių:</w:t>
            </w:r>
          </w:p>
          <w:p w14:paraId="43DCEFEB" w14:textId="77777777" w:rsidR="006D62B3" w:rsidRPr="00BB309D" w:rsidRDefault="006D62B3" w:rsidP="00BB309D">
            <w:pPr>
              <w:tabs>
                <w:tab w:val="left" w:pos="313"/>
              </w:tabs>
              <w:spacing w:line="256" w:lineRule="auto"/>
              <w:rPr>
                <w:rFonts w:ascii="Times New Roman" w:eastAsia="Calibri" w:hAnsi="Times New Roman" w:cs="Times New Roman"/>
                <w:sz w:val="24"/>
                <w:szCs w:val="24"/>
              </w:rPr>
            </w:pPr>
          </w:p>
          <w:p w14:paraId="308D4294" w14:textId="6BCC7342" w:rsidR="00BB309D" w:rsidRPr="00DD0687" w:rsidRDefault="00BB309D" w:rsidP="00DD0687">
            <w:pPr>
              <w:pStyle w:val="ListParagraph"/>
              <w:numPr>
                <w:ilvl w:val="0"/>
                <w:numId w:val="5"/>
              </w:numPr>
              <w:tabs>
                <w:tab w:val="left" w:pos="313"/>
              </w:tabs>
              <w:spacing w:line="257" w:lineRule="auto"/>
              <w:ind w:left="432"/>
              <w:rPr>
                <w:rFonts w:ascii="Times New Roman" w:eastAsia="Calibri" w:hAnsi="Times New Roman" w:cs="Times New Roman"/>
                <w:sz w:val="24"/>
                <w:szCs w:val="24"/>
              </w:rPr>
            </w:pPr>
            <w:r w:rsidRPr="00DD0687">
              <w:rPr>
                <w:rFonts w:ascii="Times New Roman" w:eastAsia="Calibri" w:hAnsi="Times New Roman" w:cs="Times New Roman"/>
                <w:sz w:val="24"/>
                <w:szCs w:val="24"/>
              </w:rPr>
              <w:t xml:space="preserve">UAB „Anykščių šiluma“, 2015 m. projektas: 4 MW biokuro katilas + 1 MW </w:t>
            </w:r>
            <w:proofErr w:type="spellStart"/>
            <w:r w:rsidRPr="00DD0687">
              <w:rPr>
                <w:rFonts w:ascii="Times New Roman" w:eastAsia="Calibri" w:hAnsi="Times New Roman" w:cs="Times New Roman"/>
                <w:sz w:val="24"/>
                <w:szCs w:val="24"/>
              </w:rPr>
              <w:t>ekonomaizeris</w:t>
            </w:r>
            <w:proofErr w:type="spellEnd"/>
            <w:r w:rsidRPr="00DD0687">
              <w:rPr>
                <w:rFonts w:ascii="Times New Roman" w:eastAsia="Calibri" w:hAnsi="Times New Roman" w:cs="Times New Roman"/>
                <w:sz w:val="24"/>
                <w:szCs w:val="24"/>
              </w:rPr>
              <w:t xml:space="preserve">, kaina 2,52 mln. </w:t>
            </w:r>
            <w:proofErr w:type="spellStart"/>
            <w:r w:rsidRPr="00DD0687">
              <w:rPr>
                <w:rFonts w:ascii="Times New Roman" w:eastAsia="Calibri" w:hAnsi="Times New Roman" w:cs="Times New Roman"/>
                <w:sz w:val="24"/>
                <w:szCs w:val="24"/>
              </w:rPr>
              <w:t>Eur</w:t>
            </w:r>
            <w:proofErr w:type="spellEnd"/>
            <w:r w:rsidR="00DD0687" w:rsidRPr="00DD0687">
              <w:rPr>
                <w:rFonts w:ascii="Times New Roman" w:eastAsia="Calibri" w:hAnsi="Times New Roman" w:cs="Times New Roman"/>
                <w:sz w:val="24"/>
                <w:szCs w:val="24"/>
              </w:rPr>
              <w:t>;</w:t>
            </w:r>
          </w:p>
          <w:p w14:paraId="20850FF9" w14:textId="77777777" w:rsidR="00BB309D" w:rsidRPr="00BB309D" w:rsidRDefault="00BB309D" w:rsidP="00DD0687">
            <w:pPr>
              <w:tabs>
                <w:tab w:val="left" w:pos="313"/>
              </w:tabs>
              <w:spacing w:line="257" w:lineRule="auto"/>
              <w:ind w:left="432"/>
              <w:contextualSpacing/>
              <w:rPr>
                <w:rFonts w:ascii="Times New Roman" w:eastAsia="Calibri" w:hAnsi="Times New Roman" w:cs="Times New Roman"/>
                <w:sz w:val="24"/>
                <w:szCs w:val="24"/>
              </w:rPr>
            </w:pPr>
          </w:p>
          <w:p w14:paraId="364000B5" w14:textId="538B1E4D" w:rsidR="00BB309D" w:rsidRPr="00DD0687" w:rsidRDefault="00BB309D" w:rsidP="00DD0687">
            <w:pPr>
              <w:pStyle w:val="ListParagraph"/>
              <w:numPr>
                <w:ilvl w:val="0"/>
                <w:numId w:val="5"/>
              </w:numPr>
              <w:tabs>
                <w:tab w:val="left" w:pos="313"/>
              </w:tabs>
              <w:spacing w:line="257" w:lineRule="auto"/>
              <w:ind w:left="432"/>
              <w:rPr>
                <w:rFonts w:ascii="Times New Roman" w:eastAsia="Calibri" w:hAnsi="Times New Roman" w:cs="Times New Roman"/>
                <w:sz w:val="24"/>
                <w:szCs w:val="24"/>
              </w:rPr>
            </w:pPr>
            <w:r w:rsidRPr="00DD0687">
              <w:rPr>
                <w:rFonts w:ascii="Times New Roman" w:eastAsia="Calibri" w:hAnsi="Times New Roman" w:cs="Times New Roman"/>
                <w:sz w:val="24"/>
                <w:szCs w:val="24"/>
              </w:rPr>
              <w:t>UAB „</w:t>
            </w:r>
            <w:proofErr w:type="spellStart"/>
            <w:r w:rsidRPr="00DD0687">
              <w:rPr>
                <w:rFonts w:ascii="Times New Roman" w:eastAsia="Calibri" w:hAnsi="Times New Roman" w:cs="Times New Roman"/>
                <w:sz w:val="24"/>
                <w:szCs w:val="24"/>
              </w:rPr>
              <w:t>Litesko</w:t>
            </w:r>
            <w:proofErr w:type="spellEnd"/>
            <w:r w:rsidRPr="00DD0687">
              <w:rPr>
                <w:rFonts w:ascii="Times New Roman" w:eastAsia="Calibri" w:hAnsi="Times New Roman" w:cs="Times New Roman"/>
                <w:sz w:val="24"/>
                <w:szCs w:val="24"/>
              </w:rPr>
              <w:t xml:space="preserve">“ Marijampoles katilines projektas: 10 MW biokuro katilas + 2,4 MW </w:t>
            </w:r>
            <w:proofErr w:type="spellStart"/>
            <w:r w:rsidRPr="00DD0687">
              <w:rPr>
                <w:rFonts w:ascii="Times New Roman" w:eastAsia="Calibri" w:hAnsi="Times New Roman" w:cs="Times New Roman"/>
                <w:sz w:val="24"/>
                <w:szCs w:val="24"/>
              </w:rPr>
              <w:t>ekonomaizeris</w:t>
            </w:r>
            <w:proofErr w:type="spellEnd"/>
            <w:r w:rsidRPr="00DD0687">
              <w:rPr>
                <w:rFonts w:ascii="Times New Roman" w:eastAsia="Calibri" w:hAnsi="Times New Roman" w:cs="Times New Roman"/>
                <w:sz w:val="24"/>
                <w:szCs w:val="24"/>
              </w:rPr>
              <w:t xml:space="preserve">, kaina 3,64 mln. </w:t>
            </w:r>
            <w:proofErr w:type="spellStart"/>
            <w:r w:rsidRPr="00DD0687">
              <w:rPr>
                <w:rFonts w:ascii="Times New Roman" w:eastAsia="Calibri" w:hAnsi="Times New Roman" w:cs="Times New Roman"/>
                <w:sz w:val="24"/>
                <w:szCs w:val="24"/>
              </w:rPr>
              <w:t>Eur</w:t>
            </w:r>
            <w:proofErr w:type="spellEnd"/>
            <w:r w:rsidR="00DD0687" w:rsidRPr="00DD0687">
              <w:rPr>
                <w:rFonts w:ascii="Times New Roman" w:eastAsia="Calibri" w:hAnsi="Times New Roman" w:cs="Times New Roman"/>
                <w:sz w:val="24"/>
                <w:szCs w:val="24"/>
              </w:rPr>
              <w:t>;</w:t>
            </w:r>
          </w:p>
          <w:p w14:paraId="3CACA0EE" w14:textId="77777777" w:rsidR="00BB309D" w:rsidRPr="00BB309D" w:rsidRDefault="00BB309D" w:rsidP="00DD0687">
            <w:pPr>
              <w:tabs>
                <w:tab w:val="left" w:pos="313"/>
              </w:tabs>
              <w:spacing w:line="257" w:lineRule="auto"/>
              <w:ind w:left="432"/>
              <w:contextualSpacing/>
              <w:rPr>
                <w:rFonts w:ascii="Times New Roman" w:eastAsia="Calibri" w:hAnsi="Times New Roman" w:cs="Times New Roman"/>
                <w:sz w:val="24"/>
                <w:szCs w:val="24"/>
              </w:rPr>
            </w:pPr>
          </w:p>
          <w:p w14:paraId="5067EA88" w14:textId="297B3B5F" w:rsidR="00BB309D" w:rsidRPr="00DD0687" w:rsidRDefault="00BB309D" w:rsidP="00DD0687">
            <w:pPr>
              <w:pStyle w:val="ListParagraph"/>
              <w:numPr>
                <w:ilvl w:val="0"/>
                <w:numId w:val="5"/>
              </w:numPr>
              <w:tabs>
                <w:tab w:val="left" w:pos="313"/>
              </w:tabs>
              <w:spacing w:line="257" w:lineRule="auto"/>
              <w:ind w:left="432"/>
              <w:rPr>
                <w:rFonts w:ascii="Times New Roman" w:eastAsia="Calibri" w:hAnsi="Times New Roman" w:cs="Times New Roman"/>
                <w:sz w:val="24"/>
                <w:szCs w:val="24"/>
              </w:rPr>
            </w:pPr>
            <w:r w:rsidRPr="00DD0687">
              <w:rPr>
                <w:rFonts w:ascii="Times New Roman" w:eastAsia="Calibri" w:hAnsi="Times New Roman" w:cs="Times New Roman"/>
                <w:sz w:val="24"/>
                <w:szCs w:val="24"/>
              </w:rPr>
              <w:t xml:space="preserve">UAB „Šalčininkų šilumos tinklai“, 2015 m. projektas: 5 MW katilas + 1.25 MW </w:t>
            </w:r>
            <w:proofErr w:type="spellStart"/>
            <w:r w:rsidRPr="00DD0687">
              <w:rPr>
                <w:rFonts w:ascii="Times New Roman" w:eastAsia="Calibri" w:hAnsi="Times New Roman" w:cs="Times New Roman"/>
                <w:sz w:val="24"/>
                <w:szCs w:val="24"/>
              </w:rPr>
              <w:t>ekonomaizeris</w:t>
            </w:r>
            <w:proofErr w:type="spellEnd"/>
            <w:r w:rsidRPr="00DD0687">
              <w:rPr>
                <w:rFonts w:ascii="Times New Roman" w:eastAsia="Calibri" w:hAnsi="Times New Roman" w:cs="Times New Roman"/>
                <w:sz w:val="24"/>
                <w:szCs w:val="24"/>
              </w:rPr>
              <w:t xml:space="preserve">, kaina 1,973 mln. </w:t>
            </w:r>
            <w:proofErr w:type="spellStart"/>
            <w:r w:rsidR="00DD0687" w:rsidRPr="00DD0687">
              <w:rPr>
                <w:rFonts w:ascii="Times New Roman" w:eastAsia="Calibri" w:hAnsi="Times New Roman" w:cs="Times New Roman"/>
                <w:sz w:val="24"/>
                <w:szCs w:val="24"/>
              </w:rPr>
              <w:t>Eur</w:t>
            </w:r>
            <w:proofErr w:type="spellEnd"/>
            <w:r w:rsidR="00DD0687" w:rsidRPr="00DD0687">
              <w:rPr>
                <w:rFonts w:ascii="Times New Roman" w:eastAsia="Calibri" w:hAnsi="Times New Roman" w:cs="Times New Roman"/>
                <w:sz w:val="24"/>
                <w:szCs w:val="24"/>
              </w:rPr>
              <w:t>.</w:t>
            </w:r>
          </w:p>
          <w:p w14:paraId="60A9C471" w14:textId="77777777" w:rsidR="00BB309D" w:rsidRPr="00BB309D" w:rsidRDefault="00BB309D" w:rsidP="00DD0687">
            <w:pPr>
              <w:tabs>
                <w:tab w:val="left" w:pos="313"/>
              </w:tabs>
              <w:spacing w:line="257" w:lineRule="auto"/>
              <w:contextualSpacing/>
              <w:rPr>
                <w:rFonts w:ascii="Times New Roman" w:eastAsia="Calibri" w:hAnsi="Times New Roman" w:cs="Times New Roman"/>
                <w:sz w:val="24"/>
                <w:szCs w:val="24"/>
              </w:rPr>
            </w:pPr>
          </w:p>
          <w:p w14:paraId="3D9D47E3" w14:textId="77777777" w:rsidR="00BB309D" w:rsidRPr="00DD0687" w:rsidRDefault="00BB309D" w:rsidP="00DD0687">
            <w:pPr>
              <w:pStyle w:val="ListParagraph"/>
              <w:numPr>
                <w:ilvl w:val="0"/>
                <w:numId w:val="5"/>
              </w:numPr>
              <w:tabs>
                <w:tab w:val="left" w:pos="313"/>
              </w:tabs>
              <w:spacing w:line="257" w:lineRule="auto"/>
              <w:ind w:left="0"/>
              <w:rPr>
                <w:rFonts w:ascii="Times New Roman" w:eastAsia="Calibri" w:hAnsi="Times New Roman" w:cs="Times New Roman"/>
                <w:sz w:val="24"/>
                <w:szCs w:val="24"/>
              </w:rPr>
            </w:pPr>
            <w:r w:rsidRPr="00DD0687">
              <w:rPr>
                <w:rFonts w:ascii="Times New Roman" w:eastAsia="Calibri" w:hAnsi="Times New Roman" w:cs="Times New Roman"/>
                <w:sz w:val="24"/>
                <w:szCs w:val="24"/>
              </w:rPr>
              <w:t>Atsižvelgiant į pateiktus duomenis priimama, kad siektina rodiklio P.N.111 reikšmė yra 35 MW.</w:t>
            </w:r>
          </w:p>
          <w:p w14:paraId="37B99531" w14:textId="77777777" w:rsidR="00BB309D" w:rsidRPr="00BB309D" w:rsidRDefault="00BB309D" w:rsidP="00BB309D">
            <w:pPr>
              <w:spacing w:line="256" w:lineRule="auto"/>
              <w:rPr>
                <w:rFonts w:ascii="Times New Roman" w:eastAsia="Calibri" w:hAnsi="Times New Roman" w:cs="Times New Roman"/>
                <w:sz w:val="24"/>
                <w:szCs w:val="24"/>
              </w:rPr>
            </w:pPr>
          </w:p>
        </w:tc>
      </w:tr>
      <w:tr w:rsidR="00BB309D" w:rsidRPr="00861E55" w14:paraId="4A002F2C" w14:textId="77777777" w:rsidTr="0051767F">
        <w:trPr>
          <w:trHeight w:val="263"/>
        </w:trPr>
        <w:tc>
          <w:tcPr>
            <w:tcW w:w="15137" w:type="dxa"/>
            <w:gridSpan w:val="3"/>
          </w:tcPr>
          <w:p w14:paraId="071BA11B" w14:textId="403C7C39" w:rsidR="00BB309D" w:rsidRPr="00BB309D" w:rsidRDefault="00BB309D" w:rsidP="00BB309D">
            <w:pPr>
              <w:pStyle w:val="ListParagraph"/>
              <w:ind w:left="1080"/>
              <w:jc w:val="center"/>
              <w:rPr>
                <w:rFonts w:ascii="Times New Roman" w:hAnsi="Times New Roman" w:cs="Times New Roman"/>
                <w:sz w:val="24"/>
                <w:szCs w:val="24"/>
              </w:rPr>
            </w:pPr>
            <w:r>
              <w:rPr>
                <w:rFonts w:ascii="Times New Roman" w:hAnsi="Times New Roman" w:cs="Times New Roman"/>
                <w:b/>
                <w:sz w:val="24"/>
                <w:szCs w:val="24"/>
              </w:rPr>
              <w:t xml:space="preserve"> Lietuvos Respublikos ūkio ministerijos 2017 m. balandžio 10 d. raštas Nr. 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1966</w:t>
            </w:r>
          </w:p>
        </w:tc>
      </w:tr>
      <w:tr w:rsidR="00BB309D" w:rsidRPr="00861E55" w14:paraId="3959A4C8" w14:textId="77777777" w:rsidTr="006D62B3">
        <w:trPr>
          <w:trHeight w:val="263"/>
        </w:trPr>
        <w:tc>
          <w:tcPr>
            <w:tcW w:w="1296" w:type="dxa"/>
          </w:tcPr>
          <w:p w14:paraId="19485807" w14:textId="77777777" w:rsidR="00BB309D" w:rsidRPr="003B1E2F" w:rsidRDefault="00BB309D" w:rsidP="00CA08E3">
            <w:pPr>
              <w:pStyle w:val="ListParagraph"/>
              <w:numPr>
                <w:ilvl w:val="0"/>
                <w:numId w:val="1"/>
              </w:numPr>
              <w:rPr>
                <w:rFonts w:ascii="Times New Roman" w:hAnsi="Times New Roman" w:cs="Times New Roman"/>
                <w:sz w:val="24"/>
                <w:szCs w:val="24"/>
              </w:rPr>
            </w:pPr>
          </w:p>
        </w:tc>
        <w:tc>
          <w:tcPr>
            <w:tcW w:w="8424" w:type="dxa"/>
          </w:tcPr>
          <w:p w14:paraId="7B568099" w14:textId="77777777" w:rsidR="00DC56EE" w:rsidRDefault="00DC56EE" w:rsidP="00DC56EE">
            <w:pPr>
              <w:rPr>
                <w:rFonts w:ascii="Times New Roman" w:eastAsia="Courier New" w:hAnsi="Times New Roman" w:cs="Times New Roman"/>
                <w:color w:val="000000"/>
                <w:sz w:val="24"/>
                <w:szCs w:val="24"/>
                <w:lang w:eastAsia="lt-LT" w:bidi="lt-LT"/>
              </w:rPr>
            </w:pPr>
            <w:r w:rsidRPr="00925876">
              <w:rPr>
                <w:rFonts w:ascii="Times New Roman" w:eastAsia="Courier New" w:hAnsi="Times New Roman" w:cs="Times New Roman"/>
                <w:color w:val="000000"/>
                <w:sz w:val="24"/>
                <w:szCs w:val="24"/>
                <w:lang w:eastAsia="lt-LT" w:bidi="lt-LT"/>
              </w:rPr>
              <w:t>6. Priemonės įgyvendinimo stebėsenos rodikliai.</w:t>
            </w:r>
          </w:p>
          <w:p w14:paraId="37E8D830" w14:textId="77777777" w:rsidR="00DC56EE" w:rsidRDefault="00DC56EE" w:rsidP="00CA08E3">
            <w:pPr>
              <w:rPr>
                <w:rFonts w:ascii="Times New Roman" w:hAnsi="Times New Roman" w:cs="Times New Roman"/>
                <w:sz w:val="24"/>
                <w:szCs w:val="24"/>
              </w:rPr>
            </w:pPr>
          </w:p>
          <w:p w14:paraId="0765CEA7" w14:textId="7CE6A8DB" w:rsidR="00BB309D" w:rsidRDefault="00DD0687" w:rsidP="00CA08E3">
            <w:pPr>
              <w:rPr>
                <w:rFonts w:ascii="Times New Roman" w:hAnsi="Times New Roman" w:cs="Times New Roman"/>
                <w:sz w:val="24"/>
                <w:szCs w:val="24"/>
              </w:rPr>
            </w:pPr>
            <w:r>
              <w:rPr>
                <w:rFonts w:ascii="Times New Roman" w:hAnsi="Times New Roman" w:cs="Times New Roman"/>
                <w:sz w:val="24"/>
                <w:szCs w:val="24"/>
              </w:rPr>
              <w:t xml:space="preserve">Siūloma apsvarstyti </w:t>
            </w:r>
            <w:r w:rsidR="00BB309D">
              <w:rPr>
                <w:rFonts w:ascii="Times New Roman" w:hAnsi="Times New Roman" w:cs="Times New Roman"/>
                <w:sz w:val="24"/>
                <w:szCs w:val="24"/>
              </w:rPr>
              <w:t xml:space="preserve">stebėsenos bendrojo produkto rodiklio P.B. 230 „Papildomi atsinaujinančių išteklių energijos gamybos </w:t>
            </w:r>
            <w:proofErr w:type="spellStart"/>
            <w:r w:rsidR="00BB309D">
              <w:rPr>
                <w:rFonts w:ascii="Times New Roman" w:hAnsi="Times New Roman" w:cs="Times New Roman"/>
                <w:sz w:val="24"/>
                <w:szCs w:val="24"/>
              </w:rPr>
              <w:t>pajėgumai</w:t>
            </w:r>
            <w:proofErr w:type="spellEnd"/>
            <w:r w:rsidR="00BB309D">
              <w:rPr>
                <w:rFonts w:ascii="Times New Roman" w:hAnsi="Times New Roman" w:cs="Times New Roman"/>
                <w:sz w:val="24"/>
                <w:szCs w:val="24"/>
              </w:rPr>
              <w:t>“ nustatymą priemonėse.</w:t>
            </w:r>
          </w:p>
        </w:tc>
        <w:tc>
          <w:tcPr>
            <w:tcW w:w="5417" w:type="dxa"/>
          </w:tcPr>
          <w:p w14:paraId="1481DE8B" w14:textId="4E3E3F9A" w:rsidR="00BB309D" w:rsidRPr="00BB309D" w:rsidRDefault="00BB309D" w:rsidP="00BB309D">
            <w:pPr>
              <w:tabs>
                <w:tab w:val="left" w:pos="567"/>
              </w:tabs>
              <w:spacing w:after="160" w:line="259" w:lineRule="auto"/>
              <w:rPr>
                <w:rFonts w:ascii="Times New Roman" w:hAnsi="Times New Roman" w:cs="Times New Roman"/>
                <w:b/>
                <w:sz w:val="24"/>
                <w:szCs w:val="24"/>
              </w:rPr>
            </w:pPr>
            <w:r>
              <w:rPr>
                <w:rFonts w:ascii="Times New Roman" w:hAnsi="Times New Roman" w:cs="Times New Roman"/>
                <w:b/>
                <w:sz w:val="24"/>
                <w:szCs w:val="24"/>
              </w:rPr>
              <w:t>Neatsižvelgta</w:t>
            </w:r>
            <w:r w:rsidR="006D62B3">
              <w:rPr>
                <w:rFonts w:ascii="Times New Roman" w:hAnsi="Times New Roman" w:cs="Times New Roman"/>
                <w:b/>
                <w:sz w:val="24"/>
                <w:szCs w:val="24"/>
              </w:rPr>
              <w:t>.</w:t>
            </w:r>
          </w:p>
          <w:p w14:paraId="55433696" w14:textId="75178EAC" w:rsidR="00BB309D" w:rsidRPr="00BB309D" w:rsidRDefault="00BB309D" w:rsidP="00BB309D">
            <w:pPr>
              <w:spacing w:line="256" w:lineRule="auto"/>
              <w:rPr>
                <w:rFonts w:ascii="Times New Roman" w:eastAsia="Calibri" w:hAnsi="Times New Roman" w:cs="Times New Roman"/>
                <w:sz w:val="24"/>
                <w:szCs w:val="24"/>
              </w:rPr>
            </w:pPr>
            <w:r w:rsidRPr="00BB309D">
              <w:rPr>
                <w:rFonts w:ascii="Times New Roman" w:eastAsia="Calibri" w:hAnsi="Times New Roman" w:cs="Times New Roman"/>
                <w:sz w:val="24"/>
                <w:szCs w:val="24"/>
              </w:rPr>
              <w:t>Kadangi Priemonė Nr. 04.1.1-LVPA</w:t>
            </w:r>
            <w:proofErr w:type="gramStart"/>
            <w:r w:rsidRPr="00BB309D">
              <w:rPr>
                <w:rFonts w:ascii="Times New Roman" w:eastAsia="Calibri" w:hAnsi="Times New Roman" w:cs="Times New Roman"/>
                <w:sz w:val="24"/>
                <w:szCs w:val="24"/>
              </w:rPr>
              <w:t>-</w:t>
            </w:r>
            <w:proofErr w:type="gramEnd"/>
            <w:r w:rsidRPr="00BB309D">
              <w:rPr>
                <w:rFonts w:ascii="Times New Roman" w:eastAsia="Calibri" w:hAnsi="Times New Roman" w:cs="Times New Roman"/>
                <w:sz w:val="24"/>
                <w:szCs w:val="24"/>
              </w:rPr>
              <w:t xml:space="preserve">K-112 </w:t>
            </w:r>
            <w:r w:rsidRPr="00BB309D">
              <w:rPr>
                <w:rFonts w:ascii="Times New Roman" w:eastAsia="Calibri" w:hAnsi="Times New Roman" w:cs="Times New Roman"/>
                <w:sz w:val="24"/>
                <w:szCs w:val="24"/>
                <w:u w:val="single"/>
              </w:rPr>
              <w:t>padės išlaikyti</w:t>
            </w:r>
            <w:r w:rsidRPr="00BB309D">
              <w:rPr>
                <w:rFonts w:ascii="Times New Roman" w:eastAsia="Calibri" w:hAnsi="Times New Roman" w:cs="Times New Roman"/>
                <w:sz w:val="24"/>
                <w:szCs w:val="24"/>
              </w:rPr>
              <w:t xml:space="preserve"> (o ne sukurs naujus </w:t>
            </w:r>
            <w:proofErr w:type="spellStart"/>
            <w:r w:rsidRPr="00BB309D">
              <w:rPr>
                <w:rFonts w:ascii="Times New Roman" w:eastAsia="Calibri" w:hAnsi="Times New Roman" w:cs="Times New Roman"/>
                <w:sz w:val="24"/>
                <w:szCs w:val="24"/>
              </w:rPr>
              <w:t>pajėgumus</w:t>
            </w:r>
            <w:proofErr w:type="spellEnd"/>
            <w:r w:rsidRPr="00BB309D">
              <w:rPr>
                <w:rFonts w:ascii="Times New Roman" w:eastAsia="Calibri" w:hAnsi="Times New Roman" w:cs="Times New Roman"/>
                <w:sz w:val="24"/>
                <w:szCs w:val="24"/>
              </w:rPr>
              <w:t>) atsinaujinančių išteklių energijos dalį centralizuotai tiekiamos šilumos kuro balanse bei išlaikyti veiksmų programoje numatytą rezultatą</w:t>
            </w:r>
            <w:r w:rsidR="00B96738">
              <w:rPr>
                <w:rFonts w:ascii="Times New Roman" w:eastAsia="Calibri" w:hAnsi="Times New Roman" w:cs="Times New Roman"/>
                <w:sz w:val="24"/>
                <w:szCs w:val="24"/>
              </w:rPr>
              <w:t>, t. y.</w:t>
            </w:r>
            <w:r w:rsidRPr="00BB309D">
              <w:rPr>
                <w:rFonts w:ascii="Times New Roman" w:eastAsia="Calibri" w:hAnsi="Times New Roman" w:cs="Times New Roman"/>
                <w:sz w:val="24"/>
                <w:szCs w:val="24"/>
              </w:rPr>
              <w:t xml:space="preserve"> iki 2020 m. padidinti ir išlaikyti atsinaujinančių išteklių energijos dalį bendrame galutiniame energijos suvartojime ne mažiau kaip 23 proc., rodiklio P.B. 230 įtraukti negalime.</w:t>
            </w:r>
          </w:p>
          <w:p w14:paraId="67B5826E" w14:textId="77777777" w:rsidR="00BB309D" w:rsidRPr="00BB309D" w:rsidRDefault="00BB309D" w:rsidP="00BB309D">
            <w:pPr>
              <w:jc w:val="both"/>
              <w:rPr>
                <w:rFonts w:ascii="Times New Roman" w:hAnsi="Times New Roman" w:cs="Times New Roman"/>
                <w:b/>
                <w:sz w:val="24"/>
                <w:szCs w:val="24"/>
              </w:rPr>
            </w:pPr>
          </w:p>
        </w:tc>
      </w:tr>
    </w:tbl>
    <w:p w14:paraId="1E846331" w14:textId="524A0215" w:rsidR="009B4AAE" w:rsidRDefault="009B4AAE" w:rsidP="001F39C9">
      <w:pPr>
        <w:jc w:val="center"/>
        <w:rPr>
          <w:rFonts w:ascii="Times New Roman" w:hAnsi="Times New Roman" w:cs="Times New Roman"/>
          <w:b/>
          <w:sz w:val="24"/>
          <w:szCs w:val="24"/>
          <w:lang w:val="en-US"/>
        </w:rPr>
      </w:pPr>
    </w:p>
    <w:p w14:paraId="7C3ED018" w14:textId="5A0944C1" w:rsidR="00BE1EA8" w:rsidRPr="006D62B3" w:rsidRDefault="00BE1EA8" w:rsidP="001F39C9">
      <w:pPr>
        <w:jc w:val="center"/>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______________________________________________</w:t>
      </w:r>
    </w:p>
    <w:sectPr w:rsidR="00BE1EA8" w:rsidRPr="006D62B3" w:rsidSect="00DF7930">
      <w:headerReference w:type="default" r:id="rId11"/>
      <w:pgSz w:w="16838" w:h="11906" w:orient="landscape"/>
      <w:pgMar w:top="85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62ED" w14:textId="77777777" w:rsidR="00CC03E4" w:rsidRDefault="00CC03E4" w:rsidP="00E43628">
      <w:pPr>
        <w:spacing w:after="0" w:line="240" w:lineRule="auto"/>
      </w:pPr>
      <w:r>
        <w:separator/>
      </w:r>
    </w:p>
  </w:endnote>
  <w:endnote w:type="continuationSeparator" w:id="0">
    <w:p w14:paraId="53435647" w14:textId="77777777" w:rsidR="00CC03E4" w:rsidRDefault="00CC03E4" w:rsidP="00E4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B2927" w14:textId="77777777" w:rsidR="00CC03E4" w:rsidRDefault="00CC03E4" w:rsidP="00E43628">
      <w:pPr>
        <w:spacing w:after="0" w:line="240" w:lineRule="auto"/>
      </w:pPr>
      <w:r>
        <w:separator/>
      </w:r>
    </w:p>
  </w:footnote>
  <w:footnote w:type="continuationSeparator" w:id="0">
    <w:p w14:paraId="4EF7D43A" w14:textId="77777777" w:rsidR="00CC03E4" w:rsidRDefault="00CC03E4" w:rsidP="00E4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726265"/>
      <w:docPartObj>
        <w:docPartGallery w:val="Page Numbers (Top of Page)"/>
        <w:docPartUnique/>
      </w:docPartObj>
    </w:sdtPr>
    <w:sdtEndPr/>
    <w:sdtContent>
      <w:p w14:paraId="054B284F" w14:textId="1AF13260" w:rsidR="00E43628" w:rsidRDefault="00E43628">
        <w:pPr>
          <w:pStyle w:val="Header"/>
          <w:jc w:val="center"/>
        </w:pPr>
        <w:r w:rsidRPr="00E43628">
          <w:rPr>
            <w:rFonts w:ascii="Times New Roman" w:hAnsi="Times New Roman" w:cs="Times New Roman"/>
          </w:rPr>
          <w:fldChar w:fldCharType="begin"/>
        </w:r>
        <w:r w:rsidRPr="00E43628">
          <w:rPr>
            <w:rFonts w:ascii="Times New Roman" w:hAnsi="Times New Roman" w:cs="Times New Roman"/>
          </w:rPr>
          <w:instrText>PAGE   \* MERGEFORMAT</w:instrText>
        </w:r>
        <w:r w:rsidRPr="00E43628">
          <w:rPr>
            <w:rFonts w:ascii="Times New Roman" w:hAnsi="Times New Roman" w:cs="Times New Roman"/>
          </w:rPr>
          <w:fldChar w:fldCharType="separate"/>
        </w:r>
        <w:r w:rsidR="00D4711E">
          <w:rPr>
            <w:rFonts w:ascii="Times New Roman" w:hAnsi="Times New Roman" w:cs="Times New Roman"/>
            <w:noProof/>
          </w:rPr>
          <w:t>7</w:t>
        </w:r>
        <w:r w:rsidRPr="00E43628">
          <w:rPr>
            <w:rFonts w:ascii="Times New Roman" w:hAnsi="Times New Roman" w:cs="Times New Roman"/>
          </w:rPr>
          <w:fldChar w:fldCharType="end"/>
        </w:r>
      </w:p>
    </w:sdtContent>
  </w:sdt>
  <w:p w14:paraId="2F5620B6" w14:textId="77777777" w:rsidR="00E43628" w:rsidRDefault="00E4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05330"/>
    <w:multiLevelType w:val="hybridMultilevel"/>
    <w:tmpl w:val="FFD40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5B6182"/>
    <w:multiLevelType w:val="hybridMultilevel"/>
    <w:tmpl w:val="8DC2D76A"/>
    <w:lvl w:ilvl="0" w:tplc="BACA882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4DA456E6"/>
    <w:multiLevelType w:val="hybridMultilevel"/>
    <w:tmpl w:val="D96EED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261128"/>
    <w:multiLevelType w:val="hybridMultilevel"/>
    <w:tmpl w:val="AD58AE2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7DA91187"/>
    <w:multiLevelType w:val="hybridMultilevel"/>
    <w:tmpl w:val="9EC6B6B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21DF"/>
    <w:rsid w:val="0001093A"/>
    <w:rsid w:val="00022D5A"/>
    <w:rsid w:val="00046CF1"/>
    <w:rsid w:val="000857A2"/>
    <w:rsid w:val="00091B69"/>
    <w:rsid w:val="00091CB9"/>
    <w:rsid w:val="000B122D"/>
    <w:rsid w:val="000B4F09"/>
    <w:rsid w:val="000B64CB"/>
    <w:rsid w:val="000C2AC9"/>
    <w:rsid w:val="000C351E"/>
    <w:rsid w:val="000D1477"/>
    <w:rsid w:val="000D6A1F"/>
    <w:rsid w:val="000F0B67"/>
    <w:rsid w:val="000F123A"/>
    <w:rsid w:val="001056D1"/>
    <w:rsid w:val="00115B88"/>
    <w:rsid w:val="00140AEC"/>
    <w:rsid w:val="00143C39"/>
    <w:rsid w:val="0014415A"/>
    <w:rsid w:val="00144B49"/>
    <w:rsid w:val="00157560"/>
    <w:rsid w:val="00160A1B"/>
    <w:rsid w:val="00166882"/>
    <w:rsid w:val="00174A0F"/>
    <w:rsid w:val="001924F4"/>
    <w:rsid w:val="001A4D14"/>
    <w:rsid w:val="001F39C9"/>
    <w:rsid w:val="001F4334"/>
    <w:rsid w:val="001F71CA"/>
    <w:rsid w:val="00202C7C"/>
    <w:rsid w:val="002059D9"/>
    <w:rsid w:val="002220A9"/>
    <w:rsid w:val="00237FEB"/>
    <w:rsid w:val="00241510"/>
    <w:rsid w:val="0025138D"/>
    <w:rsid w:val="00251EC3"/>
    <w:rsid w:val="00270FCE"/>
    <w:rsid w:val="0027658B"/>
    <w:rsid w:val="00280C55"/>
    <w:rsid w:val="002A65BA"/>
    <w:rsid w:val="002C407F"/>
    <w:rsid w:val="002E03E7"/>
    <w:rsid w:val="002E4F15"/>
    <w:rsid w:val="002F76E8"/>
    <w:rsid w:val="003120D7"/>
    <w:rsid w:val="0032223B"/>
    <w:rsid w:val="00336CCC"/>
    <w:rsid w:val="003515BE"/>
    <w:rsid w:val="00371543"/>
    <w:rsid w:val="0037405F"/>
    <w:rsid w:val="003772AD"/>
    <w:rsid w:val="003807E9"/>
    <w:rsid w:val="00381912"/>
    <w:rsid w:val="003824F3"/>
    <w:rsid w:val="003A3B3A"/>
    <w:rsid w:val="003A47E5"/>
    <w:rsid w:val="003B1E2F"/>
    <w:rsid w:val="003C4890"/>
    <w:rsid w:val="003D2091"/>
    <w:rsid w:val="003D2F7F"/>
    <w:rsid w:val="003D6AB7"/>
    <w:rsid w:val="003E166E"/>
    <w:rsid w:val="003E2F2A"/>
    <w:rsid w:val="00435930"/>
    <w:rsid w:val="00436F81"/>
    <w:rsid w:val="00442EE7"/>
    <w:rsid w:val="00446484"/>
    <w:rsid w:val="00450948"/>
    <w:rsid w:val="0045428A"/>
    <w:rsid w:val="004547FD"/>
    <w:rsid w:val="004705DE"/>
    <w:rsid w:val="00472627"/>
    <w:rsid w:val="00494CEC"/>
    <w:rsid w:val="004A1E94"/>
    <w:rsid w:val="004B7462"/>
    <w:rsid w:val="004C2D29"/>
    <w:rsid w:val="004C72F9"/>
    <w:rsid w:val="004D20BE"/>
    <w:rsid w:val="004E08AE"/>
    <w:rsid w:val="004E2E12"/>
    <w:rsid w:val="004E532B"/>
    <w:rsid w:val="00503DFF"/>
    <w:rsid w:val="00506177"/>
    <w:rsid w:val="0052016A"/>
    <w:rsid w:val="00530C24"/>
    <w:rsid w:val="0054141C"/>
    <w:rsid w:val="00541EC4"/>
    <w:rsid w:val="005459D9"/>
    <w:rsid w:val="00573695"/>
    <w:rsid w:val="00580147"/>
    <w:rsid w:val="00586A4B"/>
    <w:rsid w:val="005B28E4"/>
    <w:rsid w:val="005B2A71"/>
    <w:rsid w:val="005B5D9A"/>
    <w:rsid w:val="005B7B71"/>
    <w:rsid w:val="005C1AF4"/>
    <w:rsid w:val="005C1EAD"/>
    <w:rsid w:val="005D3451"/>
    <w:rsid w:val="005F57EF"/>
    <w:rsid w:val="00613D81"/>
    <w:rsid w:val="00623028"/>
    <w:rsid w:val="006264D8"/>
    <w:rsid w:val="006303CE"/>
    <w:rsid w:val="0064559B"/>
    <w:rsid w:val="00645ABE"/>
    <w:rsid w:val="0068035C"/>
    <w:rsid w:val="006809C8"/>
    <w:rsid w:val="006825AE"/>
    <w:rsid w:val="0069209A"/>
    <w:rsid w:val="0069448C"/>
    <w:rsid w:val="006959A3"/>
    <w:rsid w:val="00696D40"/>
    <w:rsid w:val="006B03F7"/>
    <w:rsid w:val="006B54AE"/>
    <w:rsid w:val="006C0B2B"/>
    <w:rsid w:val="006D62B3"/>
    <w:rsid w:val="006E144A"/>
    <w:rsid w:val="006F7973"/>
    <w:rsid w:val="0070151D"/>
    <w:rsid w:val="00713C6D"/>
    <w:rsid w:val="00714ED0"/>
    <w:rsid w:val="00744340"/>
    <w:rsid w:val="00780731"/>
    <w:rsid w:val="00784246"/>
    <w:rsid w:val="007903E6"/>
    <w:rsid w:val="007A4A7B"/>
    <w:rsid w:val="007B4FBB"/>
    <w:rsid w:val="007D368D"/>
    <w:rsid w:val="007D6CDB"/>
    <w:rsid w:val="007E2A37"/>
    <w:rsid w:val="007E5A5E"/>
    <w:rsid w:val="007F4F53"/>
    <w:rsid w:val="0080422D"/>
    <w:rsid w:val="008169C1"/>
    <w:rsid w:val="00820F38"/>
    <w:rsid w:val="00845DD9"/>
    <w:rsid w:val="00847454"/>
    <w:rsid w:val="00857C16"/>
    <w:rsid w:val="00861E55"/>
    <w:rsid w:val="008627A5"/>
    <w:rsid w:val="00887319"/>
    <w:rsid w:val="008906A4"/>
    <w:rsid w:val="00894C4E"/>
    <w:rsid w:val="008A4ACA"/>
    <w:rsid w:val="008A5876"/>
    <w:rsid w:val="008B0CBB"/>
    <w:rsid w:val="008C539F"/>
    <w:rsid w:val="008D73E6"/>
    <w:rsid w:val="008F2AA7"/>
    <w:rsid w:val="008F2E65"/>
    <w:rsid w:val="00902310"/>
    <w:rsid w:val="00907BA7"/>
    <w:rsid w:val="00924E73"/>
    <w:rsid w:val="00925876"/>
    <w:rsid w:val="0092664B"/>
    <w:rsid w:val="00940AC1"/>
    <w:rsid w:val="00965784"/>
    <w:rsid w:val="009703FF"/>
    <w:rsid w:val="009739EA"/>
    <w:rsid w:val="00976249"/>
    <w:rsid w:val="00977EA5"/>
    <w:rsid w:val="0098483F"/>
    <w:rsid w:val="00985921"/>
    <w:rsid w:val="00985F65"/>
    <w:rsid w:val="009B2866"/>
    <w:rsid w:val="009B4451"/>
    <w:rsid w:val="009B4AAE"/>
    <w:rsid w:val="009B53C3"/>
    <w:rsid w:val="009D299B"/>
    <w:rsid w:val="009D39E3"/>
    <w:rsid w:val="00A1162D"/>
    <w:rsid w:val="00A21BC0"/>
    <w:rsid w:val="00A234D8"/>
    <w:rsid w:val="00A33C2C"/>
    <w:rsid w:val="00A42D05"/>
    <w:rsid w:val="00A61464"/>
    <w:rsid w:val="00A63C45"/>
    <w:rsid w:val="00A66F8F"/>
    <w:rsid w:val="00A7096F"/>
    <w:rsid w:val="00A7518F"/>
    <w:rsid w:val="00A82F35"/>
    <w:rsid w:val="00A85D04"/>
    <w:rsid w:val="00AA4610"/>
    <w:rsid w:val="00AC0808"/>
    <w:rsid w:val="00AD0397"/>
    <w:rsid w:val="00AD31D8"/>
    <w:rsid w:val="00AD51CC"/>
    <w:rsid w:val="00AE0019"/>
    <w:rsid w:val="00AF2FAF"/>
    <w:rsid w:val="00B00A98"/>
    <w:rsid w:val="00B423FC"/>
    <w:rsid w:val="00B55348"/>
    <w:rsid w:val="00B57142"/>
    <w:rsid w:val="00B573E3"/>
    <w:rsid w:val="00B62AAE"/>
    <w:rsid w:val="00B76C76"/>
    <w:rsid w:val="00B85284"/>
    <w:rsid w:val="00B87BAF"/>
    <w:rsid w:val="00B96738"/>
    <w:rsid w:val="00BA42B4"/>
    <w:rsid w:val="00BB309D"/>
    <w:rsid w:val="00BC42BC"/>
    <w:rsid w:val="00BD0F80"/>
    <w:rsid w:val="00BD1415"/>
    <w:rsid w:val="00BE084E"/>
    <w:rsid w:val="00BE1EA8"/>
    <w:rsid w:val="00BE2C14"/>
    <w:rsid w:val="00BF3737"/>
    <w:rsid w:val="00C01F41"/>
    <w:rsid w:val="00C20C04"/>
    <w:rsid w:val="00C3348C"/>
    <w:rsid w:val="00C3657A"/>
    <w:rsid w:val="00C41437"/>
    <w:rsid w:val="00C45CFD"/>
    <w:rsid w:val="00C50D95"/>
    <w:rsid w:val="00C53B3A"/>
    <w:rsid w:val="00C8247E"/>
    <w:rsid w:val="00C863DE"/>
    <w:rsid w:val="00C96676"/>
    <w:rsid w:val="00CA08E3"/>
    <w:rsid w:val="00CA404B"/>
    <w:rsid w:val="00CB1212"/>
    <w:rsid w:val="00CC03E4"/>
    <w:rsid w:val="00CD2D4A"/>
    <w:rsid w:val="00CD32FD"/>
    <w:rsid w:val="00CD3F29"/>
    <w:rsid w:val="00CD5A36"/>
    <w:rsid w:val="00CD65C0"/>
    <w:rsid w:val="00CE3BD4"/>
    <w:rsid w:val="00CF156D"/>
    <w:rsid w:val="00D167B5"/>
    <w:rsid w:val="00D17A9E"/>
    <w:rsid w:val="00D44E80"/>
    <w:rsid w:val="00D45583"/>
    <w:rsid w:val="00D4711E"/>
    <w:rsid w:val="00D5194B"/>
    <w:rsid w:val="00D541C0"/>
    <w:rsid w:val="00D55719"/>
    <w:rsid w:val="00D618F5"/>
    <w:rsid w:val="00D63EC9"/>
    <w:rsid w:val="00D703D7"/>
    <w:rsid w:val="00D779F2"/>
    <w:rsid w:val="00D86E34"/>
    <w:rsid w:val="00D87ECA"/>
    <w:rsid w:val="00D91F54"/>
    <w:rsid w:val="00DB18EA"/>
    <w:rsid w:val="00DC0680"/>
    <w:rsid w:val="00DC56EE"/>
    <w:rsid w:val="00DC589F"/>
    <w:rsid w:val="00DC7357"/>
    <w:rsid w:val="00DD0687"/>
    <w:rsid w:val="00DD7558"/>
    <w:rsid w:val="00DE6FA1"/>
    <w:rsid w:val="00DF1033"/>
    <w:rsid w:val="00DF2ABE"/>
    <w:rsid w:val="00DF7930"/>
    <w:rsid w:val="00E02EE9"/>
    <w:rsid w:val="00E03D8D"/>
    <w:rsid w:val="00E11E46"/>
    <w:rsid w:val="00E26C2E"/>
    <w:rsid w:val="00E27194"/>
    <w:rsid w:val="00E30B87"/>
    <w:rsid w:val="00E3542F"/>
    <w:rsid w:val="00E43628"/>
    <w:rsid w:val="00E51E96"/>
    <w:rsid w:val="00E55718"/>
    <w:rsid w:val="00E75441"/>
    <w:rsid w:val="00E77278"/>
    <w:rsid w:val="00E93D62"/>
    <w:rsid w:val="00E946BF"/>
    <w:rsid w:val="00EB0745"/>
    <w:rsid w:val="00EB2443"/>
    <w:rsid w:val="00EB72AE"/>
    <w:rsid w:val="00EC2A11"/>
    <w:rsid w:val="00EC31BE"/>
    <w:rsid w:val="00EC3A64"/>
    <w:rsid w:val="00EC5330"/>
    <w:rsid w:val="00ED01EA"/>
    <w:rsid w:val="00EF69E3"/>
    <w:rsid w:val="00F04F87"/>
    <w:rsid w:val="00F06D0A"/>
    <w:rsid w:val="00F20C5A"/>
    <w:rsid w:val="00F474D8"/>
    <w:rsid w:val="00F56432"/>
    <w:rsid w:val="00F56F10"/>
    <w:rsid w:val="00F62A71"/>
    <w:rsid w:val="00F708A5"/>
    <w:rsid w:val="00FA3A8A"/>
    <w:rsid w:val="00FC0742"/>
    <w:rsid w:val="00FD0F86"/>
    <w:rsid w:val="00FE015B"/>
    <w:rsid w:val="00FE1C4A"/>
    <w:rsid w:val="00FE32EE"/>
    <w:rsid w:val="00FE3574"/>
    <w:rsid w:val="00FE578C"/>
    <w:rsid w:val="00FF2492"/>
    <w:rsid w:val="00FF5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D3DA"/>
  <w15:chartTrackingRefBased/>
  <w15:docId w15:val="{C3667C59-9165-4BD0-AEF0-09AF6378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57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D29"/>
    <w:pPr>
      <w:ind w:left="720"/>
      <w:contextualSpacing/>
    </w:pPr>
  </w:style>
  <w:style w:type="character" w:styleId="Hyperlink">
    <w:name w:val="Hyperlink"/>
    <w:basedOn w:val="DefaultParagraphFont"/>
    <w:uiPriority w:val="99"/>
    <w:unhideWhenUsed/>
    <w:rsid w:val="00BE2C14"/>
    <w:rPr>
      <w:color w:val="0563C1" w:themeColor="hyperlink"/>
      <w:u w:val="single"/>
    </w:rPr>
  </w:style>
  <w:style w:type="paragraph" w:styleId="BalloonText">
    <w:name w:val="Balloon Text"/>
    <w:basedOn w:val="Normal"/>
    <w:link w:val="BalloonTextChar"/>
    <w:uiPriority w:val="99"/>
    <w:semiHidden/>
    <w:unhideWhenUsed/>
    <w:rsid w:val="00E94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BF"/>
    <w:rPr>
      <w:rFonts w:ascii="Segoe UI" w:hAnsi="Segoe UI" w:cs="Segoe UI"/>
      <w:sz w:val="18"/>
      <w:szCs w:val="18"/>
    </w:rPr>
  </w:style>
  <w:style w:type="paragraph" w:styleId="Header">
    <w:name w:val="header"/>
    <w:basedOn w:val="Normal"/>
    <w:link w:val="HeaderChar"/>
    <w:uiPriority w:val="99"/>
    <w:unhideWhenUsed/>
    <w:rsid w:val="00E4362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628"/>
  </w:style>
  <w:style w:type="paragraph" w:styleId="Footer">
    <w:name w:val="footer"/>
    <w:basedOn w:val="Normal"/>
    <w:link w:val="FooterChar"/>
    <w:uiPriority w:val="99"/>
    <w:unhideWhenUsed/>
    <w:rsid w:val="00E4362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628"/>
  </w:style>
  <w:style w:type="paragraph" w:styleId="PlainText">
    <w:name w:val="Plain Text"/>
    <w:basedOn w:val="Normal"/>
    <w:link w:val="PlainTextChar"/>
    <w:uiPriority w:val="99"/>
    <w:unhideWhenUsed/>
    <w:rsid w:val="00F708A5"/>
    <w:pPr>
      <w:spacing w:after="0" w:line="240" w:lineRule="auto"/>
    </w:pPr>
    <w:rPr>
      <w:rFonts w:ascii="Consolas" w:hAnsi="Consolas" w:cs="Consolas"/>
      <w:sz w:val="21"/>
      <w:szCs w:val="21"/>
      <w:lang w:eastAsia="lt-LT"/>
    </w:rPr>
  </w:style>
  <w:style w:type="character" w:customStyle="1" w:styleId="PlainTextChar">
    <w:name w:val="Plain Text Char"/>
    <w:basedOn w:val="DefaultParagraphFont"/>
    <w:link w:val="PlainText"/>
    <w:uiPriority w:val="99"/>
    <w:rsid w:val="00F708A5"/>
    <w:rPr>
      <w:rFonts w:ascii="Consolas" w:hAnsi="Consolas" w:cs="Consolas"/>
      <w:sz w:val="21"/>
      <w:szCs w:val="21"/>
      <w:lang w:eastAsia="lt-LT"/>
    </w:rPr>
  </w:style>
  <w:style w:type="character" w:styleId="CommentReference">
    <w:name w:val="annotation reference"/>
    <w:basedOn w:val="DefaultParagraphFont"/>
    <w:uiPriority w:val="99"/>
    <w:semiHidden/>
    <w:unhideWhenUsed/>
    <w:rsid w:val="003A47E5"/>
    <w:rPr>
      <w:sz w:val="16"/>
      <w:szCs w:val="16"/>
    </w:rPr>
  </w:style>
  <w:style w:type="paragraph" w:styleId="CommentText">
    <w:name w:val="annotation text"/>
    <w:basedOn w:val="Normal"/>
    <w:link w:val="CommentTextChar"/>
    <w:uiPriority w:val="99"/>
    <w:semiHidden/>
    <w:unhideWhenUsed/>
    <w:rsid w:val="0064559B"/>
    <w:pPr>
      <w:spacing w:line="240" w:lineRule="auto"/>
    </w:pPr>
    <w:rPr>
      <w:sz w:val="20"/>
      <w:szCs w:val="20"/>
    </w:rPr>
  </w:style>
  <w:style w:type="character" w:customStyle="1" w:styleId="CommentTextChar">
    <w:name w:val="Comment Text Char"/>
    <w:basedOn w:val="DefaultParagraphFont"/>
    <w:link w:val="CommentText"/>
    <w:uiPriority w:val="99"/>
    <w:semiHidden/>
    <w:rsid w:val="0064559B"/>
    <w:rPr>
      <w:sz w:val="20"/>
      <w:szCs w:val="20"/>
    </w:rPr>
  </w:style>
  <w:style w:type="paragraph" w:styleId="CommentSubject">
    <w:name w:val="annotation subject"/>
    <w:basedOn w:val="CommentText"/>
    <w:next w:val="CommentText"/>
    <w:link w:val="CommentSubjectChar"/>
    <w:uiPriority w:val="99"/>
    <w:semiHidden/>
    <w:unhideWhenUsed/>
    <w:rsid w:val="0064559B"/>
    <w:rPr>
      <w:b/>
      <w:bCs/>
    </w:rPr>
  </w:style>
  <w:style w:type="character" w:customStyle="1" w:styleId="CommentSubjectChar">
    <w:name w:val="Comment Subject Char"/>
    <w:basedOn w:val="CommentTextChar"/>
    <w:link w:val="CommentSubject"/>
    <w:uiPriority w:val="99"/>
    <w:semiHidden/>
    <w:rsid w:val="0064559B"/>
    <w:rPr>
      <w:b/>
      <w:bCs/>
      <w:sz w:val="20"/>
      <w:szCs w:val="20"/>
    </w:rPr>
  </w:style>
  <w:style w:type="character" w:customStyle="1" w:styleId="BodyText1">
    <w:name w:val="Body Text1"/>
    <w:basedOn w:val="DefaultParagraphFont"/>
    <w:rsid w:val="00DF1033"/>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lt-LT" w:eastAsia="lt-LT" w:bidi="lt-LT"/>
    </w:rPr>
  </w:style>
  <w:style w:type="table" w:customStyle="1" w:styleId="TableGrid1">
    <w:name w:val="Table Grid1"/>
    <w:basedOn w:val="TableNormal"/>
    <w:next w:val="TableGrid"/>
    <w:uiPriority w:val="39"/>
    <w:rsid w:val="00E27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8879">
      <w:bodyDiv w:val="1"/>
      <w:marLeft w:val="0"/>
      <w:marRight w:val="0"/>
      <w:marTop w:val="0"/>
      <w:marBottom w:val="0"/>
      <w:divBdr>
        <w:top w:val="none" w:sz="0" w:space="0" w:color="auto"/>
        <w:left w:val="none" w:sz="0" w:space="0" w:color="auto"/>
        <w:bottom w:val="none" w:sz="0" w:space="0" w:color="auto"/>
        <w:right w:val="none" w:sz="0" w:space="0" w:color="auto"/>
      </w:divBdr>
    </w:div>
    <w:div w:id="229391016">
      <w:bodyDiv w:val="1"/>
      <w:marLeft w:val="0"/>
      <w:marRight w:val="0"/>
      <w:marTop w:val="0"/>
      <w:marBottom w:val="0"/>
      <w:divBdr>
        <w:top w:val="none" w:sz="0" w:space="0" w:color="auto"/>
        <w:left w:val="none" w:sz="0" w:space="0" w:color="auto"/>
        <w:bottom w:val="none" w:sz="0" w:space="0" w:color="auto"/>
        <w:right w:val="none" w:sz="0" w:space="0" w:color="auto"/>
      </w:divBdr>
    </w:div>
    <w:div w:id="573777022">
      <w:bodyDiv w:val="1"/>
      <w:marLeft w:val="0"/>
      <w:marRight w:val="0"/>
      <w:marTop w:val="0"/>
      <w:marBottom w:val="0"/>
      <w:divBdr>
        <w:top w:val="none" w:sz="0" w:space="0" w:color="auto"/>
        <w:left w:val="none" w:sz="0" w:space="0" w:color="auto"/>
        <w:bottom w:val="none" w:sz="0" w:space="0" w:color="auto"/>
        <w:right w:val="none" w:sz="0" w:space="0" w:color="auto"/>
      </w:divBdr>
    </w:div>
    <w:div w:id="634338763">
      <w:bodyDiv w:val="1"/>
      <w:marLeft w:val="0"/>
      <w:marRight w:val="0"/>
      <w:marTop w:val="0"/>
      <w:marBottom w:val="0"/>
      <w:divBdr>
        <w:top w:val="none" w:sz="0" w:space="0" w:color="auto"/>
        <w:left w:val="none" w:sz="0" w:space="0" w:color="auto"/>
        <w:bottom w:val="none" w:sz="0" w:space="0" w:color="auto"/>
        <w:right w:val="none" w:sz="0" w:space="0" w:color="auto"/>
      </w:divBdr>
    </w:div>
    <w:div w:id="643511568">
      <w:bodyDiv w:val="1"/>
      <w:marLeft w:val="0"/>
      <w:marRight w:val="0"/>
      <w:marTop w:val="0"/>
      <w:marBottom w:val="0"/>
      <w:divBdr>
        <w:top w:val="none" w:sz="0" w:space="0" w:color="auto"/>
        <w:left w:val="none" w:sz="0" w:space="0" w:color="auto"/>
        <w:bottom w:val="none" w:sz="0" w:space="0" w:color="auto"/>
        <w:right w:val="none" w:sz="0" w:space="0" w:color="auto"/>
      </w:divBdr>
    </w:div>
    <w:div w:id="843320785">
      <w:bodyDiv w:val="1"/>
      <w:marLeft w:val="0"/>
      <w:marRight w:val="0"/>
      <w:marTop w:val="0"/>
      <w:marBottom w:val="0"/>
      <w:divBdr>
        <w:top w:val="none" w:sz="0" w:space="0" w:color="auto"/>
        <w:left w:val="none" w:sz="0" w:space="0" w:color="auto"/>
        <w:bottom w:val="none" w:sz="0" w:space="0" w:color="auto"/>
        <w:right w:val="none" w:sz="0" w:space="0" w:color="auto"/>
      </w:divBdr>
    </w:div>
    <w:div w:id="1219701998">
      <w:bodyDiv w:val="1"/>
      <w:marLeft w:val="0"/>
      <w:marRight w:val="0"/>
      <w:marTop w:val="0"/>
      <w:marBottom w:val="0"/>
      <w:divBdr>
        <w:top w:val="none" w:sz="0" w:space="0" w:color="auto"/>
        <w:left w:val="none" w:sz="0" w:space="0" w:color="auto"/>
        <w:bottom w:val="none" w:sz="0" w:space="0" w:color="auto"/>
        <w:right w:val="none" w:sz="0" w:space="0" w:color="auto"/>
      </w:divBdr>
    </w:div>
    <w:div w:id="20320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0" ma:contentTypeDescription="Kurkite naują dokumentą." ma:contentTypeScope="" ma:versionID="39e54996d9546778715b74e258a95eea">
  <xsd:schema xmlns:xsd="http://www.w3.org/2001/XMLSchema" xmlns:xs="http://www.w3.org/2001/XMLSchema" xmlns:p="http://schemas.microsoft.com/office/2006/metadata/properties" targetNamespace="http://schemas.microsoft.com/office/2006/metadata/properties" ma:root="true" ma:fieldsID="94e51d72bbef6552b9de8bbca70b55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FEE9-ED83-4FD5-896D-5525BE7505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870ED66-56D5-4CED-955E-E10057631073}">
  <ds:schemaRefs>
    <ds:schemaRef ds:uri="http://schemas.microsoft.com/sharepoint/v3/contenttype/forms"/>
  </ds:schemaRefs>
</ds:datastoreItem>
</file>

<file path=customXml/itemProps3.xml><?xml version="1.0" encoding="utf-8"?>
<ds:datastoreItem xmlns:ds="http://schemas.openxmlformats.org/officeDocument/2006/customXml" ds:itemID="{78460C26-D8D5-4C10-903E-410F56FCE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887D26-F2CE-4304-8573-35DB327B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Pages>
  <Words>13207</Words>
  <Characters>7529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Nerijus Naujalis</cp:lastModifiedBy>
  <cp:revision>40</cp:revision>
  <cp:lastPrinted>2017-05-25T14:04:00Z</cp:lastPrinted>
  <dcterms:created xsi:type="dcterms:W3CDTF">2017-05-23T05:46:00Z</dcterms:created>
  <dcterms:modified xsi:type="dcterms:W3CDTF">2017-05-25T14:15:00Z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ies>
</file>