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566FE" w14:textId="77777777" w:rsidR="00CC5E15" w:rsidRDefault="009527C3" w:rsidP="0021778C">
      <w:pPr>
        <w:tabs>
          <w:tab w:val="center" w:pos="3544"/>
          <w:tab w:val="left" w:pos="4962"/>
          <w:tab w:val="right" w:pos="9638"/>
        </w:tabs>
        <w:spacing w:after="0" w:line="276" w:lineRule="auto"/>
        <w:ind w:left="426"/>
        <w:jc w:val="center"/>
        <w:rPr>
          <w:rFonts w:ascii="TimesLT" w:hAnsi="TimesLT" w:cs="TimesLT"/>
          <w:b/>
          <w:bCs/>
          <w:sz w:val="24"/>
          <w:szCs w:val="24"/>
          <w:lang w:val="lt-LT" w:eastAsia="lt-LT"/>
        </w:rPr>
      </w:pPr>
      <w:r w:rsidRPr="005C5220">
        <w:rPr>
          <w:rFonts w:ascii="TimesLT" w:hAnsi="TimesLT" w:cs="TimesLT"/>
          <w:b/>
          <w:bCs/>
          <w:sz w:val="24"/>
          <w:szCs w:val="24"/>
          <w:lang w:val="lt-LT" w:eastAsia="lt-LT"/>
        </w:rPr>
        <w:t>SOCIALINIŲ IR EKONOMINIŲ PARTNERIŲ PATEIKTŲ PASTABŲ IR PASIŪLYMŲ</w:t>
      </w:r>
    </w:p>
    <w:p w14:paraId="677CEC46" w14:textId="77777777" w:rsidR="008C42BF" w:rsidRDefault="009527C3" w:rsidP="0021778C">
      <w:pPr>
        <w:tabs>
          <w:tab w:val="center" w:pos="3544"/>
          <w:tab w:val="left" w:pos="4962"/>
          <w:tab w:val="right" w:pos="9638"/>
        </w:tabs>
        <w:spacing w:after="0" w:line="276" w:lineRule="auto"/>
        <w:ind w:left="426"/>
        <w:jc w:val="center"/>
        <w:rPr>
          <w:rFonts w:ascii="Times New Roman" w:hAnsi="Times New Roman" w:cs="Times New Roman"/>
          <w:b/>
          <w:bCs/>
          <w:caps/>
          <w:sz w:val="24"/>
        </w:rPr>
      </w:pPr>
      <w:r w:rsidRPr="005C5220">
        <w:rPr>
          <w:rFonts w:ascii="TimesLT" w:hAnsi="TimesLT" w:cs="TimesLT"/>
          <w:b/>
          <w:bCs/>
          <w:sz w:val="24"/>
          <w:szCs w:val="24"/>
          <w:lang w:val="lt-LT" w:eastAsia="lt-LT"/>
        </w:rPr>
        <w:t xml:space="preserve">DĖL 2014–2020 METŲ EUROPOS SĄJUNGOS FONDŲ INVESTICIJŲ VEIKSMŲ PROGRAMOS </w:t>
      </w:r>
      <w:r w:rsidR="008C42BF">
        <w:rPr>
          <w:rFonts w:ascii="Times New Roman" w:hAnsi="Times New Roman" w:cs="Times New Roman"/>
          <w:b/>
          <w:bCs/>
          <w:caps/>
          <w:sz w:val="24"/>
        </w:rPr>
        <w:t>6</w:t>
      </w:r>
      <w:r w:rsidR="008C42BF" w:rsidRPr="004C7001">
        <w:rPr>
          <w:rFonts w:ascii="Times New Roman" w:hAnsi="Times New Roman" w:cs="Times New Roman"/>
          <w:b/>
          <w:bCs/>
          <w:caps/>
          <w:sz w:val="24"/>
        </w:rPr>
        <w:t xml:space="preserve"> </w:t>
      </w:r>
      <w:r w:rsidR="008C42BF" w:rsidRPr="00957793">
        <w:rPr>
          <w:rFonts w:ascii="Times New Roman" w:hAnsi="Times New Roman" w:cs="Times New Roman"/>
          <w:b/>
          <w:bCs/>
          <w:caps/>
          <w:sz w:val="24"/>
        </w:rPr>
        <w:t xml:space="preserve">PRIORITETO „DARNAUS TRANSPORTO IR PAGRINDINIŲ TINKLŲ INFRASTRUKTŪROS PLĖTRA“ </w:t>
      </w:r>
      <w:r w:rsidR="008C42BF" w:rsidRPr="00957793">
        <w:rPr>
          <w:rFonts w:ascii="Times New Roman" w:hAnsi="Times New Roman" w:cs="Times New Roman"/>
          <w:b/>
          <w:caps/>
          <w:sz w:val="24"/>
        </w:rPr>
        <w:t>06.3.1-LVPA-V-103 priemonės „E</w:t>
      </w:r>
      <w:r w:rsidR="008C42BF" w:rsidRPr="00957793">
        <w:rPr>
          <w:rFonts w:ascii="Times New Roman" w:hAnsi="Times New Roman" w:cs="Times New Roman"/>
          <w:b/>
          <w:bCs/>
          <w:caps/>
          <w:color w:val="000000"/>
          <w:sz w:val="24"/>
        </w:rPr>
        <w:t>lektros perdavimo sistemos modernizavimas ir plėtra</w:t>
      </w:r>
      <w:r w:rsidR="008C42BF" w:rsidRPr="00957793">
        <w:rPr>
          <w:rFonts w:ascii="Times New Roman" w:hAnsi="Times New Roman" w:cs="Times New Roman"/>
          <w:b/>
          <w:caps/>
          <w:sz w:val="24"/>
        </w:rPr>
        <w:t>“</w:t>
      </w:r>
      <w:r w:rsidR="008C42BF" w:rsidRPr="00957793">
        <w:rPr>
          <w:rFonts w:ascii="Times New Roman" w:hAnsi="Times New Roman" w:cs="Times New Roman"/>
          <w:b/>
          <w:bCs/>
          <w:caps/>
          <w:sz w:val="24"/>
        </w:rPr>
        <w:t xml:space="preserve"> PROJEKTŲ FINANSAVIMO SĄLYGŲ APRAŠO </w:t>
      </w:r>
      <w:r w:rsidR="008C42BF">
        <w:rPr>
          <w:rFonts w:ascii="Times New Roman" w:hAnsi="Times New Roman" w:cs="Times New Roman"/>
          <w:b/>
          <w:bCs/>
          <w:caps/>
          <w:sz w:val="24"/>
        </w:rPr>
        <w:t>Nr. 2</w:t>
      </w:r>
    </w:p>
    <w:p w14:paraId="3E8116A4" w14:textId="77777777" w:rsidR="009527C3" w:rsidRDefault="008C42BF" w:rsidP="006010B2">
      <w:pPr>
        <w:tabs>
          <w:tab w:val="center" w:pos="3544"/>
          <w:tab w:val="left" w:pos="4962"/>
          <w:tab w:val="right" w:pos="9638"/>
        </w:tabs>
        <w:spacing w:after="0" w:line="276" w:lineRule="auto"/>
        <w:ind w:hanging="142"/>
        <w:jc w:val="center"/>
        <w:rPr>
          <w:rFonts w:ascii="TimesLT" w:hAnsi="TimesLT" w:cs="TimesLT"/>
          <w:b/>
          <w:bCs/>
          <w:sz w:val="24"/>
          <w:szCs w:val="24"/>
          <w:lang w:val="lt-LT" w:eastAsia="lt-LT"/>
        </w:rPr>
      </w:pPr>
      <w:r>
        <w:rPr>
          <w:rFonts w:ascii="TimesLT" w:hAnsi="TimesLT" w:cs="TimesLT"/>
          <w:b/>
          <w:bCs/>
          <w:sz w:val="24"/>
          <w:szCs w:val="24"/>
          <w:lang w:val="lt-LT" w:eastAsia="lt-LT"/>
        </w:rPr>
        <w:t xml:space="preserve">PROJEKTO </w:t>
      </w:r>
      <w:r w:rsidR="000A6E21">
        <w:rPr>
          <w:rFonts w:ascii="TimesLT" w:hAnsi="TimesLT" w:cs="TimesLT"/>
          <w:b/>
          <w:bCs/>
          <w:sz w:val="24"/>
          <w:szCs w:val="24"/>
          <w:lang w:val="lt-LT" w:eastAsia="lt-LT"/>
        </w:rPr>
        <w:t>DERINIMO LENTELĖ</w:t>
      </w:r>
    </w:p>
    <w:p w14:paraId="794E69EA" w14:textId="77777777" w:rsidR="009527C3" w:rsidRPr="005C5220" w:rsidRDefault="009527C3" w:rsidP="006010B2">
      <w:pPr>
        <w:tabs>
          <w:tab w:val="center" w:pos="3544"/>
          <w:tab w:val="left" w:pos="4962"/>
          <w:tab w:val="right" w:pos="9638"/>
        </w:tabs>
        <w:spacing w:after="0" w:line="276" w:lineRule="auto"/>
        <w:rPr>
          <w:rFonts w:ascii="TimesLT" w:hAnsi="TimesLT" w:cs="TimesLT"/>
          <w:b/>
          <w:bCs/>
          <w:sz w:val="24"/>
          <w:szCs w:val="24"/>
          <w:lang w:val="lt-LT" w:eastAsia="lt-LT"/>
        </w:rPr>
      </w:pPr>
    </w:p>
    <w:tbl>
      <w:tblPr>
        <w:tblW w:w="141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164"/>
        <w:gridCol w:w="7303"/>
      </w:tblGrid>
      <w:tr w:rsidR="009527C3" w:rsidRPr="005C5220" w14:paraId="396E0E75" w14:textId="77777777" w:rsidTr="006D366D">
        <w:tc>
          <w:tcPr>
            <w:tcW w:w="708" w:type="dxa"/>
            <w:shd w:val="clear" w:color="auto" w:fill="D9D9D9"/>
          </w:tcPr>
          <w:p w14:paraId="50423C21" w14:textId="77777777" w:rsidR="009527C3" w:rsidRPr="005C5220" w:rsidRDefault="009527C3" w:rsidP="006010B2">
            <w:pPr>
              <w:spacing w:after="0" w:line="276" w:lineRule="auto"/>
              <w:rPr>
                <w:rFonts w:ascii="Times New Roman" w:hAnsi="Times New Roman" w:cs="Times New Roman"/>
                <w:b/>
                <w:bCs/>
                <w:sz w:val="24"/>
                <w:szCs w:val="24"/>
                <w:lang w:val="lt-LT" w:eastAsia="lt-LT"/>
              </w:rPr>
            </w:pPr>
            <w:r w:rsidRPr="005C5220">
              <w:rPr>
                <w:rFonts w:ascii="Times New Roman" w:hAnsi="Times New Roman" w:cs="Times New Roman"/>
                <w:b/>
                <w:bCs/>
                <w:sz w:val="24"/>
                <w:szCs w:val="24"/>
                <w:lang w:val="lt-LT" w:eastAsia="lt-LT"/>
              </w:rPr>
              <w:t xml:space="preserve">Eil. Nr. </w:t>
            </w:r>
          </w:p>
        </w:tc>
        <w:tc>
          <w:tcPr>
            <w:tcW w:w="6164" w:type="dxa"/>
            <w:shd w:val="clear" w:color="auto" w:fill="D9D9D9"/>
            <w:vAlign w:val="center"/>
          </w:tcPr>
          <w:p w14:paraId="18099D3A" w14:textId="77777777" w:rsidR="009527C3" w:rsidRPr="001A6841" w:rsidRDefault="009527C3" w:rsidP="006010B2">
            <w:pPr>
              <w:spacing w:after="0" w:line="276" w:lineRule="auto"/>
              <w:jc w:val="center"/>
              <w:rPr>
                <w:rFonts w:ascii="TimesLT" w:hAnsi="TimesLT" w:cs="TimesLT"/>
                <w:b/>
                <w:sz w:val="24"/>
                <w:szCs w:val="24"/>
                <w:lang w:val="lt-LT" w:eastAsia="lt-LT"/>
              </w:rPr>
            </w:pPr>
            <w:r w:rsidRPr="001A6841">
              <w:rPr>
                <w:rFonts w:ascii="TimesLT" w:hAnsi="TimesLT" w:cs="TimesLT"/>
                <w:b/>
                <w:sz w:val="24"/>
                <w:szCs w:val="24"/>
                <w:lang w:val="lt-LT" w:eastAsia="lt-LT"/>
              </w:rPr>
              <w:t>Pateiktos pastabos ir pasiūlymai</w:t>
            </w:r>
          </w:p>
        </w:tc>
        <w:tc>
          <w:tcPr>
            <w:tcW w:w="7303" w:type="dxa"/>
            <w:shd w:val="clear" w:color="auto" w:fill="D9D9D9"/>
            <w:vAlign w:val="center"/>
          </w:tcPr>
          <w:p w14:paraId="43E16860" w14:textId="77777777" w:rsidR="009527C3" w:rsidRPr="001A6841" w:rsidRDefault="009527C3" w:rsidP="006010B2">
            <w:pPr>
              <w:spacing w:after="0" w:line="276" w:lineRule="auto"/>
              <w:jc w:val="center"/>
              <w:rPr>
                <w:rFonts w:ascii="TimesLT" w:hAnsi="TimesLT" w:cs="TimesLT"/>
                <w:b/>
                <w:sz w:val="24"/>
                <w:szCs w:val="24"/>
                <w:lang w:val="lt-LT" w:eastAsia="lt-LT"/>
              </w:rPr>
            </w:pPr>
            <w:r w:rsidRPr="001A6841">
              <w:rPr>
                <w:rFonts w:ascii="TimesLT" w:hAnsi="TimesLT" w:cs="TimesLT"/>
                <w:b/>
                <w:sz w:val="24"/>
                <w:szCs w:val="24"/>
                <w:lang w:val="lt-LT" w:eastAsia="lt-LT"/>
              </w:rPr>
              <w:t>Išvadų, pasiūlymų ir pastabų vertinimai bei komentarai</w:t>
            </w:r>
          </w:p>
        </w:tc>
      </w:tr>
      <w:tr w:rsidR="009527C3" w:rsidRPr="005C5220" w14:paraId="0C98058A" w14:textId="77777777" w:rsidTr="008C42BF">
        <w:trPr>
          <w:trHeight w:val="429"/>
        </w:trPr>
        <w:tc>
          <w:tcPr>
            <w:tcW w:w="708" w:type="dxa"/>
          </w:tcPr>
          <w:p w14:paraId="4E2D6157" w14:textId="77777777" w:rsidR="009527C3" w:rsidRPr="008E71A6" w:rsidRDefault="00696256" w:rsidP="006010B2">
            <w:pPr>
              <w:spacing w:after="0" w:line="276" w:lineRule="auto"/>
              <w:jc w:val="center"/>
              <w:rPr>
                <w:rFonts w:ascii="Times New Roman" w:hAnsi="Times New Roman" w:cs="Times New Roman"/>
                <w:bCs/>
                <w:sz w:val="24"/>
                <w:szCs w:val="24"/>
                <w:lang w:val="lt-LT" w:eastAsia="lt-LT"/>
              </w:rPr>
            </w:pPr>
            <w:r w:rsidRPr="008E71A6">
              <w:rPr>
                <w:rFonts w:ascii="Times New Roman" w:hAnsi="Times New Roman" w:cs="Times New Roman"/>
                <w:bCs/>
                <w:sz w:val="24"/>
                <w:szCs w:val="24"/>
                <w:lang w:val="lt-LT" w:eastAsia="lt-LT"/>
              </w:rPr>
              <w:t>1</w:t>
            </w:r>
            <w:r w:rsidR="009527C3" w:rsidRPr="008E71A6">
              <w:rPr>
                <w:rFonts w:ascii="Times New Roman" w:hAnsi="Times New Roman" w:cs="Times New Roman"/>
                <w:bCs/>
                <w:sz w:val="24"/>
                <w:szCs w:val="24"/>
                <w:lang w:val="lt-LT" w:eastAsia="lt-LT"/>
              </w:rPr>
              <w:t>.</w:t>
            </w:r>
          </w:p>
        </w:tc>
        <w:tc>
          <w:tcPr>
            <w:tcW w:w="13467" w:type="dxa"/>
            <w:gridSpan w:val="2"/>
          </w:tcPr>
          <w:p w14:paraId="3DFC2158" w14:textId="77777777" w:rsidR="009527C3" w:rsidRPr="00766883" w:rsidRDefault="00766883" w:rsidP="00766883">
            <w:pPr>
              <w:widowControl w:val="0"/>
              <w:tabs>
                <w:tab w:val="left" w:pos="2428"/>
                <w:tab w:val="center" w:pos="7135"/>
              </w:tabs>
              <w:suppressAutoHyphens/>
              <w:spacing w:after="0" w:line="276" w:lineRule="auto"/>
              <w:rPr>
                <w:rFonts w:ascii="Times New Roman" w:hAnsi="Times New Roman" w:cs="Times New Roman"/>
                <w:b/>
                <w:bCs/>
                <w:sz w:val="24"/>
                <w:szCs w:val="24"/>
                <w:lang w:val="lt-LT"/>
              </w:rPr>
            </w:pPr>
            <w:r w:rsidRPr="00766883">
              <w:rPr>
                <w:rFonts w:ascii="Times New Roman" w:hAnsi="Times New Roman" w:cs="Times New Roman"/>
                <w:b/>
                <w:sz w:val="24"/>
                <w:szCs w:val="24"/>
              </w:rPr>
              <w:t>UAB „EPSO-G“</w:t>
            </w:r>
            <w:r>
              <w:rPr>
                <w:rFonts w:ascii="Times New Roman" w:hAnsi="Times New Roman" w:cs="Times New Roman"/>
                <w:b/>
                <w:sz w:val="24"/>
                <w:szCs w:val="24"/>
              </w:rPr>
              <w:t xml:space="preserve"> </w:t>
            </w:r>
            <w:r w:rsidRPr="0035507E">
              <w:rPr>
                <w:rFonts w:ascii="Times New Roman" w:hAnsi="Times New Roman" w:cs="Times New Roman"/>
                <w:b/>
                <w:bCs/>
                <w:sz w:val="24"/>
                <w:szCs w:val="24"/>
                <w:lang w:val="lt-LT"/>
              </w:rPr>
              <w:t>201</w:t>
            </w:r>
            <w:r>
              <w:rPr>
                <w:rFonts w:ascii="Times New Roman" w:hAnsi="Times New Roman" w:cs="Times New Roman"/>
                <w:b/>
                <w:bCs/>
                <w:sz w:val="24"/>
                <w:szCs w:val="24"/>
                <w:lang w:val="lt-LT"/>
              </w:rPr>
              <w:t>7</w:t>
            </w:r>
            <w:r w:rsidRPr="0035507E">
              <w:rPr>
                <w:rFonts w:ascii="Times New Roman" w:hAnsi="Times New Roman" w:cs="Times New Roman"/>
                <w:b/>
                <w:bCs/>
                <w:sz w:val="24"/>
                <w:szCs w:val="24"/>
                <w:lang w:val="lt-LT"/>
              </w:rPr>
              <w:t xml:space="preserve"> m. </w:t>
            </w:r>
            <w:r>
              <w:rPr>
                <w:rFonts w:ascii="Times New Roman" w:hAnsi="Times New Roman" w:cs="Times New Roman"/>
                <w:b/>
                <w:bCs/>
                <w:sz w:val="24"/>
                <w:szCs w:val="24"/>
                <w:lang w:val="lt-LT"/>
              </w:rPr>
              <w:t>balandžio 14 d. raštas Nr.SD-17-85</w:t>
            </w:r>
          </w:p>
        </w:tc>
      </w:tr>
      <w:tr w:rsidR="009527C3" w:rsidRPr="005C5220" w14:paraId="0C01D563" w14:textId="77777777" w:rsidTr="008C42BF">
        <w:trPr>
          <w:trHeight w:val="273"/>
        </w:trPr>
        <w:tc>
          <w:tcPr>
            <w:tcW w:w="708" w:type="dxa"/>
          </w:tcPr>
          <w:p w14:paraId="3F192712" w14:textId="77777777" w:rsidR="009527C3" w:rsidRPr="005C5220" w:rsidRDefault="00696256" w:rsidP="00453A43">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w:t>
            </w:r>
            <w:r w:rsidR="00453A43">
              <w:rPr>
                <w:rFonts w:ascii="Times New Roman" w:hAnsi="Times New Roman" w:cs="Times New Roman"/>
                <w:sz w:val="24"/>
                <w:szCs w:val="24"/>
                <w:lang w:val="lt-LT" w:eastAsia="lt-LT"/>
              </w:rPr>
              <w:t>.1</w:t>
            </w:r>
            <w:r w:rsidR="009527C3" w:rsidRPr="005C5220">
              <w:rPr>
                <w:rFonts w:ascii="Times New Roman" w:hAnsi="Times New Roman" w:cs="Times New Roman"/>
                <w:sz w:val="24"/>
                <w:szCs w:val="24"/>
                <w:lang w:val="lt-LT" w:eastAsia="lt-LT"/>
              </w:rPr>
              <w:t>.</w:t>
            </w:r>
          </w:p>
        </w:tc>
        <w:tc>
          <w:tcPr>
            <w:tcW w:w="6164" w:type="dxa"/>
          </w:tcPr>
          <w:p w14:paraId="42FCB043" w14:textId="77777777" w:rsidR="009527C3" w:rsidRPr="00A302B9" w:rsidRDefault="00A302B9" w:rsidP="00D83D51">
            <w:pPr>
              <w:autoSpaceDE w:val="0"/>
              <w:autoSpaceDN w:val="0"/>
              <w:adjustRightInd w:val="0"/>
              <w:spacing w:after="0" w:line="240" w:lineRule="auto"/>
              <w:jc w:val="both"/>
              <w:rPr>
                <w:rFonts w:ascii="Times New Roman" w:hAnsi="Times New Roman" w:cs="Times New Roman"/>
                <w:sz w:val="24"/>
                <w:szCs w:val="24"/>
                <w:lang w:val="lt-LT"/>
              </w:rPr>
            </w:pPr>
            <w:r w:rsidRPr="00A302B9">
              <w:rPr>
                <w:rFonts w:ascii="Times New Roman" w:hAnsi="Times New Roman" w:cs="Times New Roman"/>
                <w:sz w:val="24"/>
                <w:szCs w:val="24"/>
                <w:lang w:val="lt-LT"/>
              </w:rPr>
              <w:t xml:space="preserve">2.7. 2014–2020 metų Europos Sąjungos fondų investicijų veiksmų </w:t>
            </w:r>
            <w:r w:rsidR="00F52561" w:rsidRPr="00F52561">
              <w:rPr>
                <w:rFonts w:ascii="Times New Roman" w:hAnsi="Times New Roman" w:cs="Times New Roman"/>
                <w:strike/>
                <w:sz w:val="24"/>
                <w:szCs w:val="24"/>
                <w:lang w:val="lt-LT"/>
              </w:rPr>
              <w:t>programos</w:t>
            </w:r>
            <w:r w:rsidR="00F52561">
              <w:rPr>
                <w:rFonts w:ascii="Times New Roman" w:hAnsi="Times New Roman" w:cs="Times New Roman"/>
                <w:sz w:val="24"/>
                <w:szCs w:val="24"/>
                <w:lang w:val="lt-LT"/>
              </w:rPr>
              <w:t xml:space="preserve"> </w:t>
            </w:r>
            <w:r w:rsidRPr="00A302B9">
              <w:rPr>
                <w:rFonts w:ascii="Times New Roman" w:hAnsi="Times New Roman" w:cs="Times New Roman"/>
                <w:sz w:val="24"/>
                <w:szCs w:val="24"/>
                <w:lang w:val="lt-LT"/>
              </w:rPr>
              <w:t>stebėsenos rodiklių skaičiavimo apraš</w:t>
            </w:r>
            <w:r w:rsidR="004C60B0" w:rsidRPr="004C60B0">
              <w:rPr>
                <w:rFonts w:ascii="Times New Roman" w:hAnsi="Times New Roman" w:cs="Times New Roman"/>
                <w:strike/>
                <w:sz w:val="24"/>
                <w:szCs w:val="24"/>
                <w:lang w:val="lt-LT"/>
              </w:rPr>
              <w:t>o</w:t>
            </w:r>
            <w:r w:rsidRPr="00A302B9">
              <w:rPr>
                <w:rFonts w:ascii="Times New Roman" w:hAnsi="Times New Roman" w:cs="Times New Roman"/>
                <w:sz w:val="24"/>
                <w:szCs w:val="24"/>
                <w:lang w:val="lt-LT"/>
              </w:rPr>
              <w:t>u, patvirtinto Lietuvos Respublikos finansų ministro 2014 m. gruodžio 30</w:t>
            </w:r>
            <w:r>
              <w:rPr>
                <w:rFonts w:ascii="Times New Roman" w:hAnsi="Times New Roman" w:cs="Times New Roman"/>
                <w:sz w:val="24"/>
                <w:szCs w:val="24"/>
                <w:lang w:val="lt-LT"/>
              </w:rPr>
              <w:t> </w:t>
            </w:r>
            <w:r w:rsidRPr="00A302B9">
              <w:rPr>
                <w:rFonts w:ascii="Times New Roman" w:hAnsi="Times New Roman" w:cs="Times New Roman"/>
                <w:sz w:val="24"/>
                <w:szCs w:val="24"/>
                <w:lang w:val="lt-LT"/>
              </w:rPr>
              <w:t xml:space="preserve">d. įsakymu Nr. 1K-499 „Dėl 2014–2020 metų Europos Sąjungos fondų investicijų veiksmų programos stebėsenos rodiklių skaičiavimo aprašo patvirtinimo“ (toliau – Veiksmų </w:t>
            </w:r>
            <w:r w:rsidRPr="00A302B9">
              <w:rPr>
                <w:rFonts w:ascii="Times New Roman" w:hAnsi="Times New Roman" w:cs="Times New Roman"/>
                <w:strike/>
                <w:sz w:val="24"/>
                <w:szCs w:val="24"/>
                <w:lang w:val="lt-LT"/>
              </w:rPr>
              <w:t>stebėsenos</w:t>
            </w:r>
            <w:r w:rsidRPr="00A302B9">
              <w:rPr>
                <w:rFonts w:ascii="Times New Roman" w:hAnsi="Times New Roman" w:cs="Times New Roman"/>
                <w:sz w:val="24"/>
                <w:szCs w:val="24"/>
                <w:lang w:val="lt-LT"/>
              </w:rPr>
              <w:t xml:space="preserve"> programos rodiklių skaičiavimo aprašas);</w:t>
            </w:r>
          </w:p>
        </w:tc>
        <w:tc>
          <w:tcPr>
            <w:tcW w:w="7303" w:type="dxa"/>
          </w:tcPr>
          <w:p w14:paraId="7302C231" w14:textId="77777777" w:rsidR="00A732ED" w:rsidRPr="007B16E2" w:rsidRDefault="00A302B9" w:rsidP="00A732ED">
            <w:pPr>
              <w:spacing w:after="0" w:line="240" w:lineRule="auto"/>
              <w:ind w:firstLine="391"/>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Iš dalies a</w:t>
            </w:r>
            <w:r w:rsidR="007B16E2" w:rsidRPr="007B16E2">
              <w:rPr>
                <w:rFonts w:ascii="Times New Roman" w:eastAsia="Times New Roman" w:hAnsi="Times New Roman" w:cs="Times New Roman"/>
                <w:b/>
                <w:sz w:val="24"/>
                <w:szCs w:val="24"/>
                <w:lang w:val="lt-LT" w:eastAsia="lt-LT"/>
              </w:rPr>
              <w:t>tsižvelgta.</w:t>
            </w:r>
          </w:p>
          <w:p w14:paraId="4BE0D96C" w14:textId="77777777" w:rsidR="007B16E2" w:rsidRPr="00453A43" w:rsidRDefault="00F52561" w:rsidP="00A732ED">
            <w:pPr>
              <w:spacing w:after="0" w:line="240" w:lineRule="auto"/>
              <w:ind w:firstLine="39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w:t>
            </w:r>
            <w:r w:rsidRPr="00F52561">
              <w:rPr>
                <w:rFonts w:ascii="Times New Roman" w:hAnsi="Times New Roman" w:cs="Times New Roman"/>
                <w:sz w:val="24"/>
                <w:szCs w:val="24"/>
                <w:lang w:val="lt-LT"/>
              </w:rPr>
              <w:t xml:space="preserve">2.7. </w:t>
            </w:r>
            <w:r w:rsidRPr="00F52561">
              <w:rPr>
                <w:rStyle w:val="normaltextrun"/>
                <w:rFonts w:ascii="Times New Roman" w:hAnsi="Times New Roman" w:cs="Times New Roman"/>
                <w:color w:val="000000"/>
                <w:sz w:val="24"/>
                <w:szCs w:val="24"/>
                <w:shd w:val="clear" w:color="auto" w:fill="FFFFFF"/>
                <w:lang w:val="lt-LT"/>
              </w:rPr>
              <w:t>2014–2020 metų</w:t>
            </w:r>
            <w:r w:rsidRPr="00F52561">
              <w:rPr>
                <w:rStyle w:val="apple-converted-space"/>
                <w:rFonts w:ascii="Times New Roman" w:hAnsi="Times New Roman" w:cs="Times New Roman"/>
                <w:color w:val="000000"/>
                <w:sz w:val="24"/>
                <w:szCs w:val="24"/>
                <w:shd w:val="clear" w:color="auto" w:fill="FFFFFF"/>
                <w:lang w:val="lt-LT"/>
              </w:rPr>
              <w:t> </w:t>
            </w:r>
            <w:r w:rsidRPr="00F52561">
              <w:rPr>
                <w:rStyle w:val="normaltextrun"/>
                <w:rFonts w:ascii="Times New Roman" w:hAnsi="Times New Roman" w:cs="Times New Roman"/>
                <w:color w:val="000000"/>
                <w:sz w:val="24"/>
                <w:szCs w:val="24"/>
                <w:shd w:val="clear" w:color="auto" w:fill="FFFFFF"/>
                <w:lang w:val="lt-LT"/>
              </w:rPr>
              <w:t>Europos Sąjungos fondų investicijų veiksmų</w:t>
            </w:r>
            <w:r w:rsidRPr="00F52561">
              <w:rPr>
                <w:rStyle w:val="apple-converted-space"/>
                <w:rFonts w:ascii="Times New Roman" w:hAnsi="Times New Roman" w:cs="Times New Roman"/>
                <w:color w:val="000000"/>
                <w:sz w:val="24"/>
                <w:szCs w:val="24"/>
                <w:shd w:val="clear" w:color="auto" w:fill="FFFFFF"/>
                <w:lang w:val="lt-LT"/>
              </w:rPr>
              <w:t> </w:t>
            </w:r>
            <w:r w:rsidRPr="00F52561">
              <w:rPr>
                <w:rStyle w:val="normaltextrun"/>
                <w:rFonts w:ascii="Times New Roman" w:hAnsi="Times New Roman" w:cs="Times New Roman"/>
                <w:color w:val="000000"/>
                <w:sz w:val="24"/>
                <w:szCs w:val="24"/>
                <w:shd w:val="clear" w:color="auto" w:fill="FFFFFF"/>
                <w:lang w:val="lt-LT"/>
              </w:rPr>
              <w:t>programos</w:t>
            </w:r>
            <w:r w:rsidRPr="00F52561">
              <w:rPr>
                <w:rStyle w:val="apple-converted-space"/>
                <w:rFonts w:ascii="Times New Roman" w:hAnsi="Times New Roman" w:cs="Times New Roman"/>
                <w:color w:val="000000"/>
                <w:sz w:val="24"/>
                <w:szCs w:val="24"/>
                <w:shd w:val="clear" w:color="auto" w:fill="FFFFFF"/>
                <w:lang w:val="lt-LT"/>
              </w:rPr>
              <w:t> </w:t>
            </w:r>
            <w:r w:rsidRPr="00F52561">
              <w:rPr>
                <w:rStyle w:val="normaltextrun"/>
                <w:rFonts w:ascii="Times New Roman" w:hAnsi="Times New Roman" w:cs="Times New Roman"/>
                <w:color w:val="000000"/>
                <w:sz w:val="24"/>
                <w:szCs w:val="24"/>
                <w:shd w:val="clear" w:color="auto" w:fill="FFFFFF"/>
                <w:lang w:val="lt-LT"/>
              </w:rPr>
              <w:t>stebėsenos rodiklių skaičiavimo</w:t>
            </w:r>
            <w:r w:rsidRPr="00F52561">
              <w:rPr>
                <w:rStyle w:val="apple-converted-space"/>
                <w:rFonts w:ascii="Times New Roman" w:hAnsi="Times New Roman" w:cs="Times New Roman"/>
                <w:color w:val="000000"/>
                <w:sz w:val="24"/>
                <w:szCs w:val="24"/>
                <w:shd w:val="clear" w:color="auto" w:fill="FFFFFF"/>
                <w:lang w:val="lt-LT"/>
              </w:rPr>
              <w:t xml:space="preserve"> </w:t>
            </w:r>
            <w:r w:rsidRPr="00F52561">
              <w:rPr>
                <w:rStyle w:val="spellingerror"/>
                <w:rFonts w:ascii="Times New Roman" w:hAnsi="Times New Roman" w:cs="Times New Roman"/>
                <w:color w:val="000000"/>
                <w:sz w:val="24"/>
                <w:szCs w:val="24"/>
                <w:lang w:val="lt-LT"/>
              </w:rPr>
              <w:t>apraš</w:t>
            </w:r>
            <w:r w:rsidRPr="00F52561">
              <w:rPr>
                <w:rStyle w:val="spellingerror"/>
                <w:rFonts w:ascii="Times New Roman" w:hAnsi="Times New Roman" w:cs="Times New Roman"/>
                <w:bCs/>
                <w:color w:val="000000"/>
                <w:sz w:val="24"/>
                <w:szCs w:val="24"/>
                <w:lang w:val="lt-LT"/>
              </w:rPr>
              <w:t>u</w:t>
            </w:r>
            <w:r w:rsidRPr="00F52561">
              <w:rPr>
                <w:rStyle w:val="normaltextrun"/>
                <w:rFonts w:ascii="Times New Roman" w:hAnsi="Times New Roman" w:cs="Times New Roman"/>
                <w:color w:val="000000"/>
                <w:sz w:val="24"/>
                <w:szCs w:val="24"/>
                <w:lang w:val="lt-LT"/>
              </w:rPr>
              <w:t>,</w:t>
            </w:r>
            <w:r w:rsidRPr="00F52561">
              <w:rPr>
                <w:rStyle w:val="apple-converted-space"/>
                <w:rFonts w:ascii="Times New Roman" w:hAnsi="Times New Roman" w:cs="Times New Roman"/>
                <w:color w:val="000000"/>
                <w:sz w:val="24"/>
                <w:szCs w:val="24"/>
                <w:lang w:val="lt-LT"/>
              </w:rPr>
              <w:t xml:space="preserve"> </w:t>
            </w:r>
            <w:r w:rsidRPr="00F52561">
              <w:rPr>
                <w:rStyle w:val="spellingerror"/>
                <w:rFonts w:ascii="Times New Roman" w:hAnsi="Times New Roman" w:cs="Times New Roman"/>
                <w:color w:val="000000"/>
                <w:sz w:val="24"/>
                <w:szCs w:val="24"/>
                <w:lang w:val="lt-LT"/>
              </w:rPr>
              <w:t>patvirtint</w:t>
            </w:r>
            <w:r w:rsidRPr="00F52561">
              <w:rPr>
                <w:rStyle w:val="spellingerror"/>
                <w:rFonts w:ascii="Times New Roman" w:hAnsi="Times New Roman" w:cs="Times New Roman"/>
                <w:bCs/>
                <w:color w:val="000000"/>
                <w:sz w:val="24"/>
                <w:szCs w:val="24"/>
                <w:lang w:val="lt-LT"/>
              </w:rPr>
              <w:t>u</w:t>
            </w:r>
            <w:r w:rsidRPr="00F52561">
              <w:rPr>
                <w:rStyle w:val="apple-converted-space"/>
                <w:rFonts w:ascii="Times New Roman" w:hAnsi="Times New Roman" w:cs="Times New Roman"/>
                <w:color w:val="000000"/>
                <w:sz w:val="24"/>
                <w:szCs w:val="24"/>
                <w:shd w:val="clear" w:color="auto" w:fill="FFFFFF"/>
                <w:lang w:val="lt-LT"/>
              </w:rPr>
              <w:t> </w:t>
            </w:r>
            <w:r w:rsidRPr="00F52561">
              <w:rPr>
                <w:rStyle w:val="normaltextrun"/>
                <w:rFonts w:ascii="Times New Roman" w:hAnsi="Times New Roman" w:cs="Times New Roman"/>
                <w:color w:val="000000"/>
                <w:sz w:val="24"/>
                <w:szCs w:val="24"/>
                <w:shd w:val="clear" w:color="auto" w:fill="FFFFFF"/>
                <w:lang w:val="lt-LT"/>
              </w:rPr>
              <w:t>Lietuvos Respublikos finansų ministro 2014 m. gruodžio 30 d. įsakymu Nr.</w:t>
            </w:r>
            <w:r w:rsidRPr="00F52561">
              <w:rPr>
                <w:rStyle w:val="apple-converted-space"/>
                <w:rFonts w:ascii="Times New Roman" w:hAnsi="Times New Roman" w:cs="Times New Roman"/>
                <w:color w:val="000000"/>
                <w:sz w:val="24"/>
                <w:szCs w:val="24"/>
                <w:shd w:val="clear" w:color="auto" w:fill="FFFFFF"/>
                <w:lang w:val="lt-LT"/>
              </w:rPr>
              <w:t> </w:t>
            </w:r>
            <w:r w:rsidRPr="00F52561">
              <w:rPr>
                <w:rStyle w:val="normaltextrun"/>
                <w:rFonts w:ascii="Times New Roman" w:hAnsi="Times New Roman" w:cs="Times New Roman"/>
                <w:color w:val="000000"/>
                <w:sz w:val="24"/>
                <w:szCs w:val="24"/>
                <w:shd w:val="clear" w:color="auto" w:fill="FFFFFF"/>
                <w:lang w:val="lt-LT"/>
              </w:rPr>
              <w:t>1K-499</w:t>
            </w:r>
            <w:r w:rsidRPr="00F52561">
              <w:rPr>
                <w:rStyle w:val="apple-converted-space"/>
                <w:rFonts w:ascii="Times New Roman" w:hAnsi="Times New Roman" w:cs="Times New Roman"/>
                <w:color w:val="000000"/>
                <w:sz w:val="24"/>
                <w:szCs w:val="24"/>
                <w:shd w:val="clear" w:color="auto" w:fill="FFFFFF"/>
                <w:lang w:val="lt-LT"/>
              </w:rPr>
              <w:t> </w:t>
            </w:r>
            <w:r w:rsidRPr="00F52561">
              <w:rPr>
                <w:rStyle w:val="normaltextrun"/>
                <w:rFonts w:ascii="Times New Roman" w:hAnsi="Times New Roman" w:cs="Times New Roman"/>
                <w:color w:val="000000"/>
                <w:sz w:val="24"/>
                <w:szCs w:val="24"/>
                <w:shd w:val="clear" w:color="auto" w:fill="FFFFFF"/>
                <w:lang w:val="lt-LT"/>
              </w:rPr>
              <w:t>„Dėl</w:t>
            </w:r>
            <w:r w:rsidRPr="00F52561">
              <w:rPr>
                <w:rStyle w:val="apple-converted-space"/>
                <w:rFonts w:ascii="Times New Roman" w:hAnsi="Times New Roman" w:cs="Times New Roman"/>
                <w:color w:val="000000"/>
                <w:sz w:val="24"/>
                <w:szCs w:val="24"/>
                <w:shd w:val="clear" w:color="auto" w:fill="FFFFFF"/>
                <w:lang w:val="lt-LT"/>
              </w:rPr>
              <w:t> </w:t>
            </w:r>
            <w:r w:rsidRPr="00F52561">
              <w:rPr>
                <w:rStyle w:val="normaltextrun"/>
                <w:rFonts w:ascii="Times New Roman" w:hAnsi="Times New Roman" w:cs="Times New Roman"/>
                <w:color w:val="000000"/>
                <w:sz w:val="24"/>
                <w:szCs w:val="24"/>
                <w:shd w:val="clear" w:color="auto" w:fill="FFFFFF"/>
                <w:lang w:val="lt-LT"/>
              </w:rPr>
              <w:t>2014–2020 metų</w:t>
            </w:r>
            <w:r w:rsidRPr="00F52561">
              <w:rPr>
                <w:rStyle w:val="apple-converted-space"/>
                <w:rFonts w:ascii="Times New Roman" w:hAnsi="Times New Roman" w:cs="Times New Roman"/>
                <w:color w:val="000000"/>
                <w:sz w:val="24"/>
                <w:szCs w:val="24"/>
                <w:shd w:val="clear" w:color="auto" w:fill="FFFFFF"/>
                <w:lang w:val="lt-LT"/>
              </w:rPr>
              <w:t> </w:t>
            </w:r>
            <w:r w:rsidRPr="00F52561">
              <w:rPr>
                <w:rStyle w:val="normaltextrun"/>
                <w:rFonts w:ascii="Times New Roman" w:hAnsi="Times New Roman" w:cs="Times New Roman"/>
                <w:color w:val="000000"/>
                <w:sz w:val="24"/>
                <w:szCs w:val="24"/>
                <w:shd w:val="clear" w:color="auto" w:fill="FFFFFF"/>
                <w:lang w:val="lt-LT"/>
              </w:rPr>
              <w:t>Europos Sąjungos fondų investicijų veiksmų programos</w:t>
            </w:r>
            <w:r w:rsidRPr="00F52561">
              <w:rPr>
                <w:rStyle w:val="apple-converted-space"/>
                <w:rFonts w:ascii="Times New Roman" w:hAnsi="Times New Roman" w:cs="Times New Roman"/>
                <w:color w:val="000000"/>
                <w:sz w:val="24"/>
                <w:szCs w:val="24"/>
                <w:shd w:val="clear" w:color="auto" w:fill="FFFFFF"/>
                <w:lang w:val="lt-LT"/>
              </w:rPr>
              <w:t> </w:t>
            </w:r>
            <w:r w:rsidRPr="00F52561">
              <w:rPr>
                <w:rStyle w:val="normaltextrun"/>
                <w:rFonts w:ascii="Times New Roman" w:hAnsi="Times New Roman" w:cs="Times New Roman"/>
                <w:color w:val="000000"/>
                <w:sz w:val="24"/>
                <w:szCs w:val="24"/>
                <w:shd w:val="clear" w:color="auto" w:fill="FFFFFF"/>
                <w:lang w:val="lt-LT"/>
              </w:rPr>
              <w:t>stebėsenos</w:t>
            </w:r>
            <w:r w:rsidRPr="00F52561">
              <w:rPr>
                <w:rStyle w:val="apple-converted-space"/>
                <w:rFonts w:ascii="Times New Roman" w:hAnsi="Times New Roman" w:cs="Times New Roman"/>
                <w:color w:val="000000"/>
                <w:sz w:val="24"/>
                <w:szCs w:val="24"/>
                <w:shd w:val="clear" w:color="auto" w:fill="FFFFFF"/>
                <w:lang w:val="lt-LT"/>
              </w:rPr>
              <w:t> </w:t>
            </w:r>
            <w:r w:rsidRPr="00F52561">
              <w:rPr>
                <w:rStyle w:val="normaltextrun"/>
                <w:rFonts w:ascii="Times New Roman" w:hAnsi="Times New Roman" w:cs="Times New Roman"/>
                <w:color w:val="000000"/>
                <w:sz w:val="24"/>
                <w:szCs w:val="24"/>
                <w:shd w:val="clear" w:color="auto" w:fill="FFFFFF"/>
                <w:lang w:val="lt-LT"/>
              </w:rPr>
              <w:t>rodiklių skaičiavimo aprašo patvirtinimo“</w:t>
            </w:r>
            <w:r w:rsidRPr="00F52561">
              <w:rPr>
                <w:rStyle w:val="apple-converted-space"/>
                <w:rFonts w:ascii="Times New Roman" w:hAnsi="Times New Roman" w:cs="Times New Roman"/>
                <w:color w:val="000000"/>
                <w:sz w:val="24"/>
                <w:szCs w:val="24"/>
                <w:shd w:val="clear" w:color="auto" w:fill="FFFFFF"/>
                <w:lang w:val="lt-LT"/>
              </w:rPr>
              <w:t> </w:t>
            </w:r>
            <w:r>
              <w:rPr>
                <w:rStyle w:val="normaltextrun"/>
                <w:rFonts w:ascii="Times New Roman" w:hAnsi="Times New Roman" w:cs="Times New Roman"/>
                <w:color w:val="000000"/>
                <w:sz w:val="24"/>
                <w:szCs w:val="24"/>
                <w:shd w:val="clear" w:color="auto" w:fill="FFFFFF"/>
                <w:lang w:val="lt-LT"/>
              </w:rPr>
              <w:t xml:space="preserve">(toliau </w:t>
            </w:r>
            <w:r w:rsidRPr="00F52561">
              <w:rPr>
                <w:rStyle w:val="normaltextrun"/>
                <w:rFonts w:ascii="Times New Roman" w:hAnsi="Times New Roman" w:cs="Times New Roman"/>
                <w:color w:val="000000"/>
                <w:sz w:val="24"/>
                <w:szCs w:val="24"/>
                <w:shd w:val="clear" w:color="auto" w:fill="FFFFFF"/>
                <w:lang w:val="lt-LT"/>
              </w:rPr>
              <w:t>–</w:t>
            </w:r>
            <w:r>
              <w:rPr>
                <w:rStyle w:val="normaltextrun"/>
                <w:rFonts w:ascii="Times New Roman" w:hAnsi="Times New Roman" w:cs="Times New Roman"/>
                <w:color w:val="000000"/>
                <w:sz w:val="24"/>
                <w:szCs w:val="24"/>
                <w:shd w:val="clear" w:color="auto" w:fill="FFFFFF"/>
                <w:lang w:val="lt-LT"/>
              </w:rPr>
              <w:t xml:space="preserve"> </w:t>
            </w:r>
            <w:r w:rsidRPr="00F52561">
              <w:rPr>
                <w:rStyle w:val="normaltextrun"/>
                <w:rFonts w:ascii="Times New Roman" w:hAnsi="Times New Roman" w:cs="Times New Roman"/>
                <w:color w:val="000000"/>
                <w:sz w:val="24"/>
                <w:szCs w:val="24"/>
                <w:shd w:val="clear" w:color="auto" w:fill="FFFFFF"/>
                <w:lang w:val="lt-LT"/>
              </w:rPr>
              <w:t>Veiksmų programos stebėsenos rodiklių skaičiavimo aprašas);</w:t>
            </w:r>
            <w:r w:rsidRPr="00F52561">
              <w:rPr>
                <w:rFonts w:ascii="Times New Roman" w:hAnsi="Times New Roman" w:cs="Times New Roman"/>
                <w:sz w:val="24"/>
                <w:szCs w:val="24"/>
                <w:lang w:val="lt-LT"/>
              </w:rPr>
              <w:t>“</w:t>
            </w:r>
          </w:p>
        </w:tc>
      </w:tr>
      <w:tr w:rsidR="00453A43" w:rsidRPr="005C5220" w14:paraId="1AEBF60F" w14:textId="77777777" w:rsidTr="008C42BF">
        <w:trPr>
          <w:trHeight w:val="1026"/>
        </w:trPr>
        <w:tc>
          <w:tcPr>
            <w:tcW w:w="708" w:type="dxa"/>
          </w:tcPr>
          <w:p w14:paraId="3D63DF94" w14:textId="77777777" w:rsidR="00453A43" w:rsidRDefault="00A732ED" w:rsidP="00453A43">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1.2</w:t>
            </w:r>
            <w:r w:rsidR="00453A43">
              <w:rPr>
                <w:rFonts w:ascii="Times New Roman" w:hAnsi="Times New Roman" w:cs="Times New Roman"/>
                <w:sz w:val="24"/>
                <w:szCs w:val="24"/>
                <w:lang w:val="lt-LT" w:eastAsia="lt-LT"/>
              </w:rPr>
              <w:t>.</w:t>
            </w:r>
          </w:p>
        </w:tc>
        <w:tc>
          <w:tcPr>
            <w:tcW w:w="6164" w:type="dxa"/>
          </w:tcPr>
          <w:p w14:paraId="3B84F57A" w14:textId="77777777" w:rsidR="00F52561" w:rsidRPr="00F52561" w:rsidRDefault="00F52561" w:rsidP="00F52561">
            <w:pPr>
              <w:tabs>
                <w:tab w:val="center" w:pos="3544"/>
                <w:tab w:val="left" w:pos="4962"/>
                <w:tab w:val="right" w:pos="9638"/>
              </w:tabs>
              <w:spacing w:after="0" w:line="276" w:lineRule="auto"/>
              <w:jc w:val="both"/>
              <w:rPr>
                <w:rFonts w:ascii="Times New Roman" w:hAnsi="Times New Roman" w:cs="Times New Roman"/>
                <w:bCs/>
                <w:sz w:val="24"/>
                <w:lang w:val="lt-LT"/>
              </w:rPr>
            </w:pPr>
            <w:r w:rsidRPr="00F52561">
              <w:rPr>
                <w:rFonts w:ascii="TimesLT" w:hAnsi="TimesLT" w:cs="TimesLT"/>
                <w:bCs/>
                <w:sz w:val="24"/>
                <w:szCs w:val="24"/>
                <w:lang w:val="lt-LT" w:eastAsia="lt-LT"/>
              </w:rPr>
              <w:t xml:space="preserve">2014–2020 metų Europos Sąjungos fondų investicijų veiksmų programos </w:t>
            </w:r>
            <w:r w:rsidRPr="00F52561">
              <w:rPr>
                <w:rFonts w:ascii="Times New Roman" w:hAnsi="Times New Roman" w:cs="Times New Roman"/>
                <w:bCs/>
                <w:caps/>
                <w:sz w:val="24"/>
                <w:lang w:val="lt-LT"/>
              </w:rPr>
              <w:t xml:space="preserve">6 </w:t>
            </w:r>
            <w:r w:rsidRPr="00F52561">
              <w:rPr>
                <w:rFonts w:ascii="Times New Roman" w:hAnsi="Times New Roman" w:cs="Times New Roman"/>
                <w:bCs/>
                <w:sz w:val="24"/>
                <w:lang w:val="lt-LT"/>
              </w:rPr>
              <w:t xml:space="preserve">prioriteto „Darnaus transporto ir pagrindinių tinklų infrastruktūros plėtra“ </w:t>
            </w:r>
            <w:r w:rsidRPr="00F52561">
              <w:rPr>
                <w:rFonts w:ascii="Times New Roman" w:hAnsi="Times New Roman" w:cs="Times New Roman"/>
                <w:sz w:val="24"/>
                <w:lang w:val="lt-LT"/>
              </w:rPr>
              <w:t>06.3.1-LVPA-V-103 priemonės „E</w:t>
            </w:r>
            <w:r w:rsidRPr="00F52561">
              <w:rPr>
                <w:rFonts w:ascii="Times New Roman" w:hAnsi="Times New Roman" w:cs="Times New Roman"/>
                <w:bCs/>
                <w:color w:val="000000"/>
                <w:sz w:val="24"/>
                <w:lang w:val="lt-LT"/>
              </w:rPr>
              <w:t>lektros perdavimo sistemos modernizavimas ir plėtra</w:t>
            </w:r>
            <w:r w:rsidRPr="00F52561">
              <w:rPr>
                <w:rFonts w:ascii="Times New Roman" w:hAnsi="Times New Roman" w:cs="Times New Roman"/>
                <w:caps/>
                <w:sz w:val="24"/>
                <w:lang w:val="lt-LT"/>
              </w:rPr>
              <w:t>“</w:t>
            </w:r>
            <w:r w:rsidRPr="00F52561">
              <w:rPr>
                <w:rFonts w:ascii="Times New Roman" w:hAnsi="Times New Roman" w:cs="Times New Roman"/>
                <w:bCs/>
                <w:sz w:val="24"/>
                <w:lang w:val="lt-LT"/>
              </w:rPr>
              <w:t xml:space="preserve"> projektų finansavimo sąlygų aprašo Nr. 2 (toliau – PFSA) </w:t>
            </w:r>
            <w:r w:rsidRPr="00F52561">
              <w:rPr>
                <w:rFonts w:ascii="Times New Roman" w:hAnsi="Times New Roman" w:cs="Times New Roman"/>
                <w:color w:val="000000"/>
                <w:sz w:val="24"/>
                <w:szCs w:val="24"/>
                <w:lang w:val="lt-LT"/>
              </w:rPr>
              <w:t xml:space="preserve">11 punktą papildyti nauju papunkčiu: </w:t>
            </w:r>
          </w:p>
          <w:p w14:paraId="76CA1273" w14:textId="77777777" w:rsidR="00453A43" w:rsidRPr="00F52561" w:rsidRDefault="00F52561" w:rsidP="009A5B80">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w:t>
            </w:r>
            <w:r w:rsidRPr="00F52561">
              <w:rPr>
                <w:rFonts w:ascii="Times New Roman" w:hAnsi="Times New Roman" w:cs="Times New Roman"/>
                <w:color w:val="000000"/>
                <w:sz w:val="24"/>
                <w:szCs w:val="24"/>
                <w:lang w:val="lt-LT"/>
              </w:rPr>
              <w:t>Programinės ir technologinės įrangos, reikalingos efektyviam duomenų apsikeitimui, perdavimo sistemos eksploatavimui ir valdymui užtikrinti, diegimas, siekiant sukurti pažangias dujų perdavimo sistemas</w:t>
            </w:r>
            <w:r>
              <w:rPr>
                <w:rFonts w:ascii="Times New Roman" w:hAnsi="Times New Roman" w:cs="Times New Roman"/>
                <w:color w:val="000000"/>
                <w:sz w:val="24"/>
                <w:szCs w:val="24"/>
                <w:lang w:val="lt-LT"/>
              </w:rPr>
              <w:t>.“</w:t>
            </w:r>
          </w:p>
        </w:tc>
        <w:tc>
          <w:tcPr>
            <w:tcW w:w="7303" w:type="dxa"/>
          </w:tcPr>
          <w:p w14:paraId="4132AA68" w14:textId="77777777" w:rsidR="00D83D51" w:rsidRDefault="009A5B80" w:rsidP="00D83D51">
            <w:pPr>
              <w:spacing w:after="0" w:line="240" w:lineRule="auto"/>
              <w:ind w:firstLine="391"/>
              <w:jc w:val="both"/>
              <w:rPr>
                <w:rFonts w:ascii="Times New Roman" w:eastAsia="Times New Roman" w:hAnsi="Times New Roman" w:cs="Times New Roman"/>
                <w:b/>
                <w:sz w:val="24"/>
                <w:szCs w:val="24"/>
                <w:lang w:val="lt-LT" w:eastAsia="lt-LT"/>
              </w:rPr>
            </w:pPr>
            <w:r w:rsidRPr="009A5B80">
              <w:rPr>
                <w:rFonts w:ascii="Times New Roman" w:eastAsia="Times New Roman" w:hAnsi="Times New Roman" w:cs="Times New Roman"/>
                <w:b/>
                <w:sz w:val="24"/>
                <w:szCs w:val="24"/>
                <w:lang w:val="lt-LT" w:eastAsia="lt-LT"/>
              </w:rPr>
              <w:t>Neatsižvelg</w:t>
            </w:r>
            <w:r w:rsidR="007F1E38">
              <w:rPr>
                <w:rFonts w:ascii="Times New Roman" w:eastAsia="Times New Roman" w:hAnsi="Times New Roman" w:cs="Times New Roman"/>
                <w:b/>
                <w:sz w:val="24"/>
                <w:szCs w:val="24"/>
                <w:lang w:val="lt-LT" w:eastAsia="lt-LT"/>
              </w:rPr>
              <w:t>t</w:t>
            </w:r>
            <w:r w:rsidRPr="009A5B80">
              <w:rPr>
                <w:rFonts w:ascii="Times New Roman" w:eastAsia="Times New Roman" w:hAnsi="Times New Roman" w:cs="Times New Roman"/>
                <w:b/>
                <w:sz w:val="24"/>
                <w:szCs w:val="24"/>
                <w:lang w:val="lt-LT" w:eastAsia="lt-LT"/>
              </w:rPr>
              <w:t>a.</w:t>
            </w:r>
          </w:p>
          <w:p w14:paraId="4FC02F86" w14:textId="77777777" w:rsidR="009A5B80" w:rsidRDefault="00086087" w:rsidP="003D292B">
            <w:pPr>
              <w:spacing w:after="0" w:line="240" w:lineRule="auto"/>
              <w:ind w:firstLine="391"/>
              <w:jc w:val="both"/>
              <w:rPr>
                <w:rFonts w:ascii="Times New Roman" w:eastAsia="Times New Roman" w:hAnsi="Times New Roman" w:cs="Times New Roman"/>
                <w:sz w:val="24"/>
                <w:szCs w:val="24"/>
                <w:lang w:val="lt-LT" w:eastAsia="lt-LT"/>
              </w:rPr>
            </w:pPr>
            <w:r w:rsidRPr="00F52561">
              <w:rPr>
                <w:rFonts w:ascii="TimesLT" w:hAnsi="TimesLT" w:cs="TimesLT"/>
                <w:bCs/>
                <w:sz w:val="24"/>
                <w:szCs w:val="24"/>
                <w:lang w:val="lt-LT" w:eastAsia="lt-LT"/>
              </w:rPr>
              <w:t xml:space="preserve">2014–2020 metų Europos Sąjungos fondų investicijų veiksmų programos </w:t>
            </w:r>
            <w:r w:rsidRPr="00F52561">
              <w:rPr>
                <w:rFonts w:ascii="Times New Roman" w:hAnsi="Times New Roman" w:cs="Times New Roman"/>
                <w:bCs/>
                <w:caps/>
                <w:sz w:val="24"/>
                <w:lang w:val="lt-LT"/>
              </w:rPr>
              <w:t xml:space="preserve">6 </w:t>
            </w:r>
            <w:r w:rsidRPr="00F52561">
              <w:rPr>
                <w:rFonts w:ascii="Times New Roman" w:hAnsi="Times New Roman" w:cs="Times New Roman"/>
                <w:bCs/>
                <w:sz w:val="24"/>
                <w:lang w:val="lt-LT"/>
              </w:rPr>
              <w:t>prioriteto „Darnaus transporto ir pagrindinių tinklų infrastruktūros plėtra“</w:t>
            </w:r>
            <w:r>
              <w:rPr>
                <w:rFonts w:ascii="Times New Roman" w:hAnsi="Times New Roman" w:cs="Times New Roman"/>
                <w:bCs/>
                <w:sz w:val="24"/>
                <w:lang w:val="lt-LT"/>
              </w:rPr>
              <w:t xml:space="preserve"> 6.3. investicinio prioriteto įgyvendinimo veiklose nenumatytos tokių veiklų finansavimo galimybės.</w:t>
            </w:r>
          </w:p>
        </w:tc>
      </w:tr>
      <w:tr w:rsidR="00453A43" w:rsidRPr="005C5220" w14:paraId="16E5FF16" w14:textId="77777777" w:rsidTr="007F1E38">
        <w:trPr>
          <w:trHeight w:val="1174"/>
        </w:trPr>
        <w:tc>
          <w:tcPr>
            <w:tcW w:w="708" w:type="dxa"/>
          </w:tcPr>
          <w:p w14:paraId="694B50C6" w14:textId="77777777" w:rsidR="00453A43" w:rsidRDefault="00A732ED" w:rsidP="00453A43">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1.3</w:t>
            </w:r>
            <w:r w:rsidR="00453A43">
              <w:rPr>
                <w:rFonts w:ascii="Times New Roman" w:hAnsi="Times New Roman" w:cs="Times New Roman"/>
                <w:sz w:val="24"/>
                <w:szCs w:val="24"/>
                <w:lang w:val="lt-LT" w:eastAsia="lt-LT"/>
              </w:rPr>
              <w:t>.</w:t>
            </w:r>
          </w:p>
        </w:tc>
        <w:tc>
          <w:tcPr>
            <w:tcW w:w="6164" w:type="dxa"/>
          </w:tcPr>
          <w:p w14:paraId="0966A608" w14:textId="77777777" w:rsidR="0012677C" w:rsidRPr="00A93C71" w:rsidRDefault="0012677C" w:rsidP="0012677C">
            <w:pPr>
              <w:pStyle w:val="ListParagraph"/>
              <w:numPr>
                <w:ilvl w:val="1"/>
                <w:numId w:val="7"/>
              </w:numPr>
              <w:tabs>
                <w:tab w:val="left" w:pos="599"/>
              </w:tabs>
              <w:spacing w:after="0" w:line="240" w:lineRule="auto"/>
              <w:ind w:left="0" w:firstLine="0"/>
              <w:jc w:val="both"/>
              <w:rPr>
                <w:rFonts w:ascii="Times New Roman" w:eastAsia="Times New Roman" w:hAnsi="Times New Roman"/>
                <w:sz w:val="24"/>
                <w:szCs w:val="24"/>
              </w:rPr>
            </w:pPr>
            <w:r w:rsidRPr="00A93C71">
              <w:rPr>
                <w:rFonts w:ascii="Times New Roman" w:eastAsia="Times New Roman" w:hAnsi="Times New Roman"/>
                <w:sz w:val="24"/>
                <w:szCs w:val="24"/>
              </w:rPr>
              <w:t>pareiškėjas iki Atrankos tvarkos apraše nurodyto termino turi būti parengęs investicijų projektą su Sąnaudų ir naudos analizės rezultatų skaičiuokle, vadovaujantis Investicijų projektų,</w:t>
            </w:r>
            <w:r w:rsidRPr="5F39C007">
              <w:rPr>
                <w:rFonts w:ascii="Times New Roman" w:eastAsia="Times New Roman" w:hAnsi="Times New Roman"/>
                <w:sz w:val="24"/>
                <w:szCs w:val="24"/>
              </w:rPr>
              <w:t xml:space="preserve"> kuriems siekiama gauti finansavimą iš Europos Sąjungos struktūrinės paramos ir </w:t>
            </w:r>
            <w:r w:rsidRPr="00A93C71">
              <w:rPr>
                <w:rFonts w:ascii="Times New Roman" w:eastAsia="Times New Roman" w:hAnsi="Times New Roman"/>
                <w:strike/>
                <w:sz w:val="24"/>
                <w:szCs w:val="24"/>
              </w:rPr>
              <w:t xml:space="preserve">/ ar </w:t>
            </w:r>
            <w:r w:rsidRPr="5F39C007">
              <w:rPr>
                <w:rFonts w:ascii="Times New Roman" w:eastAsia="Times New Roman" w:hAnsi="Times New Roman"/>
                <w:sz w:val="24"/>
                <w:szCs w:val="24"/>
              </w:rPr>
              <w:t xml:space="preserve">valstybės biudžeto lėšų, rengimo metodika, kuri patvirtinta viešosios įstaigos Centrinės projektų valdymo agentūros direktoriaus 2014 m. gruodžio 31 d. įsakymu </w:t>
            </w:r>
            <w:r w:rsidRPr="00A93C71">
              <w:rPr>
                <w:rFonts w:ascii="Times New Roman" w:eastAsia="Times New Roman" w:hAnsi="Times New Roman"/>
                <w:sz w:val="24"/>
                <w:szCs w:val="24"/>
              </w:rPr>
              <w:t>Nr. 2014/8-337  ir skelbiama ES struktūrinių fondų</w:t>
            </w:r>
            <w:r w:rsidR="00A93C71" w:rsidRPr="00A93C71">
              <w:rPr>
                <w:rFonts w:ascii="Times New Roman" w:eastAsia="Times New Roman" w:hAnsi="Times New Roman"/>
                <w:sz w:val="24"/>
                <w:szCs w:val="24"/>
              </w:rPr>
              <w:t xml:space="preserve"> </w:t>
            </w:r>
            <w:r w:rsidR="00A93C71" w:rsidRPr="00196CE3">
              <w:rPr>
                <w:rFonts w:ascii="Times New Roman" w:hAnsi="Times New Roman"/>
                <w:b/>
                <w:sz w:val="24"/>
                <w:szCs w:val="24"/>
              </w:rPr>
              <w:t xml:space="preserve">(toliau – Investicijų projektų </w:t>
            </w:r>
            <w:r w:rsidR="00A93C71" w:rsidRPr="00196CE3">
              <w:rPr>
                <w:rFonts w:ascii="Times New Roman" w:hAnsi="Times New Roman"/>
                <w:b/>
                <w:sz w:val="24"/>
                <w:szCs w:val="24"/>
              </w:rPr>
              <w:lastRenderedPageBreak/>
              <w:t>metodika)</w:t>
            </w:r>
            <w:r w:rsidR="00A93C71" w:rsidRPr="00A93C71">
              <w:rPr>
                <w:rFonts w:ascii="Times New Roman" w:hAnsi="Times New Roman"/>
                <w:sz w:val="24"/>
                <w:szCs w:val="24"/>
              </w:rPr>
              <w:t xml:space="preserve"> ir skelbiama ES struktūrinių fondų svetainėje (http://www.esinvesticijos.lt) arba ppplietuva.lt svetainėje (http://www.ppplietuva.lt/), skiltyje „Teisinė ir metodinė informacija“</w:t>
            </w:r>
            <w:r w:rsidR="00A93C71">
              <w:rPr>
                <w:rFonts w:ascii="Times New Roman" w:hAnsi="Times New Roman"/>
                <w:sz w:val="24"/>
                <w:szCs w:val="24"/>
              </w:rPr>
              <w:t>.</w:t>
            </w:r>
          </w:p>
          <w:p w14:paraId="41FC3C2D" w14:textId="77777777" w:rsidR="00A93C71" w:rsidRPr="00B15170" w:rsidRDefault="00A93C71" w:rsidP="00A93C71">
            <w:pPr>
              <w:pStyle w:val="ListParagraph"/>
              <w:tabs>
                <w:tab w:val="left" w:pos="599"/>
              </w:tabs>
              <w:spacing w:after="0" w:line="240" w:lineRule="auto"/>
              <w:ind w:left="0"/>
              <w:jc w:val="both"/>
              <w:rPr>
                <w:rFonts w:ascii="Times New Roman" w:eastAsia="Times New Roman" w:hAnsi="Times New Roman"/>
                <w:sz w:val="24"/>
                <w:szCs w:val="24"/>
              </w:rPr>
            </w:pPr>
          </w:p>
          <w:p w14:paraId="049D57D4" w14:textId="77777777" w:rsidR="00453A43" w:rsidRDefault="00453A43" w:rsidP="007F1E38">
            <w:pPr>
              <w:autoSpaceDE w:val="0"/>
              <w:autoSpaceDN w:val="0"/>
              <w:adjustRightInd w:val="0"/>
              <w:spacing w:after="0" w:line="240" w:lineRule="auto"/>
              <w:jc w:val="both"/>
              <w:rPr>
                <w:rFonts w:ascii="Times New Roman" w:hAnsi="Times New Roman" w:cs="Times New Roman"/>
                <w:sz w:val="24"/>
                <w:szCs w:val="24"/>
                <w:lang w:val="lt-LT"/>
              </w:rPr>
            </w:pPr>
          </w:p>
        </w:tc>
        <w:tc>
          <w:tcPr>
            <w:tcW w:w="7303" w:type="dxa"/>
          </w:tcPr>
          <w:p w14:paraId="233F0C73" w14:textId="77777777" w:rsidR="009A5B80" w:rsidRPr="009A5B80" w:rsidRDefault="009A5B80" w:rsidP="009A5B80">
            <w:pPr>
              <w:spacing w:after="0" w:line="240" w:lineRule="auto"/>
              <w:ind w:firstLine="391"/>
              <w:jc w:val="both"/>
              <w:rPr>
                <w:rFonts w:ascii="Times New Roman" w:eastAsia="Times New Roman" w:hAnsi="Times New Roman" w:cs="Times New Roman"/>
                <w:b/>
                <w:sz w:val="24"/>
                <w:szCs w:val="24"/>
                <w:lang w:val="lt-LT" w:eastAsia="lt-LT"/>
              </w:rPr>
            </w:pPr>
            <w:r w:rsidRPr="009A5B80">
              <w:rPr>
                <w:rFonts w:ascii="Times New Roman" w:eastAsia="Times New Roman" w:hAnsi="Times New Roman" w:cs="Times New Roman"/>
                <w:b/>
                <w:sz w:val="24"/>
                <w:szCs w:val="24"/>
                <w:lang w:val="lt-LT" w:eastAsia="lt-LT"/>
              </w:rPr>
              <w:lastRenderedPageBreak/>
              <w:t>Neatsižvelg</w:t>
            </w:r>
            <w:r w:rsidR="007F1E38">
              <w:rPr>
                <w:rFonts w:ascii="Times New Roman" w:eastAsia="Times New Roman" w:hAnsi="Times New Roman" w:cs="Times New Roman"/>
                <w:b/>
                <w:sz w:val="24"/>
                <w:szCs w:val="24"/>
                <w:lang w:val="lt-LT" w:eastAsia="lt-LT"/>
              </w:rPr>
              <w:t>t</w:t>
            </w:r>
            <w:r w:rsidRPr="009A5B80">
              <w:rPr>
                <w:rFonts w:ascii="Times New Roman" w:eastAsia="Times New Roman" w:hAnsi="Times New Roman" w:cs="Times New Roman"/>
                <w:b/>
                <w:sz w:val="24"/>
                <w:szCs w:val="24"/>
                <w:lang w:val="lt-LT" w:eastAsia="lt-LT"/>
              </w:rPr>
              <w:t>a.</w:t>
            </w:r>
          </w:p>
          <w:p w14:paraId="44CD669A" w14:textId="77777777" w:rsidR="004A0DAE" w:rsidRPr="00A93C71" w:rsidRDefault="00CF5E83" w:rsidP="00140789">
            <w:pPr>
              <w:spacing w:after="0" w:line="240" w:lineRule="auto"/>
              <w:ind w:firstLine="388"/>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Metodikos pavadinimas yra </w:t>
            </w:r>
            <w:r w:rsidR="00A93C71" w:rsidRPr="00A93C71">
              <w:rPr>
                <w:rFonts w:ascii="Times New Roman" w:eastAsia="Times New Roman" w:hAnsi="Times New Roman" w:cs="Times New Roman"/>
                <w:sz w:val="24"/>
                <w:szCs w:val="24"/>
                <w:lang w:val="lt-LT"/>
              </w:rPr>
              <w:t>Investicijų projektų, kuriems siekiama gauti finansavimą iš Europos Sąjungos struktūrinės paramos ir / ar valstybės biudžeto lėšų, rengimo metodika</w:t>
            </w:r>
            <w:r w:rsidR="0051424C">
              <w:rPr>
                <w:rFonts w:ascii="Times New Roman" w:eastAsia="Times New Roman" w:hAnsi="Times New Roman" w:cs="Times New Roman"/>
                <w:sz w:val="24"/>
                <w:szCs w:val="24"/>
                <w:lang w:val="lt-LT"/>
              </w:rPr>
              <w:t>, todėl jos pavadinim</w:t>
            </w:r>
            <w:r w:rsidR="00E21C50">
              <w:rPr>
                <w:rFonts w:ascii="Times New Roman" w:eastAsia="Times New Roman" w:hAnsi="Times New Roman" w:cs="Times New Roman"/>
                <w:sz w:val="24"/>
                <w:szCs w:val="24"/>
                <w:lang w:val="lt-LT"/>
              </w:rPr>
              <w:t>ą</w:t>
            </w:r>
            <w:r w:rsidR="0051424C">
              <w:rPr>
                <w:rFonts w:ascii="Times New Roman" w:eastAsia="Times New Roman" w:hAnsi="Times New Roman" w:cs="Times New Roman"/>
                <w:sz w:val="24"/>
                <w:szCs w:val="24"/>
                <w:lang w:val="lt-LT"/>
              </w:rPr>
              <w:t xml:space="preserve"> taisyti </w:t>
            </w:r>
            <w:r w:rsidR="00E21C50">
              <w:rPr>
                <w:rFonts w:ascii="Times New Roman" w:eastAsia="Times New Roman" w:hAnsi="Times New Roman" w:cs="Times New Roman"/>
                <w:sz w:val="24"/>
                <w:szCs w:val="24"/>
                <w:lang w:val="lt-LT"/>
              </w:rPr>
              <w:t>nėra tikslinga</w:t>
            </w:r>
            <w:r w:rsidR="00A93C71">
              <w:rPr>
                <w:rFonts w:ascii="Times New Roman" w:eastAsia="Times New Roman" w:hAnsi="Times New Roman" w:cs="Times New Roman"/>
                <w:sz w:val="24"/>
                <w:szCs w:val="24"/>
                <w:lang w:val="lt-LT"/>
              </w:rPr>
              <w:t>.</w:t>
            </w:r>
            <w:r w:rsidR="00196CE3">
              <w:rPr>
                <w:rFonts w:ascii="Times New Roman" w:eastAsia="Times New Roman" w:hAnsi="Times New Roman" w:cs="Times New Roman"/>
                <w:sz w:val="24"/>
                <w:szCs w:val="24"/>
                <w:lang w:val="lt-LT"/>
              </w:rPr>
              <w:t xml:space="preserve"> Metodikos trumpin</w:t>
            </w:r>
            <w:r w:rsidR="00E21C50">
              <w:rPr>
                <w:rFonts w:ascii="Times New Roman" w:eastAsia="Times New Roman" w:hAnsi="Times New Roman" w:cs="Times New Roman"/>
                <w:sz w:val="24"/>
                <w:szCs w:val="24"/>
                <w:lang w:val="lt-LT"/>
              </w:rPr>
              <w:t>į</w:t>
            </w:r>
            <w:r w:rsidR="00196CE3">
              <w:rPr>
                <w:rFonts w:ascii="Times New Roman" w:eastAsia="Times New Roman" w:hAnsi="Times New Roman" w:cs="Times New Roman"/>
                <w:sz w:val="24"/>
                <w:szCs w:val="24"/>
                <w:lang w:val="lt-LT"/>
              </w:rPr>
              <w:t xml:space="preserve"> įvesti nėra </w:t>
            </w:r>
            <w:r w:rsidR="00E21C50">
              <w:rPr>
                <w:rFonts w:ascii="Times New Roman" w:eastAsia="Times New Roman" w:hAnsi="Times New Roman" w:cs="Times New Roman"/>
                <w:sz w:val="24"/>
                <w:szCs w:val="24"/>
                <w:lang w:val="lt-LT"/>
              </w:rPr>
              <w:t>tikslinga</w:t>
            </w:r>
            <w:r w:rsidR="00196CE3">
              <w:rPr>
                <w:rFonts w:ascii="Times New Roman" w:eastAsia="Times New Roman" w:hAnsi="Times New Roman" w:cs="Times New Roman"/>
                <w:sz w:val="24"/>
                <w:szCs w:val="24"/>
                <w:lang w:val="lt-LT"/>
              </w:rPr>
              <w:t xml:space="preserve">, nes jis </w:t>
            </w:r>
            <w:r w:rsidR="000E02D6">
              <w:rPr>
                <w:rFonts w:ascii="Times New Roman" w:eastAsia="Times New Roman" w:hAnsi="Times New Roman" w:cs="Times New Roman"/>
                <w:sz w:val="24"/>
                <w:szCs w:val="24"/>
                <w:lang w:val="lt-LT"/>
              </w:rPr>
              <w:t xml:space="preserve">PFSA </w:t>
            </w:r>
            <w:r w:rsidR="00196CE3">
              <w:rPr>
                <w:rFonts w:ascii="Times New Roman" w:eastAsia="Times New Roman" w:hAnsi="Times New Roman" w:cs="Times New Roman"/>
                <w:sz w:val="24"/>
                <w:szCs w:val="24"/>
                <w:lang w:val="lt-LT"/>
              </w:rPr>
              <w:t>nenaudojamas.</w:t>
            </w:r>
          </w:p>
        </w:tc>
      </w:tr>
      <w:tr w:rsidR="00E649D4" w:rsidRPr="005C5220" w14:paraId="03B49A1D" w14:textId="77777777" w:rsidTr="007F1E38">
        <w:trPr>
          <w:trHeight w:val="1174"/>
        </w:trPr>
        <w:tc>
          <w:tcPr>
            <w:tcW w:w="708" w:type="dxa"/>
          </w:tcPr>
          <w:p w14:paraId="10779A01" w14:textId="77777777" w:rsidR="00E649D4" w:rsidRDefault="00E649D4" w:rsidP="00E649D4">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1.4.</w:t>
            </w:r>
          </w:p>
          <w:p w14:paraId="575BD5E1" w14:textId="77777777" w:rsidR="00E649D4" w:rsidRDefault="00E649D4" w:rsidP="00E649D4">
            <w:pPr>
              <w:spacing w:after="0" w:line="240" w:lineRule="auto"/>
              <w:rPr>
                <w:rFonts w:ascii="Times New Roman" w:hAnsi="Times New Roman" w:cs="Times New Roman"/>
                <w:sz w:val="24"/>
                <w:szCs w:val="24"/>
                <w:lang w:val="lt-LT" w:eastAsia="lt-LT"/>
              </w:rPr>
            </w:pPr>
          </w:p>
        </w:tc>
        <w:tc>
          <w:tcPr>
            <w:tcW w:w="6164" w:type="dxa"/>
          </w:tcPr>
          <w:p w14:paraId="7928F772" w14:textId="77777777" w:rsidR="00CA64F7" w:rsidRPr="00F77A99" w:rsidRDefault="00CA64F7" w:rsidP="00F77A99">
            <w:pPr>
              <w:tabs>
                <w:tab w:val="left" w:pos="599"/>
                <w:tab w:val="left" w:pos="1276"/>
                <w:tab w:val="left" w:pos="1560"/>
              </w:tabs>
              <w:spacing w:after="0"/>
              <w:ind w:firstLine="32"/>
              <w:jc w:val="both"/>
              <w:rPr>
                <w:rFonts w:ascii="Times New Roman" w:hAnsi="Times New Roman" w:cs="Times New Roman"/>
                <w:b/>
                <w:sz w:val="24"/>
                <w:szCs w:val="24"/>
                <w:lang w:val="lt-LT"/>
              </w:rPr>
            </w:pPr>
            <w:r>
              <w:rPr>
                <w:rFonts w:ascii="Times New Roman" w:eastAsia="Times New Roman" w:hAnsi="Times New Roman"/>
                <w:sz w:val="24"/>
                <w:szCs w:val="24"/>
              </w:rPr>
              <w:t xml:space="preserve">32. </w:t>
            </w:r>
            <w:r w:rsidRPr="00F77A99">
              <w:rPr>
                <w:rFonts w:ascii="Times New Roman" w:hAnsi="Times New Roman" w:cs="Times New Roman"/>
                <w:sz w:val="24"/>
                <w:szCs w:val="24"/>
                <w:lang w:val="lt-LT"/>
              </w:rPr>
              <w:t>Projekto tinkamos finansuoti išlaidos yra projekto veiklų išlaidos, patirtos nuo paraiškos registravimo įgyvendinančioje institucijoje dienos iki projekto finansavimo pabaigos, taip pat pasirengimo projektui veiklų išlaidos, patirtos nuo 2014</w:t>
            </w:r>
            <w:r w:rsidR="00F77A99">
              <w:rPr>
                <w:rFonts w:ascii="Times New Roman" w:hAnsi="Times New Roman" w:cs="Times New Roman"/>
                <w:sz w:val="24"/>
                <w:szCs w:val="24"/>
                <w:lang w:val="lt-LT"/>
              </w:rPr>
              <w:t> </w:t>
            </w:r>
            <w:r w:rsidRPr="00F77A99">
              <w:rPr>
                <w:rFonts w:ascii="Times New Roman" w:hAnsi="Times New Roman" w:cs="Times New Roman"/>
                <w:sz w:val="24"/>
                <w:szCs w:val="24"/>
                <w:lang w:val="lt-LT"/>
              </w:rPr>
              <w:t>m. sausio 1 d. iki projekto finansavimo pabaigos.</w:t>
            </w:r>
            <w:r w:rsidRPr="00F77A99">
              <w:rPr>
                <w:rFonts w:ascii="Times New Roman" w:hAnsi="Times New Roman" w:cs="Times New Roman"/>
                <w:b/>
                <w:sz w:val="24"/>
                <w:szCs w:val="24"/>
                <w:lang w:val="lt-LT"/>
              </w:rPr>
              <w:t xml:space="preserve"> Gavus Europos Komisijos ir (ar) Lietuvos Respublikos atsakingų institucijų išaiškinimą ir (ar) sprendimą, kad pasirengimo projektui veiklų išlaidos ar jų dalis yra nesuderinama valstybės pagalba, įgyvendinančioji institucija, vadovaudamasi Projektų administravimo ir finansavimo taisyklėmis:</w:t>
            </w:r>
          </w:p>
          <w:p w14:paraId="33A9C108" w14:textId="77777777" w:rsidR="00CA64F7" w:rsidRPr="00F77A99" w:rsidRDefault="00CA64F7" w:rsidP="00F77A99">
            <w:pPr>
              <w:tabs>
                <w:tab w:val="left" w:pos="599"/>
                <w:tab w:val="left" w:pos="1418"/>
              </w:tabs>
              <w:spacing w:after="0"/>
              <w:ind w:firstLine="32"/>
              <w:jc w:val="both"/>
              <w:rPr>
                <w:rFonts w:ascii="Times New Roman" w:hAnsi="Times New Roman" w:cs="Times New Roman"/>
                <w:b/>
                <w:sz w:val="24"/>
                <w:szCs w:val="24"/>
                <w:lang w:val="lt-LT"/>
              </w:rPr>
            </w:pPr>
            <w:r w:rsidRPr="00F77A99">
              <w:rPr>
                <w:rFonts w:ascii="Times New Roman" w:hAnsi="Times New Roman" w:cs="Times New Roman"/>
                <w:b/>
                <w:sz w:val="24"/>
                <w:szCs w:val="24"/>
                <w:lang w:val="lt-LT"/>
              </w:rPr>
              <w:t>32.1.</w:t>
            </w:r>
            <w:r w:rsidRPr="00F77A99">
              <w:rPr>
                <w:rFonts w:ascii="Times New Roman" w:hAnsi="Times New Roman" w:cs="Times New Roman"/>
                <w:b/>
                <w:sz w:val="24"/>
                <w:szCs w:val="24"/>
                <w:lang w:val="lt-LT"/>
              </w:rPr>
              <w:tab/>
              <w:t>jei yra baigtas paraiškos vertinimas ir atranka arba priimtas sprendimas dėl projekto finansavimo, bet nėra sudaryta projekto sutartis, atlieka pakartotinį paraiškos vertinimą. Atsižvelgiant į pakartotinio paraiškos vertinimo rezultatus, gali būti pakeistas sprendimas dėl projekto finansavimo;</w:t>
            </w:r>
          </w:p>
          <w:p w14:paraId="125F2A0C" w14:textId="77777777" w:rsidR="00CA64F7" w:rsidRPr="00F77A99" w:rsidRDefault="00CA64F7" w:rsidP="00F77A99">
            <w:pPr>
              <w:tabs>
                <w:tab w:val="left" w:pos="599"/>
                <w:tab w:val="left" w:pos="1418"/>
              </w:tabs>
              <w:spacing w:after="0"/>
              <w:ind w:firstLine="32"/>
              <w:jc w:val="both"/>
              <w:rPr>
                <w:rFonts w:ascii="Times New Roman" w:hAnsi="Times New Roman" w:cs="Times New Roman"/>
                <w:b/>
                <w:sz w:val="24"/>
                <w:szCs w:val="24"/>
                <w:lang w:val="lt-LT"/>
              </w:rPr>
            </w:pPr>
            <w:r w:rsidRPr="00F77A99">
              <w:rPr>
                <w:rFonts w:ascii="Times New Roman" w:hAnsi="Times New Roman" w:cs="Times New Roman"/>
                <w:b/>
                <w:sz w:val="24"/>
                <w:szCs w:val="24"/>
                <w:lang w:val="lt-LT"/>
              </w:rPr>
              <w:t>32.2.</w:t>
            </w:r>
            <w:r w:rsidRPr="00F77A99">
              <w:rPr>
                <w:rFonts w:ascii="Times New Roman" w:hAnsi="Times New Roman" w:cs="Times New Roman"/>
                <w:b/>
                <w:sz w:val="24"/>
                <w:szCs w:val="24"/>
                <w:lang w:val="lt-LT"/>
              </w:rPr>
              <w:tab/>
              <w:t>jei sudaryta projekto sutartis, atlieka projekto sutarties keitimą, mažinant tinkamų finansuoti išlaidų sumą, ir priima sprendimą dėl išmokėtų projekto finansavimo lėšų ir (ar) kitų lėšų grąžinimo (jei lėšos buvo išmokėtos).</w:t>
            </w:r>
          </w:p>
          <w:p w14:paraId="67DCD58A" w14:textId="77777777" w:rsidR="00E649D4" w:rsidRPr="00A93C71" w:rsidRDefault="00E649D4" w:rsidP="00E649D4">
            <w:pPr>
              <w:pStyle w:val="ListParagraph"/>
              <w:tabs>
                <w:tab w:val="left" w:pos="599"/>
              </w:tabs>
              <w:spacing w:after="0" w:line="240" w:lineRule="auto"/>
              <w:ind w:left="0"/>
              <w:jc w:val="both"/>
              <w:rPr>
                <w:rFonts w:ascii="Times New Roman" w:eastAsia="Times New Roman" w:hAnsi="Times New Roman"/>
                <w:sz w:val="24"/>
                <w:szCs w:val="24"/>
              </w:rPr>
            </w:pPr>
          </w:p>
        </w:tc>
        <w:tc>
          <w:tcPr>
            <w:tcW w:w="7303" w:type="dxa"/>
          </w:tcPr>
          <w:p w14:paraId="1DF8FE67" w14:textId="77777777" w:rsidR="00F77A99" w:rsidRPr="009A5B80" w:rsidRDefault="00F77A99" w:rsidP="00F77A99">
            <w:pPr>
              <w:spacing w:after="0" w:line="240" w:lineRule="auto"/>
              <w:ind w:firstLine="391"/>
              <w:jc w:val="both"/>
              <w:rPr>
                <w:rFonts w:ascii="Times New Roman" w:eastAsia="Times New Roman" w:hAnsi="Times New Roman" w:cs="Times New Roman"/>
                <w:b/>
                <w:sz w:val="24"/>
                <w:szCs w:val="24"/>
                <w:lang w:val="lt-LT" w:eastAsia="lt-LT"/>
              </w:rPr>
            </w:pPr>
            <w:r w:rsidRPr="009A5B80">
              <w:rPr>
                <w:rFonts w:ascii="Times New Roman" w:eastAsia="Times New Roman" w:hAnsi="Times New Roman" w:cs="Times New Roman"/>
                <w:b/>
                <w:sz w:val="24"/>
                <w:szCs w:val="24"/>
                <w:lang w:val="lt-LT" w:eastAsia="lt-LT"/>
              </w:rPr>
              <w:t>Neatsižvelg</w:t>
            </w:r>
            <w:r>
              <w:rPr>
                <w:rFonts w:ascii="Times New Roman" w:eastAsia="Times New Roman" w:hAnsi="Times New Roman" w:cs="Times New Roman"/>
                <w:b/>
                <w:sz w:val="24"/>
                <w:szCs w:val="24"/>
                <w:lang w:val="lt-LT" w:eastAsia="lt-LT"/>
              </w:rPr>
              <w:t>t</w:t>
            </w:r>
            <w:r w:rsidRPr="009A5B80">
              <w:rPr>
                <w:rFonts w:ascii="Times New Roman" w:eastAsia="Times New Roman" w:hAnsi="Times New Roman" w:cs="Times New Roman"/>
                <w:b/>
                <w:sz w:val="24"/>
                <w:szCs w:val="24"/>
                <w:lang w:val="lt-LT" w:eastAsia="lt-LT"/>
              </w:rPr>
              <w:t>a.</w:t>
            </w:r>
          </w:p>
          <w:p w14:paraId="74448524" w14:textId="77777777" w:rsidR="00F77A99" w:rsidRPr="00F77A99" w:rsidRDefault="00F77A99" w:rsidP="00F77A99">
            <w:pPr>
              <w:spacing w:after="0" w:line="240" w:lineRule="auto"/>
              <w:ind w:firstLine="388"/>
              <w:jc w:val="both"/>
              <w:rPr>
                <w:rFonts w:ascii="Times New Roman" w:eastAsia="Times New Roman" w:hAnsi="Times New Roman" w:cs="Times New Roman"/>
                <w:sz w:val="24"/>
                <w:szCs w:val="24"/>
                <w:lang w:val="lt-LT" w:eastAsia="lt-LT"/>
              </w:rPr>
            </w:pPr>
            <w:r w:rsidRPr="00F77A99">
              <w:rPr>
                <w:rFonts w:ascii="Times New Roman" w:hAnsi="Times New Roman" w:cs="Times New Roman"/>
                <w:sz w:val="24"/>
                <w:szCs w:val="24"/>
                <w:lang w:val="lt-LT"/>
              </w:rPr>
              <w:t>P</w:t>
            </w:r>
            <w:r>
              <w:rPr>
                <w:rFonts w:ascii="Times New Roman" w:hAnsi="Times New Roman" w:cs="Times New Roman"/>
                <w:sz w:val="24"/>
                <w:szCs w:val="24"/>
                <w:lang w:val="lt-LT"/>
              </w:rPr>
              <w:t xml:space="preserve">asirengimo projektui veiklos nebus tinkamos finansuoti išlaidos, todėl nėra poreikio PFSA papildyti nuostatomis dėl veiksmų, kurių reikėtų imtis gavus </w:t>
            </w:r>
            <w:r w:rsidRPr="00F77A99">
              <w:rPr>
                <w:rFonts w:ascii="Times New Roman" w:hAnsi="Times New Roman" w:cs="Times New Roman"/>
                <w:sz w:val="24"/>
                <w:szCs w:val="24"/>
                <w:lang w:val="lt-LT"/>
              </w:rPr>
              <w:t>Europos Komisijos ir (ar) Lietuvos Respublikos atsakingų institucijų išaiškinimą ir (ar) sprendimą, kad pasirengimo projektui veiklų išlaidos ar jų dalis yra nesuderinama valstybės pagalba</w:t>
            </w:r>
            <w:r>
              <w:rPr>
                <w:rFonts w:ascii="Times New Roman" w:hAnsi="Times New Roman" w:cs="Times New Roman"/>
                <w:sz w:val="24"/>
                <w:szCs w:val="24"/>
                <w:lang w:val="lt-LT"/>
              </w:rPr>
              <w:t>.</w:t>
            </w:r>
          </w:p>
        </w:tc>
      </w:tr>
      <w:tr w:rsidR="00E649D4" w:rsidRPr="005C5220" w14:paraId="5EE42835" w14:textId="77777777" w:rsidTr="007F1E38">
        <w:trPr>
          <w:trHeight w:val="1174"/>
        </w:trPr>
        <w:tc>
          <w:tcPr>
            <w:tcW w:w="708" w:type="dxa"/>
          </w:tcPr>
          <w:p w14:paraId="4288EA88" w14:textId="77777777" w:rsidR="00E649D4" w:rsidRDefault="00E649D4" w:rsidP="00453A43">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1.5. </w:t>
            </w:r>
          </w:p>
        </w:tc>
        <w:tc>
          <w:tcPr>
            <w:tcW w:w="6164" w:type="dxa"/>
          </w:tcPr>
          <w:p w14:paraId="199A2C64" w14:textId="77777777" w:rsidR="00E649D4" w:rsidRPr="00146731" w:rsidRDefault="00A0155E" w:rsidP="00E649D4">
            <w:pPr>
              <w:pStyle w:val="ListParagraph"/>
              <w:tabs>
                <w:tab w:val="left" w:pos="599"/>
              </w:tabs>
              <w:spacing w:after="0" w:line="240" w:lineRule="auto"/>
              <w:ind w:left="0"/>
              <w:jc w:val="both"/>
              <w:rPr>
                <w:rFonts w:ascii="Times New Roman" w:eastAsia="Times New Roman" w:hAnsi="Times New Roman"/>
                <w:sz w:val="24"/>
                <w:szCs w:val="24"/>
              </w:rPr>
            </w:pPr>
            <w:r w:rsidRPr="00146731">
              <w:rPr>
                <w:rFonts w:ascii="Times New Roman" w:eastAsia="Times New Roman" w:hAnsi="Times New Roman"/>
                <w:sz w:val="24"/>
                <w:szCs w:val="24"/>
              </w:rPr>
              <w:t xml:space="preserve">38. </w:t>
            </w:r>
            <w:r w:rsidRPr="00146731">
              <w:rPr>
                <w:rFonts w:ascii="Times New Roman" w:hAnsi="Times New Roman"/>
                <w:sz w:val="24"/>
                <w:szCs w:val="24"/>
                <w:lang w:eastAsia="lt-LT"/>
              </w:rPr>
              <w:t xml:space="preserve">Didžiausia galima projekto finansuojamoji dalis sudaro </w:t>
            </w:r>
            <w:r w:rsidRPr="00146731">
              <w:rPr>
                <w:rFonts w:ascii="Times New Roman" w:hAnsi="Times New Roman"/>
                <w:b/>
                <w:sz w:val="24"/>
                <w:szCs w:val="24"/>
                <w:lang w:eastAsia="lt-LT"/>
              </w:rPr>
              <w:t>iki</w:t>
            </w:r>
            <w:r w:rsidRPr="00146731">
              <w:rPr>
                <w:rFonts w:ascii="Times New Roman" w:hAnsi="Times New Roman"/>
                <w:sz w:val="24"/>
                <w:szCs w:val="24"/>
                <w:lang w:eastAsia="lt-LT"/>
              </w:rPr>
              <w:t xml:space="preserve"> 50 proc. visų tinkamų finansuoti projekto išlaidų ir negali viršyti </w:t>
            </w:r>
            <w:r w:rsidRPr="00146731">
              <w:rPr>
                <w:rFonts w:ascii="Times New Roman" w:hAnsi="Times New Roman"/>
                <w:sz w:val="24"/>
                <w:szCs w:val="24"/>
              </w:rPr>
              <w:t>tinkamų finansuoti išlaidų ir investicijos veiklos pelno skirtumo</w:t>
            </w:r>
            <w:r w:rsidRPr="00146731">
              <w:rPr>
                <w:rFonts w:ascii="Times New Roman" w:hAnsi="Times New Roman"/>
                <w:sz w:val="24"/>
                <w:szCs w:val="24"/>
                <w:lang w:eastAsia="lt-LT"/>
              </w:rPr>
              <w:t>. Pareiškėjas privalo prisidėti prie projekto finansavimo ne mažiau nei 50 proc. visų tinkamų finansuoti projekto išlaidų.</w:t>
            </w:r>
          </w:p>
        </w:tc>
        <w:tc>
          <w:tcPr>
            <w:tcW w:w="7303" w:type="dxa"/>
          </w:tcPr>
          <w:p w14:paraId="4AA5A8A8" w14:textId="77777777" w:rsidR="00A0155E" w:rsidRPr="009A5B80" w:rsidRDefault="00A0155E" w:rsidP="00A0155E">
            <w:pPr>
              <w:spacing w:after="0" w:line="240" w:lineRule="auto"/>
              <w:ind w:firstLine="391"/>
              <w:jc w:val="both"/>
              <w:rPr>
                <w:rFonts w:ascii="Times New Roman" w:eastAsia="Times New Roman" w:hAnsi="Times New Roman" w:cs="Times New Roman"/>
                <w:b/>
                <w:sz w:val="24"/>
                <w:szCs w:val="24"/>
                <w:lang w:val="lt-LT" w:eastAsia="lt-LT"/>
              </w:rPr>
            </w:pPr>
            <w:r w:rsidRPr="009A5B80">
              <w:rPr>
                <w:rFonts w:ascii="Times New Roman" w:eastAsia="Times New Roman" w:hAnsi="Times New Roman" w:cs="Times New Roman"/>
                <w:b/>
                <w:sz w:val="24"/>
                <w:szCs w:val="24"/>
                <w:lang w:val="lt-LT" w:eastAsia="lt-LT"/>
              </w:rPr>
              <w:t>Neatsižvelg</w:t>
            </w:r>
            <w:r>
              <w:rPr>
                <w:rFonts w:ascii="Times New Roman" w:eastAsia="Times New Roman" w:hAnsi="Times New Roman" w:cs="Times New Roman"/>
                <w:b/>
                <w:sz w:val="24"/>
                <w:szCs w:val="24"/>
                <w:lang w:val="lt-LT" w:eastAsia="lt-LT"/>
              </w:rPr>
              <w:t>t</w:t>
            </w:r>
            <w:r w:rsidRPr="009A5B80">
              <w:rPr>
                <w:rFonts w:ascii="Times New Roman" w:eastAsia="Times New Roman" w:hAnsi="Times New Roman" w:cs="Times New Roman"/>
                <w:b/>
                <w:sz w:val="24"/>
                <w:szCs w:val="24"/>
                <w:lang w:val="lt-LT" w:eastAsia="lt-LT"/>
              </w:rPr>
              <w:t>a.</w:t>
            </w:r>
          </w:p>
          <w:p w14:paraId="504414F0" w14:textId="77777777" w:rsidR="00E649D4" w:rsidRPr="00A0155E" w:rsidRDefault="00A0155E" w:rsidP="009A5B80">
            <w:pPr>
              <w:spacing w:after="0" w:line="240" w:lineRule="auto"/>
              <w:ind w:firstLine="391"/>
              <w:jc w:val="both"/>
              <w:rPr>
                <w:rFonts w:ascii="Times New Roman" w:eastAsia="Times New Roman" w:hAnsi="Times New Roman" w:cs="Times New Roman"/>
                <w:sz w:val="24"/>
                <w:szCs w:val="24"/>
                <w:lang w:val="lt-LT" w:eastAsia="lt-LT"/>
              </w:rPr>
            </w:pPr>
            <w:r w:rsidRPr="00A0155E">
              <w:rPr>
                <w:rFonts w:ascii="Times New Roman" w:eastAsia="Times New Roman" w:hAnsi="Times New Roman" w:cs="Times New Roman"/>
                <w:sz w:val="24"/>
                <w:szCs w:val="24"/>
                <w:lang w:val="lt-LT" w:eastAsia="lt-LT"/>
              </w:rPr>
              <w:t xml:space="preserve">PFSA 4 </w:t>
            </w:r>
            <w:r w:rsidRPr="00532E5D">
              <w:rPr>
                <w:rFonts w:ascii="Times New Roman" w:eastAsia="Times New Roman" w:hAnsi="Times New Roman" w:cs="Times New Roman"/>
                <w:sz w:val="24"/>
                <w:szCs w:val="24"/>
                <w:lang w:val="lt-LT" w:eastAsia="lt-LT"/>
              </w:rPr>
              <w:t>priedas</w:t>
            </w:r>
            <w:r w:rsidR="00532E5D" w:rsidRPr="00532E5D">
              <w:rPr>
                <w:rFonts w:ascii="Times New Roman" w:eastAsia="Times New Roman" w:hAnsi="Times New Roman" w:cs="Times New Roman"/>
                <w:sz w:val="24"/>
                <w:szCs w:val="24"/>
                <w:lang w:val="lt-LT" w:eastAsia="lt-LT"/>
              </w:rPr>
              <w:t xml:space="preserve"> apskaičiuoja didžiausią galimą finansuoti </w:t>
            </w:r>
            <w:r w:rsidR="00532E5D" w:rsidRPr="00532E5D">
              <w:rPr>
                <w:rFonts w:ascii="Times New Roman" w:hAnsi="Times New Roman" w:cs="Times New Roman"/>
                <w:sz w:val="24"/>
                <w:szCs w:val="24"/>
                <w:lang w:val="lt-LT" w:eastAsia="lt-LT"/>
              </w:rPr>
              <w:t>projekto dalį</w:t>
            </w:r>
            <w:r w:rsidR="00532E5D">
              <w:rPr>
                <w:rFonts w:ascii="Times New Roman" w:hAnsi="Times New Roman" w:cs="Times New Roman"/>
                <w:sz w:val="24"/>
                <w:szCs w:val="24"/>
                <w:lang w:val="lt-LT" w:eastAsia="lt-LT"/>
              </w:rPr>
              <w:t>, kuri yra 50 proc.</w:t>
            </w:r>
          </w:p>
        </w:tc>
      </w:tr>
      <w:tr w:rsidR="001415B7" w:rsidRPr="005C5220" w14:paraId="562450B8" w14:textId="77777777" w:rsidTr="001415B7">
        <w:trPr>
          <w:trHeight w:val="346"/>
        </w:trPr>
        <w:tc>
          <w:tcPr>
            <w:tcW w:w="708" w:type="dxa"/>
          </w:tcPr>
          <w:p w14:paraId="71E75E1B" w14:textId="77777777" w:rsidR="001415B7" w:rsidRDefault="001415B7" w:rsidP="00A302B9">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w:t>
            </w:r>
          </w:p>
        </w:tc>
        <w:tc>
          <w:tcPr>
            <w:tcW w:w="13467" w:type="dxa"/>
            <w:gridSpan w:val="2"/>
          </w:tcPr>
          <w:p w14:paraId="54121E61" w14:textId="77777777" w:rsidR="001415B7" w:rsidRPr="009A5B80" w:rsidRDefault="001415B7" w:rsidP="008873B2">
            <w:pPr>
              <w:spacing w:after="0" w:line="240" w:lineRule="auto"/>
              <w:jc w:val="both"/>
              <w:rPr>
                <w:rFonts w:ascii="Times New Roman" w:eastAsia="Times New Roman" w:hAnsi="Times New Roman" w:cs="Times New Roman"/>
                <w:b/>
                <w:sz w:val="24"/>
                <w:szCs w:val="24"/>
                <w:lang w:val="lt-LT" w:eastAsia="lt-LT"/>
              </w:rPr>
            </w:pPr>
            <w:bookmarkStart w:id="0" w:name="_Hlk481078911"/>
            <w:r w:rsidRPr="0035507E">
              <w:rPr>
                <w:rFonts w:ascii="Times New Roman" w:hAnsi="Times New Roman" w:cs="Times New Roman"/>
                <w:b/>
                <w:bCs/>
                <w:sz w:val="24"/>
                <w:szCs w:val="24"/>
                <w:lang w:val="lt-LT"/>
              </w:rPr>
              <w:t>LI</w:t>
            </w:r>
            <w:r>
              <w:rPr>
                <w:rFonts w:ascii="Times New Roman" w:hAnsi="Times New Roman" w:cs="Times New Roman"/>
                <w:b/>
                <w:bCs/>
                <w:sz w:val="24"/>
                <w:szCs w:val="24"/>
                <w:lang w:val="lt-LT"/>
              </w:rPr>
              <w:t xml:space="preserve">TGRID AB </w:t>
            </w:r>
            <w:r w:rsidRPr="0035507E">
              <w:rPr>
                <w:rFonts w:ascii="Times New Roman" w:hAnsi="Times New Roman" w:cs="Times New Roman"/>
                <w:b/>
                <w:bCs/>
                <w:sz w:val="24"/>
                <w:szCs w:val="24"/>
                <w:lang w:val="lt-LT"/>
              </w:rPr>
              <w:t>201</w:t>
            </w:r>
            <w:r w:rsidR="00353884">
              <w:rPr>
                <w:rFonts w:ascii="Times New Roman" w:hAnsi="Times New Roman" w:cs="Times New Roman"/>
                <w:b/>
                <w:bCs/>
                <w:sz w:val="24"/>
                <w:szCs w:val="24"/>
                <w:lang w:val="lt-LT"/>
              </w:rPr>
              <w:t>7</w:t>
            </w:r>
            <w:r w:rsidRPr="0035507E">
              <w:rPr>
                <w:rFonts w:ascii="Times New Roman" w:hAnsi="Times New Roman" w:cs="Times New Roman"/>
                <w:b/>
                <w:bCs/>
                <w:sz w:val="24"/>
                <w:szCs w:val="24"/>
                <w:lang w:val="lt-LT"/>
              </w:rPr>
              <w:t xml:space="preserve"> m. </w:t>
            </w:r>
            <w:r w:rsidR="00353884">
              <w:rPr>
                <w:rFonts w:ascii="Times New Roman" w:hAnsi="Times New Roman" w:cs="Times New Roman"/>
                <w:b/>
                <w:bCs/>
                <w:sz w:val="24"/>
                <w:szCs w:val="24"/>
                <w:lang w:val="lt-LT"/>
              </w:rPr>
              <w:t>balandžio</w:t>
            </w:r>
            <w:r>
              <w:rPr>
                <w:rFonts w:ascii="Times New Roman" w:hAnsi="Times New Roman" w:cs="Times New Roman"/>
                <w:b/>
                <w:bCs/>
                <w:sz w:val="24"/>
                <w:szCs w:val="24"/>
                <w:lang w:val="lt-LT"/>
              </w:rPr>
              <w:t xml:space="preserve"> </w:t>
            </w:r>
            <w:r w:rsidR="00353884">
              <w:rPr>
                <w:rFonts w:ascii="Times New Roman" w:hAnsi="Times New Roman" w:cs="Times New Roman"/>
                <w:b/>
                <w:bCs/>
                <w:sz w:val="24"/>
                <w:szCs w:val="24"/>
                <w:lang w:val="lt-LT"/>
              </w:rPr>
              <w:t>14</w:t>
            </w:r>
            <w:r>
              <w:rPr>
                <w:rFonts w:ascii="Times New Roman" w:hAnsi="Times New Roman" w:cs="Times New Roman"/>
                <w:b/>
                <w:bCs/>
                <w:sz w:val="24"/>
                <w:szCs w:val="24"/>
                <w:lang w:val="lt-LT"/>
              </w:rPr>
              <w:t xml:space="preserve"> d. raštas Nr. SD-</w:t>
            </w:r>
            <w:r w:rsidR="00353884">
              <w:rPr>
                <w:rFonts w:ascii="Times New Roman" w:hAnsi="Times New Roman" w:cs="Times New Roman"/>
                <w:b/>
                <w:bCs/>
                <w:sz w:val="24"/>
                <w:szCs w:val="24"/>
                <w:lang w:val="lt-LT"/>
              </w:rPr>
              <w:t>1723</w:t>
            </w:r>
            <w:r w:rsidRPr="0035507E">
              <w:rPr>
                <w:rFonts w:ascii="Times New Roman" w:hAnsi="Times New Roman" w:cs="Times New Roman"/>
                <w:b/>
                <w:bCs/>
                <w:sz w:val="24"/>
                <w:szCs w:val="24"/>
                <w:lang w:val="lt-LT"/>
              </w:rPr>
              <w:t xml:space="preserve"> </w:t>
            </w:r>
            <w:bookmarkEnd w:id="0"/>
          </w:p>
        </w:tc>
      </w:tr>
      <w:tr w:rsidR="00A302B9" w:rsidRPr="005C5220" w14:paraId="5AF4F4FA" w14:textId="77777777" w:rsidTr="007F1E38">
        <w:trPr>
          <w:trHeight w:val="1174"/>
        </w:trPr>
        <w:tc>
          <w:tcPr>
            <w:tcW w:w="708" w:type="dxa"/>
          </w:tcPr>
          <w:p w14:paraId="4A3988BF" w14:textId="77777777" w:rsidR="00A302B9" w:rsidRDefault="00A302B9" w:rsidP="00A302B9">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lastRenderedPageBreak/>
              <w:t>2.1.</w:t>
            </w:r>
          </w:p>
        </w:tc>
        <w:tc>
          <w:tcPr>
            <w:tcW w:w="6164" w:type="dxa"/>
          </w:tcPr>
          <w:p w14:paraId="1C3FE26D" w14:textId="77777777" w:rsidR="00A302B9" w:rsidRPr="00F04147" w:rsidRDefault="00F04147" w:rsidP="00A302B9">
            <w:pPr>
              <w:autoSpaceDE w:val="0"/>
              <w:autoSpaceDN w:val="0"/>
              <w:adjustRightInd w:val="0"/>
              <w:spacing w:after="0" w:line="240" w:lineRule="auto"/>
              <w:jc w:val="both"/>
              <w:rPr>
                <w:rFonts w:ascii="Times New Roman" w:hAnsi="Times New Roman" w:cs="Times New Roman"/>
                <w:sz w:val="24"/>
                <w:szCs w:val="24"/>
                <w:lang w:val="lt-LT"/>
              </w:rPr>
            </w:pPr>
            <w:r w:rsidRPr="00F04147">
              <w:rPr>
                <w:rFonts w:ascii="Times New Roman" w:hAnsi="Times New Roman" w:cs="Times New Roman"/>
                <w:sz w:val="24"/>
                <w:szCs w:val="24"/>
                <w:lang w:val="lt-LT"/>
              </w:rPr>
              <w:t xml:space="preserve">45.1. 3 išlaidų kategorija </w:t>
            </w:r>
            <w:r w:rsidRPr="00F04147">
              <w:rPr>
                <w:rFonts w:ascii="Times New Roman" w:hAnsi="Times New Roman" w:cs="Times New Roman"/>
                <w:sz w:val="24"/>
                <w:szCs w:val="24"/>
                <w:lang w:val="lt-LT" w:eastAsia="lt-LT"/>
              </w:rPr>
              <w:t xml:space="preserve">„Statyba, rekonstravimas, remontas ir kiti darbai“ – statybos, rekonstravimo, </w:t>
            </w:r>
            <w:r w:rsidR="00134C5A" w:rsidRPr="00134C5A">
              <w:rPr>
                <w:rFonts w:ascii="Times New Roman" w:hAnsi="Times New Roman" w:cs="Times New Roman"/>
                <w:b/>
                <w:sz w:val="24"/>
                <w:szCs w:val="24"/>
                <w:lang w:val="lt-LT" w:eastAsia="lt-LT"/>
              </w:rPr>
              <w:t>kapitalinio ir paprastojo</w:t>
            </w:r>
            <w:r w:rsidR="00134C5A">
              <w:rPr>
                <w:rFonts w:ascii="Times New Roman" w:hAnsi="Times New Roman" w:cs="Times New Roman"/>
                <w:sz w:val="24"/>
                <w:szCs w:val="24"/>
                <w:lang w:val="lt-LT" w:eastAsia="lt-LT"/>
              </w:rPr>
              <w:t xml:space="preserve"> </w:t>
            </w:r>
            <w:r w:rsidRPr="00F04147">
              <w:rPr>
                <w:rFonts w:ascii="Times New Roman" w:hAnsi="Times New Roman" w:cs="Times New Roman"/>
                <w:sz w:val="24"/>
                <w:szCs w:val="24"/>
                <w:lang w:val="lt-LT" w:eastAsia="lt-LT"/>
              </w:rPr>
              <w:t>remonto, griovimo ir kt. darbai, tiesiogiai susiję su projekto veiklomis;</w:t>
            </w:r>
          </w:p>
        </w:tc>
        <w:tc>
          <w:tcPr>
            <w:tcW w:w="7303" w:type="dxa"/>
          </w:tcPr>
          <w:p w14:paraId="59DE3DAC" w14:textId="77777777" w:rsidR="00A302B9" w:rsidRPr="009A5B80" w:rsidRDefault="00A302B9" w:rsidP="00A302B9">
            <w:pPr>
              <w:spacing w:after="0" w:line="240" w:lineRule="auto"/>
              <w:ind w:firstLine="391"/>
              <w:jc w:val="both"/>
              <w:rPr>
                <w:rFonts w:ascii="Times New Roman" w:eastAsia="Times New Roman" w:hAnsi="Times New Roman" w:cs="Times New Roman"/>
                <w:b/>
                <w:sz w:val="24"/>
                <w:szCs w:val="24"/>
                <w:lang w:val="lt-LT" w:eastAsia="lt-LT"/>
              </w:rPr>
            </w:pPr>
            <w:r w:rsidRPr="009A5B80">
              <w:rPr>
                <w:rFonts w:ascii="Times New Roman" w:eastAsia="Times New Roman" w:hAnsi="Times New Roman" w:cs="Times New Roman"/>
                <w:b/>
                <w:sz w:val="24"/>
                <w:szCs w:val="24"/>
                <w:lang w:val="lt-LT" w:eastAsia="lt-LT"/>
              </w:rPr>
              <w:t>Neatsižvelg</w:t>
            </w:r>
            <w:r>
              <w:rPr>
                <w:rFonts w:ascii="Times New Roman" w:eastAsia="Times New Roman" w:hAnsi="Times New Roman" w:cs="Times New Roman"/>
                <w:b/>
                <w:sz w:val="24"/>
                <w:szCs w:val="24"/>
                <w:lang w:val="lt-LT" w:eastAsia="lt-LT"/>
              </w:rPr>
              <w:t>t</w:t>
            </w:r>
            <w:r w:rsidRPr="009A5B80">
              <w:rPr>
                <w:rFonts w:ascii="Times New Roman" w:eastAsia="Times New Roman" w:hAnsi="Times New Roman" w:cs="Times New Roman"/>
                <w:b/>
                <w:sz w:val="24"/>
                <w:szCs w:val="24"/>
                <w:lang w:val="lt-LT" w:eastAsia="lt-LT"/>
              </w:rPr>
              <w:t>a.</w:t>
            </w:r>
          </w:p>
          <w:p w14:paraId="3DF0D3AA" w14:textId="77777777" w:rsidR="00A302B9" w:rsidRPr="00624864" w:rsidRDefault="003E13A3" w:rsidP="00A302B9">
            <w:pPr>
              <w:spacing w:after="0" w:line="240" w:lineRule="auto"/>
              <w:ind w:firstLine="39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Lietuvos Respublikos statybos įstatyme apibrėžta, kad </w:t>
            </w:r>
            <w:r w:rsidR="00E21C50">
              <w:rPr>
                <w:rFonts w:ascii="Times New Roman" w:eastAsia="Times New Roman" w:hAnsi="Times New Roman" w:cs="Times New Roman"/>
                <w:sz w:val="24"/>
                <w:szCs w:val="24"/>
                <w:lang w:val="lt-LT" w:eastAsia="lt-LT"/>
              </w:rPr>
              <w:t xml:space="preserve">statinio </w:t>
            </w:r>
            <w:r>
              <w:rPr>
                <w:rFonts w:ascii="Times New Roman" w:eastAsia="Times New Roman" w:hAnsi="Times New Roman" w:cs="Times New Roman"/>
                <w:sz w:val="24"/>
                <w:szCs w:val="24"/>
                <w:lang w:val="lt-LT" w:eastAsia="lt-LT"/>
              </w:rPr>
              <w:t xml:space="preserve">remontas </w:t>
            </w:r>
            <w:r w:rsidR="00E21C50">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00E21C50">
              <w:rPr>
                <w:rFonts w:ascii="Times New Roman" w:eastAsia="Times New Roman" w:hAnsi="Times New Roman" w:cs="Times New Roman"/>
                <w:sz w:val="24"/>
                <w:szCs w:val="24"/>
                <w:lang w:val="lt-LT" w:eastAsia="lt-LT"/>
              </w:rPr>
              <w:t xml:space="preserve">statinio </w:t>
            </w:r>
            <w:r>
              <w:rPr>
                <w:rFonts w:ascii="Times New Roman" w:eastAsia="Times New Roman" w:hAnsi="Times New Roman" w:cs="Times New Roman"/>
                <w:sz w:val="24"/>
                <w:szCs w:val="24"/>
                <w:lang w:val="lt-LT" w:eastAsia="lt-LT"/>
              </w:rPr>
              <w:t>kapitalinis ar paprastasis remontas</w:t>
            </w:r>
            <w:r w:rsidR="00E21C50">
              <w:rPr>
                <w:rFonts w:ascii="Times New Roman" w:eastAsia="Times New Roman" w:hAnsi="Times New Roman" w:cs="Times New Roman"/>
                <w:sz w:val="24"/>
                <w:szCs w:val="24"/>
                <w:lang w:val="lt-LT" w:eastAsia="lt-LT"/>
              </w:rPr>
              <w:t xml:space="preserve">, todėl </w:t>
            </w:r>
            <w:r w:rsidR="000E6B6F">
              <w:rPr>
                <w:rFonts w:ascii="Times New Roman" w:eastAsia="Times New Roman" w:hAnsi="Times New Roman" w:cs="Times New Roman"/>
                <w:sz w:val="24"/>
                <w:szCs w:val="24"/>
                <w:lang w:val="lt-LT" w:eastAsia="lt-LT"/>
              </w:rPr>
              <w:t xml:space="preserve">remonto </w:t>
            </w:r>
            <w:r w:rsidR="00E21C50">
              <w:rPr>
                <w:rFonts w:ascii="Times New Roman" w:eastAsia="Times New Roman" w:hAnsi="Times New Roman" w:cs="Times New Roman"/>
                <w:sz w:val="24"/>
                <w:szCs w:val="24"/>
                <w:lang w:val="lt-LT" w:eastAsia="lt-LT"/>
              </w:rPr>
              <w:t xml:space="preserve">detalizavimas nėra tikslingas. </w:t>
            </w:r>
          </w:p>
        </w:tc>
      </w:tr>
      <w:tr w:rsidR="00815103" w:rsidRPr="005C5220" w14:paraId="74AB2EF6" w14:textId="77777777" w:rsidTr="007F1E38">
        <w:trPr>
          <w:trHeight w:val="1174"/>
        </w:trPr>
        <w:tc>
          <w:tcPr>
            <w:tcW w:w="708" w:type="dxa"/>
          </w:tcPr>
          <w:p w14:paraId="0266FAF5" w14:textId="77777777" w:rsidR="00815103" w:rsidRDefault="00815103" w:rsidP="00815103">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2.2.</w:t>
            </w:r>
          </w:p>
        </w:tc>
        <w:tc>
          <w:tcPr>
            <w:tcW w:w="6164" w:type="dxa"/>
          </w:tcPr>
          <w:p w14:paraId="43B63E34" w14:textId="77777777" w:rsidR="00815103" w:rsidRPr="008873B2" w:rsidRDefault="00815103" w:rsidP="00815103">
            <w:pPr>
              <w:autoSpaceDE w:val="0"/>
              <w:autoSpaceDN w:val="0"/>
              <w:adjustRightInd w:val="0"/>
              <w:spacing w:after="0" w:line="240" w:lineRule="auto"/>
              <w:jc w:val="both"/>
              <w:rPr>
                <w:szCs w:val="24"/>
                <w:lang w:val="lt-LT"/>
              </w:rPr>
            </w:pPr>
            <w:r>
              <w:rPr>
                <w:rFonts w:ascii="Times New Roman" w:hAnsi="Times New Roman" w:cs="Times New Roman"/>
                <w:color w:val="000000"/>
                <w:sz w:val="24"/>
                <w:szCs w:val="24"/>
                <w:lang w:val="lt-LT"/>
              </w:rPr>
              <w:t>PFSA 62.2 punkte nustatytą terminą prailginti iki 50 dienų.</w:t>
            </w:r>
          </w:p>
        </w:tc>
        <w:tc>
          <w:tcPr>
            <w:tcW w:w="7303" w:type="dxa"/>
          </w:tcPr>
          <w:p w14:paraId="417D2962" w14:textId="77777777" w:rsidR="00815103" w:rsidRPr="009A5B80" w:rsidRDefault="00815103" w:rsidP="00815103">
            <w:pPr>
              <w:spacing w:after="0" w:line="240" w:lineRule="auto"/>
              <w:ind w:firstLine="391"/>
              <w:jc w:val="both"/>
              <w:rPr>
                <w:rFonts w:ascii="Times New Roman" w:eastAsia="Times New Roman" w:hAnsi="Times New Roman" w:cs="Times New Roman"/>
                <w:b/>
                <w:sz w:val="24"/>
                <w:szCs w:val="24"/>
                <w:lang w:val="lt-LT" w:eastAsia="lt-LT"/>
              </w:rPr>
            </w:pPr>
            <w:r w:rsidRPr="009A5B80">
              <w:rPr>
                <w:rFonts w:ascii="Times New Roman" w:eastAsia="Times New Roman" w:hAnsi="Times New Roman" w:cs="Times New Roman"/>
                <w:b/>
                <w:sz w:val="24"/>
                <w:szCs w:val="24"/>
                <w:lang w:val="lt-LT" w:eastAsia="lt-LT"/>
              </w:rPr>
              <w:t>Neatsižvelg</w:t>
            </w:r>
            <w:r>
              <w:rPr>
                <w:rFonts w:ascii="Times New Roman" w:eastAsia="Times New Roman" w:hAnsi="Times New Roman" w:cs="Times New Roman"/>
                <w:b/>
                <w:sz w:val="24"/>
                <w:szCs w:val="24"/>
                <w:lang w:val="lt-LT" w:eastAsia="lt-LT"/>
              </w:rPr>
              <w:t>t</w:t>
            </w:r>
            <w:r w:rsidRPr="009A5B80">
              <w:rPr>
                <w:rFonts w:ascii="Times New Roman" w:eastAsia="Times New Roman" w:hAnsi="Times New Roman" w:cs="Times New Roman"/>
                <w:b/>
                <w:sz w:val="24"/>
                <w:szCs w:val="24"/>
                <w:lang w:val="lt-LT" w:eastAsia="lt-LT"/>
              </w:rPr>
              <w:t>a.</w:t>
            </w:r>
          </w:p>
          <w:p w14:paraId="79A972EF" w14:textId="7F0B7F11" w:rsidR="00815103" w:rsidRPr="005964D1" w:rsidRDefault="005964D1" w:rsidP="00815103">
            <w:pPr>
              <w:spacing w:after="0" w:line="240" w:lineRule="auto"/>
              <w:ind w:firstLine="391"/>
              <w:jc w:val="both"/>
              <w:rPr>
                <w:rFonts w:ascii="Times New Roman" w:eastAsia="Times New Roman" w:hAnsi="Times New Roman" w:cs="Times New Roman"/>
                <w:sz w:val="24"/>
                <w:szCs w:val="24"/>
                <w:lang w:val="lt-LT" w:eastAsia="lt-LT"/>
              </w:rPr>
            </w:pPr>
            <w:r w:rsidRPr="005964D1">
              <w:rPr>
                <w:rFonts w:ascii="Times New Roman" w:eastAsia="Times New Roman" w:hAnsi="Times New Roman" w:cs="Times New Roman"/>
                <w:sz w:val="24"/>
                <w:szCs w:val="24"/>
                <w:lang w:val="lt-LT" w:eastAsia="lt-LT"/>
              </w:rPr>
              <w:t xml:space="preserve">Siekiant suvaldyti rizikas dėl </w:t>
            </w:r>
            <w:r>
              <w:rPr>
                <w:rFonts w:ascii="Times New Roman" w:eastAsia="Times New Roman" w:hAnsi="Times New Roman" w:cs="Times New Roman"/>
                <w:sz w:val="24"/>
                <w:szCs w:val="24"/>
                <w:lang w:val="lt-LT" w:eastAsia="lt-LT"/>
              </w:rPr>
              <w:t xml:space="preserve">projektų parengtumo ir paraiškų vertinimo trukmės, </w:t>
            </w:r>
            <w:r>
              <w:rPr>
                <w:rFonts w:ascii="Times New Roman" w:hAnsi="Times New Roman" w:cs="Times New Roman"/>
                <w:color w:val="000000"/>
                <w:sz w:val="24"/>
                <w:szCs w:val="24"/>
                <w:lang w:val="lt-LT"/>
              </w:rPr>
              <w:t xml:space="preserve">62.2 punkte nustatyto termino prailginimas iki 50 dienų nėra </w:t>
            </w:r>
            <w:r w:rsidR="009A710D">
              <w:rPr>
                <w:rFonts w:ascii="Times New Roman" w:hAnsi="Times New Roman" w:cs="Times New Roman"/>
                <w:color w:val="000000"/>
                <w:sz w:val="24"/>
                <w:szCs w:val="24"/>
                <w:lang w:val="lt-LT"/>
              </w:rPr>
              <w:t>tikslingas</w:t>
            </w:r>
            <w:r>
              <w:rPr>
                <w:rFonts w:ascii="Times New Roman" w:hAnsi="Times New Roman" w:cs="Times New Roman"/>
                <w:color w:val="000000"/>
                <w:sz w:val="24"/>
                <w:szCs w:val="24"/>
                <w:lang w:val="lt-LT"/>
              </w:rPr>
              <w:t>.</w:t>
            </w:r>
          </w:p>
        </w:tc>
      </w:tr>
      <w:tr w:rsidR="00815103" w:rsidRPr="005C5220" w14:paraId="27F91DBF" w14:textId="77777777" w:rsidTr="008873B2">
        <w:trPr>
          <w:trHeight w:val="362"/>
        </w:trPr>
        <w:tc>
          <w:tcPr>
            <w:tcW w:w="708" w:type="dxa"/>
          </w:tcPr>
          <w:p w14:paraId="6635822F" w14:textId="77777777" w:rsidR="00815103" w:rsidRDefault="00815103" w:rsidP="00815103">
            <w:pPr>
              <w:spacing w:after="0" w:line="240" w:lineRule="auto"/>
              <w:jc w:val="center"/>
              <w:rPr>
                <w:rFonts w:ascii="Times New Roman" w:hAnsi="Times New Roman" w:cs="Times New Roman"/>
                <w:sz w:val="24"/>
                <w:szCs w:val="24"/>
                <w:lang w:val="lt-LT" w:eastAsia="lt-LT"/>
              </w:rPr>
            </w:pPr>
            <w:bookmarkStart w:id="1" w:name="OLE_LINK1"/>
            <w:bookmarkStart w:id="2" w:name="OLE_LINK2"/>
            <w:r>
              <w:rPr>
                <w:rFonts w:ascii="Times New Roman" w:hAnsi="Times New Roman" w:cs="Times New Roman"/>
                <w:sz w:val="24"/>
                <w:szCs w:val="24"/>
                <w:lang w:val="lt-LT" w:eastAsia="lt-LT"/>
              </w:rPr>
              <w:t>3.</w:t>
            </w:r>
          </w:p>
        </w:tc>
        <w:tc>
          <w:tcPr>
            <w:tcW w:w="13467" w:type="dxa"/>
            <w:gridSpan w:val="2"/>
          </w:tcPr>
          <w:p w14:paraId="2DD037CA" w14:textId="77777777" w:rsidR="00815103" w:rsidRPr="00EE43FD" w:rsidRDefault="008116CA" w:rsidP="00815103">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Lietuvos prekybos, pramonės ir amatų rūmų asociacija </w:t>
            </w:r>
            <w:r w:rsidR="00C35F01" w:rsidRPr="00EE43FD">
              <w:rPr>
                <w:rFonts w:ascii="Times New Roman" w:hAnsi="Times New Roman" w:cs="Times New Roman"/>
                <w:b/>
                <w:bCs/>
                <w:sz w:val="24"/>
                <w:szCs w:val="24"/>
                <w:lang w:val="lt-LT"/>
              </w:rPr>
              <w:t>2017 m. balandžio 1</w:t>
            </w:r>
            <w:r w:rsidR="00C35F01">
              <w:rPr>
                <w:rFonts w:ascii="Times New Roman" w:hAnsi="Times New Roman" w:cs="Times New Roman"/>
                <w:b/>
                <w:bCs/>
                <w:sz w:val="24"/>
                <w:szCs w:val="24"/>
                <w:lang w:val="lt-LT"/>
              </w:rPr>
              <w:t>2</w:t>
            </w:r>
            <w:r w:rsidR="00C35F01" w:rsidRPr="00EE43FD">
              <w:rPr>
                <w:rFonts w:ascii="Times New Roman" w:hAnsi="Times New Roman" w:cs="Times New Roman"/>
                <w:b/>
                <w:bCs/>
                <w:sz w:val="24"/>
                <w:szCs w:val="24"/>
                <w:lang w:val="lt-LT"/>
              </w:rPr>
              <w:t xml:space="preserve"> d. raštas Nr. </w:t>
            </w:r>
            <w:r w:rsidR="00C35F01">
              <w:rPr>
                <w:rFonts w:ascii="Times New Roman" w:hAnsi="Times New Roman" w:cs="Times New Roman"/>
                <w:b/>
                <w:bCs/>
                <w:sz w:val="24"/>
                <w:szCs w:val="24"/>
                <w:lang w:val="lt-LT"/>
              </w:rPr>
              <w:t xml:space="preserve">P7/17-047 </w:t>
            </w:r>
          </w:p>
        </w:tc>
      </w:tr>
      <w:tr w:rsidR="008116CA" w:rsidRPr="005C5220" w14:paraId="2BF9F4A9" w14:textId="77777777" w:rsidTr="007F1E38">
        <w:trPr>
          <w:trHeight w:val="1174"/>
        </w:trPr>
        <w:tc>
          <w:tcPr>
            <w:tcW w:w="708" w:type="dxa"/>
          </w:tcPr>
          <w:p w14:paraId="1AF6E84E" w14:textId="77777777" w:rsidR="008116CA" w:rsidRDefault="008116CA" w:rsidP="00815103">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3.1.</w:t>
            </w:r>
          </w:p>
        </w:tc>
        <w:tc>
          <w:tcPr>
            <w:tcW w:w="6164" w:type="dxa"/>
          </w:tcPr>
          <w:p w14:paraId="0D3AA97E" w14:textId="77777777" w:rsidR="008116CA" w:rsidRPr="00EE43FD" w:rsidRDefault="00C35F01" w:rsidP="00815103">
            <w:pPr>
              <w:widowControl w:val="0"/>
              <w:tabs>
                <w:tab w:val="left" w:pos="756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Prašoma užtikrinti, kad </w:t>
            </w:r>
            <w:r w:rsidR="00D95980">
              <w:rPr>
                <w:rFonts w:ascii="Times New Roman" w:hAnsi="Times New Roman" w:cs="Times New Roman"/>
                <w:sz w:val="24"/>
                <w:szCs w:val="24"/>
                <w:lang w:val="lt-LT"/>
              </w:rPr>
              <w:t>finansuojami projektai</w:t>
            </w:r>
            <w:r w:rsidR="00683272">
              <w:rPr>
                <w:rFonts w:ascii="Times New Roman" w:hAnsi="Times New Roman" w:cs="Times New Roman"/>
                <w:sz w:val="24"/>
                <w:szCs w:val="24"/>
                <w:lang w:val="lt-LT"/>
              </w:rPr>
              <w:t xml:space="preserve"> leistų spręsti perdavimo tinklo problemas, susijusias su perdavimo tinklo trumpalaikiais „pereinamaisiais“ įtampos kryčiais ir voltažo mirksėjimais, o šių problemų sprendimas būtų numatytas PFSA.</w:t>
            </w:r>
          </w:p>
        </w:tc>
        <w:tc>
          <w:tcPr>
            <w:tcW w:w="7303" w:type="dxa"/>
          </w:tcPr>
          <w:p w14:paraId="02A8C50D" w14:textId="77777777" w:rsidR="00F634C3" w:rsidRDefault="00F634C3" w:rsidP="00F634C3">
            <w:pPr>
              <w:spacing w:after="0" w:line="240" w:lineRule="auto"/>
              <w:ind w:firstLine="391"/>
              <w:jc w:val="both"/>
              <w:rPr>
                <w:rFonts w:ascii="Times New Roman" w:eastAsia="Times New Roman" w:hAnsi="Times New Roman" w:cs="Times New Roman"/>
                <w:b/>
                <w:bCs/>
                <w:sz w:val="24"/>
                <w:szCs w:val="24"/>
                <w:lang w:val="lt-LT" w:eastAsia="lt-LT"/>
              </w:rPr>
            </w:pPr>
            <w:r w:rsidRPr="00D1219A">
              <w:rPr>
                <w:rFonts w:ascii="Times New Roman" w:eastAsia="Times New Roman" w:hAnsi="Times New Roman" w:cs="Times New Roman"/>
                <w:b/>
                <w:bCs/>
                <w:sz w:val="24"/>
                <w:szCs w:val="24"/>
                <w:lang w:val="lt-LT" w:eastAsia="lt-LT"/>
              </w:rPr>
              <w:t>Neatsižvelgta.</w:t>
            </w:r>
          </w:p>
          <w:p w14:paraId="1D4CFF0D" w14:textId="2DBE900B" w:rsidR="00F634C3" w:rsidRPr="00D1219A" w:rsidRDefault="00F634C3" w:rsidP="00F634C3">
            <w:pPr>
              <w:spacing w:after="0" w:line="240" w:lineRule="auto"/>
              <w:ind w:firstLine="391"/>
              <w:jc w:val="both"/>
              <w:rPr>
                <w:rFonts w:ascii="Times New Roman" w:eastAsia="Times New Roman" w:hAnsi="Times New Roman" w:cs="Times New Roman"/>
                <w:sz w:val="24"/>
                <w:szCs w:val="24"/>
                <w:lang w:val="lt-LT" w:eastAsia="lt-LT"/>
              </w:rPr>
            </w:pPr>
            <w:r w:rsidRPr="00D1219A">
              <w:rPr>
                <w:rFonts w:ascii="Times New Roman" w:eastAsia="Times New Roman" w:hAnsi="Times New Roman" w:cs="Times New Roman"/>
                <w:caps/>
                <w:sz w:val="24"/>
                <w:szCs w:val="24"/>
                <w:lang w:val="lt-LT" w:eastAsia="lt-LT"/>
              </w:rPr>
              <w:t xml:space="preserve">06.3.1-LVPA-V-103 </w:t>
            </w:r>
            <w:r w:rsidRPr="00D1219A">
              <w:rPr>
                <w:rFonts w:ascii="Times New Roman" w:eastAsia="Times New Roman" w:hAnsi="Times New Roman" w:cs="Times New Roman"/>
                <w:sz w:val="24"/>
                <w:szCs w:val="24"/>
                <w:lang w:val="lt-LT" w:eastAsia="lt-LT"/>
              </w:rPr>
              <w:t>priemonės „E</w:t>
            </w:r>
            <w:r w:rsidRPr="00D1219A">
              <w:rPr>
                <w:rFonts w:ascii="Times New Roman" w:eastAsia="Times New Roman" w:hAnsi="Times New Roman" w:cs="Times New Roman"/>
                <w:color w:val="000000"/>
                <w:sz w:val="24"/>
                <w:szCs w:val="24"/>
                <w:lang w:val="lt-LT" w:eastAsia="lt-LT"/>
              </w:rPr>
              <w:t>lektros perdavimo sistemos modernizavimas ir plėtra</w:t>
            </w:r>
            <w:r w:rsidRPr="00D1219A">
              <w:rPr>
                <w:rFonts w:ascii="Times New Roman" w:eastAsia="Times New Roman" w:hAnsi="Times New Roman" w:cs="Times New Roman"/>
                <w:caps/>
                <w:sz w:val="24"/>
                <w:szCs w:val="24"/>
                <w:lang w:val="lt-LT" w:eastAsia="lt-LT"/>
              </w:rPr>
              <w:t>“</w:t>
            </w:r>
            <w:r w:rsidRPr="00D1219A">
              <w:rPr>
                <w:rFonts w:ascii="Times New Roman" w:eastAsia="Times New Roman" w:hAnsi="Times New Roman" w:cs="Times New Roman"/>
                <w:b/>
                <w:bCs/>
                <w:caps/>
                <w:sz w:val="24"/>
                <w:szCs w:val="24"/>
                <w:lang w:val="lt-LT" w:eastAsia="lt-LT"/>
              </w:rPr>
              <w:t xml:space="preserve"> </w:t>
            </w:r>
            <w:r w:rsidRPr="00D1219A">
              <w:rPr>
                <w:rFonts w:ascii="Times New Roman" w:eastAsia="Times New Roman" w:hAnsi="Times New Roman" w:cs="Times New Roman"/>
                <w:sz w:val="24"/>
                <w:szCs w:val="24"/>
                <w:lang w:val="lt-LT" w:eastAsia="lt-LT"/>
              </w:rPr>
              <w:t>tikslas – diegiant pažangiosios infrastruktūros elementus sudaryti tinkamas prielaidas tarpvalstybinių elektros jungčių integravimui ir viso elektros perdavimo tinklo efektyviam darbui, sumažinti energetinę priklausomybę ir užtikrinti ilgalaikį Lietuvos energetinį saugumą, būtinas sąlygas efektyviam elektros rinkos veikimui, elektros vartojimui bei užtikrinti konkurencingą energetikos sektorių.</w:t>
            </w:r>
          </w:p>
          <w:p w14:paraId="2DE15FC1" w14:textId="77777777" w:rsidR="00F634C3" w:rsidRPr="00D1219A" w:rsidRDefault="00F634C3" w:rsidP="00F634C3">
            <w:pPr>
              <w:tabs>
                <w:tab w:val="left" w:pos="1134"/>
                <w:tab w:val="left" w:pos="1276"/>
              </w:tabs>
              <w:spacing w:after="0" w:line="240" w:lineRule="auto"/>
              <w:ind w:firstLine="426"/>
              <w:jc w:val="both"/>
              <w:rPr>
                <w:rFonts w:ascii="Times New Roman" w:hAnsi="Times New Roman" w:cs="Times New Roman"/>
                <w:sz w:val="24"/>
                <w:szCs w:val="24"/>
                <w:lang w:val="lt-LT"/>
              </w:rPr>
            </w:pPr>
            <w:r w:rsidRPr="00D1219A">
              <w:rPr>
                <w:rFonts w:ascii="Times New Roman" w:hAnsi="Times New Roman" w:cs="Times New Roman"/>
                <w:sz w:val="24"/>
                <w:szCs w:val="24"/>
                <w:lang w:val="lt-LT"/>
              </w:rPr>
              <w:t xml:space="preserve">Pažymime, kad </w:t>
            </w:r>
            <w:r w:rsidRPr="00D1219A">
              <w:rPr>
                <w:rFonts w:ascii="Times New Roman" w:hAnsi="Times New Roman" w:cs="Times New Roman"/>
                <w:spacing w:val="-2"/>
                <w:sz w:val="24"/>
                <w:szCs w:val="24"/>
                <w:lang w:val="lt-LT"/>
              </w:rPr>
              <w:t xml:space="preserve">perdavimo tinklų operatorius </w:t>
            </w:r>
            <w:r w:rsidRPr="00D1219A">
              <w:rPr>
                <w:rFonts w:ascii="Times New Roman" w:hAnsi="Times New Roman" w:cs="Times New Roman"/>
                <w:sz w:val="24"/>
                <w:szCs w:val="24"/>
                <w:lang w:val="lt-LT"/>
              </w:rPr>
              <w:t xml:space="preserve">elektros energiją tiekia ir persiunčia vadovaudamasis Europos Sąjungos standartais (Europos standartas EN 50160:2010), teisės aktais ir sutartiniais įsipareigojimais. Vadovaujantis </w:t>
            </w:r>
            <w:r w:rsidRPr="00D1219A">
              <w:rPr>
                <w:rFonts w:ascii="Times New Roman" w:hAnsi="Times New Roman" w:cs="Times New Roman"/>
                <w:color w:val="000000"/>
                <w:sz w:val="24"/>
                <w:szCs w:val="24"/>
                <w:lang w:val="lt-LT"/>
              </w:rPr>
              <w:t xml:space="preserve">Elektros energijos tiekimo ir naudojimo taisyklėmis, patvirtintomis </w:t>
            </w:r>
            <w:r w:rsidRPr="00D1219A">
              <w:rPr>
                <w:rFonts w:ascii="Times New Roman" w:hAnsi="Times New Roman" w:cs="Times New Roman"/>
                <w:sz w:val="24"/>
                <w:szCs w:val="24"/>
                <w:lang w:val="lt-LT"/>
              </w:rPr>
              <w:t xml:space="preserve">Lietuvos Respublikos energetikos ministro </w:t>
            </w:r>
            <w:r w:rsidRPr="00D1219A">
              <w:rPr>
                <w:rFonts w:ascii="Times New Roman" w:hAnsi="Times New Roman" w:cs="Times New Roman"/>
                <w:sz w:val="24"/>
                <w:szCs w:val="24"/>
                <w:lang w:val="lt-LT" w:eastAsia="lt-LT"/>
              </w:rPr>
              <w:t>2010 m. vasario 11 d. įsakymu Nr. 1-38 „Dėl</w:t>
            </w:r>
            <w:r w:rsidRPr="00D1219A">
              <w:rPr>
                <w:rFonts w:ascii="Times New Roman" w:hAnsi="Times New Roman" w:cs="Times New Roman"/>
                <w:color w:val="000000"/>
                <w:sz w:val="24"/>
                <w:szCs w:val="24"/>
                <w:lang w:val="lt-LT"/>
              </w:rPr>
              <w:t xml:space="preserve"> Elektros energijos tiekimo ir naudojimo taisyklių patvirtinimo“ </w:t>
            </w:r>
            <w:r w:rsidRPr="00D1219A">
              <w:rPr>
                <w:rFonts w:ascii="Times New Roman" w:hAnsi="Times New Roman" w:cs="Times New Roman"/>
                <w:sz w:val="24"/>
                <w:szCs w:val="24"/>
                <w:lang w:val="lt-LT"/>
              </w:rPr>
              <w:t>(toliau – Taisyklės) e</w:t>
            </w:r>
            <w:r w:rsidRPr="00D1219A">
              <w:rPr>
                <w:rFonts w:ascii="Times New Roman" w:hAnsi="Times New Roman" w:cs="Times New Roman"/>
                <w:color w:val="000000"/>
                <w:sz w:val="24"/>
                <w:szCs w:val="24"/>
                <w:lang w:val="lt-LT"/>
              </w:rPr>
              <w:t xml:space="preserve">lektros energijos persiuntimo paslaugos ir elektros energijos kokybė turi atitikti sutarties, Lietuvos standarto LST EN 50160:2010 „Viešųjų elektros tinklų įtampos charakteristikos“ (su jo pakeitimais) (toliau – Standartas) ir kitų kokybę reglamentuojančių norminių teisės aktų nustatytus reikalavimus. </w:t>
            </w:r>
            <w:r w:rsidRPr="00D1219A">
              <w:rPr>
                <w:rFonts w:ascii="Times New Roman" w:hAnsi="Times New Roman" w:cs="Times New Roman"/>
                <w:sz w:val="24"/>
                <w:szCs w:val="24"/>
                <w:lang w:val="lt-LT"/>
              </w:rPr>
              <w:t xml:space="preserve">Standartas paaiškina ir tiksliai apibrėžia pagrindines tinklo naudotojų maitinimo punktų įtampos charakteristikas žemos, vidutinės ir aukštos įtampos elektros tinkluose, esant normaliam tinklo režimui. Standarte aprašomos įtampos ribos arba vertės, kurios negali būti viršytos, tačiau jame nevertinamos galimos avarinės situacijos, kurių pasekmes patiria ir elektros vartotojai. Trumpalaikių įtampos kryčių (iki 3 min.) ir staigiųjų „pereinamųjų“ (iki 100 milisekundžių ir mažiau) įtampos kryčių, vadovaujantis Standarto nuostatomis, pasiskirstymas gali būti nereguliarus ir priklauso nuo įvairių aplinkybių. Pažymėtina, kad šiuo metu vadovaujantis Taisyklių </w:t>
            </w:r>
            <w:r w:rsidRPr="00D1219A">
              <w:rPr>
                <w:rFonts w:ascii="Times New Roman" w:hAnsi="Times New Roman" w:cs="Times New Roman"/>
                <w:color w:val="000000"/>
                <w:sz w:val="24"/>
                <w:szCs w:val="24"/>
                <w:lang w:val="lt-LT"/>
              </w:rPr>
              <w:t xml:space="preserve">56.8 papunkčiu </w:t>
            </w:r>
            <w:r w:rsidRPr="00D1219A">
              <w:rPr>
                <w:rFonts w:ascii="Times New Roman" w:hAnsi="Times New Roman" w:cs="Times New Roman"/>
                <w:sz w:val="24"/>
                <w:szCs w:val="24"/>
                <w:lang w:val="lt-LT"/>
              </w:rPr>
              <w:t xml:space="preserve">vartotojas turi pareigą  numatyti </w:t>
            </w:r>
            <w:r w:rsidRPr="00D1219A">
              <w:rPr>
                <w:rFonts w:ascii="Times New Roman" w:hAnsi="Times New Roman" w:cs="Times New Roman"/>
                <w:sz w:val="24"/>
                <w:szCs w:val="24"/>
                <w:lang w:val="lt-LT"/>
              </w:rPr>
              <w:lastRenderedPageBreak/>
              <w:t xml:space="preserve">ir </w:t>
            </w:r>
            <w:r w:rsidRPr="00D1219A">
              <w:rPr>
                <w:rFonts w:ascii="Times New Roman" w:hAnsi="Times New Roman" w:cs="Times New Roman"/>
                <w:color w:val="000000"/>
                <w:sz w:val="24"/>
                <w:szCs w:val="24"/>
                <w:lang w:val="lt-LT"/>
              </w:rPr>
              <w:t>įgyvendinti priemones galimiems nuostoliams dėl elektros energijos persiuntimo ir tiekimo nutraukimo sumažinti ar jų išvengti, įskaitant ir priemones dėl Standarte nurodytų staigiųjų trumpųjų, ilgųjų įtampos kryčių ir pertrūkių.</w:t>
            </w:r>
          </w:p>
          <w:p w14:paraId="3A233446" w14:textId="77777777" w:rsidR="00F634C3" w:rsidRPr="00D1219A" w:rsidRDefault="00F634C3" w:rsidP="00F634C3">
            <w:pPr>
              <w:spacing w:after="0" w:line="240" w:lineRule="auto"/>
              <w:ind w:firstLine="391"/>
              <w:jc w:val="both"/>
              <w:rPr>
                <w:rFonts w:ascii="Times New Roman" w:eastAsia="Times New Roman" w:hAnsi="Times New Roman" w:cs="Times New Roman"/>
                <w:sz w:val="24"/>
                <w:szCs w:val="24"/>
                <w:lang w:val="lt-LT" w:eastAsia="lt-LT"/>
              </w:rPr>
            </w:pPr>
            <w:r w:rsidRPr="00D1219A">
              <w:rPr>
                <w:rFonts w:ascii="Times New Roman" w:eastAsia="Times New Roman" w:hAnsi="Times New Roman" w:cs="Times New Roman"/>
                <w:sz w:val="24"/>
                <w:szCs w:val="24"/>
                <w:lang w:val="lt-LT" w:eastAsia="lt-LT"/>
              </w:rPr>
              <w:t>Energetikos ministerija, atsižvelgiant į vykstančius didelius pokyčius pramonės įmonių technologiniuose procesuose ir kad ateityje bus naudojama vis daugiau įrangos, reikalingos sudėtingiems gamybos procesams vykdyti, kuriems bus  reikalinga aukšta įtampos kokybė, ketina inicijuoti diskusiją/svarstymą dėl galimybės kitus patikimumo ir paslaugų kokybės rodiklius perdavimo ir skirstomųjų tinklų operatoriams.</w:t>
            </w:r>
          </w:p>
          <w:p w14:paraId="05DA8A58" w14:textId="73992E01" w:rsidR="00F62F52" w:rsidRPr="009B5887" w:rsidRDefault="00F634C3" w:rsidP="00F634C3">
            <w:pPr>
              <w:spacing w:after="0" w:line="240" w:lineRule="auto"/>
              <w:ind w:firstLine="391"/>
              <w:jc w:val="both"/>
              <w:rPr>
                <w:rFonts w:ascii="Times New Roman" w:eastAsia="Times New Roman" w:hAnsi="Times New Roman" w:cs="Times New Roman"/>
                <w:sz w:val="24"/>
                <w:szCs w:val="24"/>
                <w:lang w:val="lt-LT" w:eastAsia="lt-LT"/>
              </w:rPr>
            </w:pPr>
            <w:r w:rsidRPr="00D1219A">
              <w:rPr>
                <w:rFonts w:ascii="Times New Roman" w:hAnsi="Times New Roman" w:cs="Times New Roman"/>
                <w:sz w:val="24"/>
                <w:szCs w:val="24"/>
                <w:lang w:val="lt-LT"/>
              </w:rPr>
              <w:t xml:space="preserve">Tik po diskusijos ir gilesnės analizės dėl elektros energijos persiuntimo kokybės gerinimo (nustatant papildomus reikalavimus), Energetikos ministerija svarstytų galimybę numatyti papildomas </w:t>
            </w:r>
            <w:r>
              <w:rPr>
                <w:rFonts w:ascii="Times New Roman" w:hAnsi="Times New Roman" w:cs="Times New Roman"/>
                <w:sz w:val="24"/>
                <w:szCs w:val="24"/>
                <w:lang w:val="lt-LT"/>
              </w:rPr>
              <w:t>veiklas</w:t>
            </w:r>
            <w:r w:rsidRPr="00D1219A">
              <w:rPr>
                <w:rFonts w:ascii="Times New Roman" w:hAnsi="Times New Roman" w:cs="Times New Roman"/>
                <w:sz w:val="24"/>
                <w:szCs w:val="24"/>
                <w:lang w:val="lt-LT"/>
              </w:rPr>
              <w:t xml:space="preserve">, kurios galėtų būti įtrauktos į </w:t>
            </w:r>
            <w:r>
              <w:rPr>
                <w:rFonts w:ascii="Times New Roman" w:hAnsi="Times New Roman" w:cs="Times New Roman"/>
                <w:color w:val="000000"/>
                <w:sz w:val="24"/>
                <w:szCs w:val="24"/>
                <w:lang w:val="lt-LT"/>
              </w:rPr>
              <w:t>PFSA</w:t>
            </w:r>
            <w:r w:rsidRPr="00D1219A">
              <w:rPr>
                <w:rFonts w:ascii="Times New Roman" w:hAnsi="Times New Roman" w:cs="Times New Roman"/>
                <w:sz w:val="24"/>
                <w:szCs w:val="24"/>
                <w:lang w:val="lt-LT"/>
              </w:rPr>
              <w:t>.</w:t>
            </w:r>
          </w:p>
        </w:tc>
      </w:tr>
    </w:tbl>
    <w:p w14:paraId="67B29B76" w14:textId="77777777" w:rsidR="009527C3" w:rsidRPr="005C5220" w:rsidRDefault="009527C3" w:rsidP="00453A43">
      <w:pPr>
        <w:spacing w:line="240" w:lineRule="auto"/>
        <w:rPr>
          <w:sz w:val="24"/>
          <w:szCs w:val="24"/>
          <w:lang w:val="lt-LT"/>
        </w:rPr>
      </w:pPr>
      <w:bookmarkStart w:id="3" w:name="_GoBack"/>
      <w:bookmarkEnd w:id="1"/>
      <w:bookmarkEnd w:id="2"/>
      <w:bookmarkEnd w:id="3"/>
    </w:p>
    <w:sectPr w:rsidR="009527C3" w:rsidRPr="005C5220" w:rsidSect="00416893">
      <w:pgSz w:w="15840" w:h="12240" w:orient="landscape"/>
      <w:pgMar w:top="1134" w:right="956" w:bottom="333"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23D06" w14:textId="77777777" w:rsidR="0045050D" w:rsidRDefault="0045050D" w:rsidP="000C062A">
      <w:pPr>
        <w:spacing w:after="0" w:line="240" w:lineRule="auto"/>
      </w:pPr>
      <w:r>
        <w:separator/>
      </w:r>
    </w:p>
  </w:endnote>
  <w:endnote w:type="continuationSeparator" w:id="0">
    <w:p w14:paraId="1EB5D629" w14:textId="77777777" w:rsidR="0045050D" w:rsidRDefault="0045050D" w:rsidP="000C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11771" w14:textId="77777777" w:rsidR="0045050D" w:rsidRDefault="0045050D" w:rsidP="000C062A">
      <w:pPr>
        <w:spacing w:after="0" w:line="240" w:lineRule="auto"/>
      </w:pPr>
      <w:r>
        <w:separator/>
      </w:r>
    </w:p>
  </w:footnote>
  <w:footnote w:type="continuationSeparator" w:id="0">
    <w:p w14:paraId="52E61603" w14:textId="77777777" w:rsidR="0045050D" w:rsidRDefault="0045050D" w:rsidP="000C0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38A9"/>
    <w:multiLevelType w:val="hybridMultilevel"/>
    <w:tmpl w:val="FBE63F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A6F60"/>
    <w:multiLevelType w:val="hybridMultilevel"/>
    <w:tmpl w:val="69041452"/>
    <w:lvl w:ilvl="0" w:tplc="95F0B454">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2E0D5C8B"/>
    <w:multiLevelType w:val="hybridMultilevel"/>
    <w:tmpl w:val="FBE63F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F91D37"/>
    <w:multiLevelType w:val="multilevel"/>
    <w:tmpl w:val="4D14630E"/>
    <w:lvl w:ilvl="0">
      <w:start w:val="1"/>
      <w:numFmt w:val="decimal"/>
      <w:lvlText w:val="%1."/>
      <w:lvlJc w:val="left"/>
      <w:pPr>
        <w:ind w:left="3054" w:hanging="360"/>
      </w:pPr>
      <w:rPr>
        <w:rFonts w:ascii="Times New Roman" w:hAnsi="Times New Roman" w:cs="Times New Roman" w:hint="default"/>
        <w:strike w:val="0"/>
      </w:rPr>
    </w:lvl>
    <w:lvl w:ilvl="1">
      <w:start w:val="1"/>
      <w:numFmt w:val="decimal"/>
      <w:isLgl/>
      <w:lvlText w:val="%1.%2."/>
      <w:lvlJc w:val="left"/>
      <w:pPr>
        <w:ind w:left="22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D6F5A3D"/>
    <w:multiLevelType w:val="multilevel"/>
    <w:tmpl w:val="4EE28B92"/>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BC1405"/>
    <w:multiLevelType w:val="hybridMultilevel"/>
    <w:tmpl w:val="DFD22DC6"/>
    <w:lvl w:ilvl="0" w:tplc="A6A4572E">
      <w:start w:val="1"/>
      <w:numFmt w:val="decimal"/>
      <w:lvlText w:val="%1."/>
      <w:lvlJc w:val="left"/>
      <w:pPr>
        <w:ind w:left="1571" w:hanging="360"/>
      </w:pPr>
      <w:rPr>
        <w:rFonts w:cs="Times New Roman"/>
        <w:i w:val="0"/>
        <w:iCs w:val="0"/>
      </w:rPr>
    </w:lvl>
    <w:lvl w:ilvl="1" w:tplc="04270019">
      <w:start w:val="1"/>
      <w:numFmt w:val="lowerLetter"/>
      <w:lvlText w:val="%2."/>
      <w:lvlJc w:val="left"/>
      <w:pPr>
        <w:ind w:left="2291" w:hanging="360"/>
      </w:pPr>
      <w:rPr>
        <w:rFonts w:cs="Times New Roman"/>
      </w:rPr>
    </w:lvl>
    <w:lvl w:ilvl="2" w:tplc="0427001B">
      <w:start w:val="1"/>
      <w:numFmt w:val="lowerRoman"/>
      <w:lvlText w:val="%3."/>
      <w:lvlJc w:val="right"/>
      <w:pPr>
        <w:ind w:left="3011" w:hanging="180"/>
      </w:pPr>
      <w:rPr>
        <w:rFonts w:cs="Times New Roman"/>
      </w:rPr>
    </w:lvl>
    <w:lvl w:ilvl="3" w:tplc="0427000F">
      <w:start w:val="1"/>
      <w:numFmt w:val="decimal"/>
      <w:lvlText w:val="%4."/>
      <w:lvlJc w:val="left"/>
      <w:pPr>
        <w:ind w:left="3731" w:hanging="360"/>
      </w:pPr>
      <w:rPr>
        <w:rFonts w:cs="Times New Roman"/>
      </w:rPr>
    </w:lvl>
    <w:lvl w:ilvl="4" w:tplc="04270019">
      <w:start w:val="1"/>
      <w:numFmt w:val="lowerLetter"/>
      <w:lvlText w:val="%5."/>
      <w:lvlJc w:val="left"/>
      <w:pPr>
        <w:ind w:left="4451" w:hanging="360"/>
      </w:pPr>
      <w:rPr>
        <w:rFonts w:cs="Times New Roman"/>
      </w:rPr>
    </w:lvl>
    <w:lvl w:ilvl="5" w:tplc="0427001B">
      <w:start w:val="1"/>
      <w:numFmt w:val="lowerRoman"/>
      <w:lvlText w:val="%6."/>
      <w:lvlJc w:val="right"/>
      <w:pPr>
        <w:ind w:left="5171" w:hanging="180"/>
      </w:pPr>
      <w:rPr>
        <w:rFonts w:cs="Times New Roman"/>
      </w:rPr>
    </w:lvl>
    <w:lvl w:ilvl="6" w:tplc="0427000F">
      <w:start w:val="1"/>
      <w:numFmt w:val="decimal"/>
      <w:lvlText w:val="%7."/>
      <w:lvlJc w:val="left"/>
      <w:pPr>
        <w:ind w:left="5891" w:hanging="360"/>
      </w:pPr>
      <w:rPr>
        <w:rFonts w:cs="Times New Roman"/>
      </w:rPr>
    </w:lvl>
    <w:lvl w:ilvl="7" w:tplc="04270019">
      <w:start w:val="1"/>
      <w:numFmt w:val="lowerLetter"/>
      <w:lvlText w:val="%8."/>
      <w:lvlJc w:val="left"/>
      <w:pPr>
        <w:ind w:left="6611" w:hanging="360"/>
      </w:pPr>
      <w:rPr>
        <w:rFonts w:cs="Times New Roman"/>
      </w:rPr>
    </w:lvl>
    <w:lvl w:ilvl="8" w:tplc="0427001B">
      <w:start w:val="1"/>
      <w:numFmt w:val="lowerRoman"/>
      <w:lvlText w:val="%9."/>
      <w:lvlJc w:val="right"/>
      <w:pPr>
        <w:ind w:left="7331" w:hanging="180"/>
      </w:pPr>
      <w:rPr>
        <w:rFonts w:cs="Times New Roman"/>
      </w:rPr>
    </w:lvl>
  </w:abstractNum>
  <w:abstractNum w:abstractNumId="6" w15:restartNumberingAfterBreak="0">
    <w:nsid w:val="72630D0C"/>
    <w:multiLevelType w:val="hybridMultilevel"/>
    <w:tmpl w:val="919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E2"/>
    <w:rsid w:val="00000BDB"/>
    <w:rsid w:val="00004980"/>
    <w:rsid w:val="00015936"/>
    <w:rsid w:val="000159F8"/>
    <w:rsid w:val="00015E13"/>
    <w:rsid w:val="00020A64"/>
    <w:rsid w:val="000229F0"/>
    <w:rsid w:val="00024100"/>
    <w:rsid w:val="000254FB"/>
    <w:rsid w:val="00026627"/>
    <w:rsid w:val="00026F24"/>
    <w:rsid w:val="0003612E"/>
    <w:rsid w:val="000405DA"/>
    <w:rsid w:val="00041B6E"/>
    <w:rsid w:val="00043838"/>
    <w:rsid w:val="00044015"/>
    <w:rsid w:val="00054773"/>
    <w:rsid w:val="000560F4"/>
    <w:rsid w:val="000604F6"/>
    <w:rsid w:val="000638D9"/>
    <w:rsid w:val="00064845"/>
    <w:rsid w:val="00065D89"/>
    <w:rsid w:val="00071CE4"/>
    <w:rsid w:val="000723E5"/>
    <w:rsid w:val="00077256"/>
    <w:rsid w:val="00083C23"/>
    <w:rsid w:val="00086087"/>
    <w:rsid w:val="00087C62"/>
    <w:rsid w:val="00096743"/>
    <w:rsid w:val="0009674C"/>
    <w:rsid w:val="000A0C2A"/>
    <w:rsid w:val="000A61D8"/>
    <w:rsid w:val="000A6E21"/>
    <w:rsid w:val="000B31E5"/>
    <w:rsid w:val="000B46B7"/>
    <w:rsid w:val="000B4980"/>
    <w:rsid w:val="000B4C0C"/>
    <w:rsid w:val="000B552E"/>
    <w:rsid w:val="000B74F4"/>
    <w:rsid w:val="000C062A"/>
    <w:rsid w:val="000C1F20"/>
    <w:rsid w:val="000C4235"/>
    <w:rsid w:val="000C6749"/>
    <w:rsid w:val="000C6E8D"/>
    <w:rsid w:val="000D25F4"/>
    <w:rsid w:val="000D2C24"/>
    <w:rsid w:val="000D50B7"/>
    <w:rsid w:val="000E02D6"/>
    <w:rsid w:val="000E3E3F"/>
    <w:rsid w:val="000E4CDE"/>
    <w:rsid w:val="000E5BDF"/>
    <w:rsid w:val="000E6B6F"/>
    <w:rsid w:val="000E6C6B"/>
    <w:rsid w:val="000F0132"/>
    <w:rsid w:val="000F2318"/>
    <w:rsid w:val="000F758D"/>
    <w:rsid w:val="001005EE"/>
    <w:rsid w:val="00101804"/>
    <w:rsid w:val="00107051"/>
    <w:rsid w:val="00110C5A"/>
    <w:rsid w:val="00114406"/>
    <w:rsid w:val="001149A5"/>
    <w:rsid w:val="00115010"/>
    <w:rsid w:val="00115F74"/>
    <w:rsid w:val="001222D9"/>
    <w:rsid w:val="001250DA"/>
    <w:rsid w:val="0012677C"/>
    <w:rsid w:val="0012789B"/>
    <w:rsid w:val="00130705"/>
    <w:rsid w:val="00134048"/>
    <w:rsid w:val="00134C5A"/>
    <w:rsid w:val="00140789"/>
    <w:rsid w:val="001415B7"/>
    <w:rsid w:val="0014664E"/>
    <w:rsid w:val="00146731"/>
    <w:rsid w:val="0015231C"/>
    <w:rsid w:val="001534E7"/>
    <w:rsid w:val="001537EF"/>
    <w:rsid w:val="001566EB"/>
    <w:rsid w:val="00161935"/>
    <w:rsid w:val="00161946"/>
    <w:rsid w:val="00163671"/>
    <w:rsid w:val="001654CA"/>
    <w:rsid w:val="00165E9D"/>
    <w:rsid w:val="0017316D"/>
    <w:rsid w:val="001749A8"/>
    <w:rsid w:val="00181CBA"/>
    <w:rsid w:val="00185C8E"/>
    <w:rsid w:val="00185FCB"/>
    <w:rsid w:val="00186822"/>
    <w:rsid w:val="00187CF9"/>
    <w:rsid w:val="00194AA8"/>
    <w:rsid w:val="00195383"/>
    <w:rsid w:val="00195CE8"/>
    <w:rsid w:val="00196CE3"/>
    <w:rsid w:val="001A1E91"/>
    <w:rsid w:val="001A447B"/>
    <w:rsid w:val="001A61DB"/>
    <w:rsid w:val="001A6841"/>
    <w:rsid w:val="001B1B3C"/>
    <w:rsid w:val="001B29D9"/>
    <w:rsid w:val="001B4AF5"/>
    <w:rsid w:val="001B4BFB"/>
    <w:rsid w:val="001B5751"/>
    <w:rsid w:val="001B5F11"/>
    <w:rsid w:val="001C108C"/>
    <w:rsid w:val="001C3C2C"/>
    <w:rsid w:val="001C599D"/>
    <w:rsid w:val="001D220B"/>
    <w:rsid w:val="001D540A"/>
    <w:rsid w:val="001D6323"/>
    <w:rsid w:val="001D7390"/>
    <w:rsid w:val="001D7782"/>
    <w:rsid w:val="001E53EE"/>
    <w:rsid w:val="00200DBE"/>
    <w:rsid w:val="00201682"/>
    <w:rsid w:val="00205B0D"/>
    <w:rsid w:val="00205C08"/>
    <w:rsid w:val="00205F03"/>
    <w:rsid w:val="00210D8A"/>
    <w:rsid w:val="0021224C"/>
    <w:rsid w:val="00214A6D"/>
    <w:rsid w:val="002150E7"/>
    <w:rsid w:val="00216C48"/>
    <w:rsid w:val="0021778C"/>
    <w:rsid w:val="00221076"/>
    <w:rsid w:val="0023091A"/>
    <w:rsid w:val="00234CDA"/>
    <w:rsid w:val="0023507A"/>
    <w:rsid w:val="00235094"/>
    <w:rsid w:val="00246108"/>
    <w:rsid w:val="00246FF9"/>
    <w:rsid w:val="002471D1"/>
    <w:rsid w:val="00247785"/>
    <w:rsid w:val="00250110"/>
    <w:rsid w:val="00250A5B"/>
    <w:rsid w:val="00251ED9"/>
    <w:rsid w:val="00252627"/>
    <w:rsid w:val="002533FA"/>
    <w:rsid w:val="002535C3"/>
    <w:rsid w:val="00255892"/>
    <w:rsid w:val="0025674E"/>
    <w:rsid w:val="00263CB1"/>
    <w:rsid w:val="002641DD"/>
    <w:rsid w:val="002644C3"/>
    <w:rsid w:val="0026512C"/>
    <w:rsid w:val="00265AB6"/>
    <w:rsid w:val="00265F12"/>
    <w:rsid w:val="00272853"/>
    <w:rsid w:val="00273275"/>
    <w:rsid w:val="00275A70"/>
    <w:rsid w:val="00276008"/>
    <w:rsid w:val="0028248D"/>
    <w:rsid w:val="002837A2"/>
    <w:rsid w:val="00294509"/>
    <w:rsid w:val="00294673"/>
    <w:rsid w:val="0029499F"/>
    <w:rsid w:val="002A0899"/>
    <w:rsid w:val="002A388C"/>
    <w:rsid w:val="002A3ECF"/>
    <w:rsid w:val="002A6EB2"/>
    <w:rsid w:val="002B6664"/>
    <w:rsid w:val="002C3D4E"/>
    <w:rsid w:val="002C3F84"/>
    <w:rsid w:val="002C6158"/>
    <w:rsid w:val="002C6E7E"/>
    <w:rsid w:val="002D0384"/>
    <w:rsid w:val="002D1069"/>
    <w:rsid w:val="002D279C"/>
    <w:rsid w:val="002D28EE"/>
    <w:rsid w:val="002D2E09"/>
    <w:rsid w:val="002D48D3"/>
    <w:rsid w:val="002D7604"/>
    <w:rsid w:val="002D7927"/>
    <w:rsid w:val="002E03F2"/>
    <w:rsid w:val="002E10B7"/>
    <w:rsid w:val="002E2467"/>
    <w:rsid w:val="002E43EB"/>
    <w:rsid w:val="002F0DF6"/>
    <w:rsid w:val="002F0F5E"/>
    <w:rsid w:val="002F43D2"/>
    <w:rsid w:val="002F49AB"/>
    <w:rsid w:val="002F52A2"/>
    <w:rsid w:val="002F5B78"/>
    <w:rsid w:val="002F7851"/>
    <w:rsid w:val="00300503"/>
    <w:rsid w:val="00303ED5"/>
    <w:rsid w:val="00307E70"/>
    <w:rsid w:val="0031373B"/>
    <w:rsid w:val="003137F5"/>
    <w:rsid w:val="003146A1"/>
    <w:rsid w:val="00317071"/>
    <w:rsid w:val="003222AD"/>
    <w:rsid w:val="003224E5"/>
    <w:rsid w:val="00326F77"/>
    <w:rsid w:val="00327DD8"/>
    <w:rsid w:val="00333720"/>
    <w:rsid w:val="0033539F"/>
    <w:rsid w:val="00342843"/>
    <w:rsid w:val="00342FEC"/>
    <w:rsid w:val="003464F4"/>
    <w:rsid w:val="0035060A"/>
    <w:rsid w:val="00352A1A"/>
    <w:rsid w:val="0035308F"/>
    <w:rsid w:val="003535E3"/>
    <w:rsid w:val="00353884"/>
    <w:rsid w:val="0035507E"/>
    <w:rsid w:val="003606CC"/>
    <w:rsid w:val="00362084"/>
    <w:rsid w:val="00366636"/>
    <w:rsid w:val="00367D69"/>
    <w:rsid w:val="00370FEE"/>
    <w:rsid w:val="00373A27"/>
    <w:rsid w:val="00374E44"/>
    <w:rsid w:val="0037632E"/>
    <w:rsid w:val="003818C2"/>
    <w:rsid w:val="003832B5"/>
    <w:rsid w:val="003836BE"/>
    <w:rsid w:val="00384600"/>
    <w:rsid w:val="0038687D"/>
    <w:rsid w:val="00390B65"/>
    <w:rsid w:val="00393BB0"/>
    <w:rsid w:val="003A226E"/>
    <w:rsid w:val="003A5B9C"/>
    <w:rsid w:val="003A7BB5"/>
    <w:rsid w:val="003B2F0A"/>
    <w:rsid w:val="003C75BA"/>
    <w:rsid w:val="003D1710"/>
    <w:rsid w:val="003D245C"/>
    <w:rsid w:val="003D292B"/>
    <w:rsid w:val="003D365D"/>
    <w:rsid w:val="003D450B"/>
    <w:rsid w:val="003D4529"/>
    <w:rsid w:val="003D49E4"/>
    <w:rsid w:val="003E13A3"/>
    <w:rsid w:val="003F03C8"/>
    <w:rsid w:val="003F54BA"/>
    <w:rsid w:val="003F7656"/>
    <w:rsid w:val="0040032E"/>
    <w:rsid w:val="0040265A"/>
    <w:rsid w:val="0041104B"/>
    <w:rsid w:val="0041109F"/>
    <w:rsid w:val="00412D34"/>
    <w:rsid w:val="00416893"/>
    <w:rsid w:val="00423B92"/>
    <w:rsid w:val="004246A0"/>
    <w:rsid w:val="00430006"/>
    <w:rsid w:val="004324F3"/>
    <w:rsid w:val="00432A82"/>
    <w:rsid w:val="00433004"/>
    <w:rsid w:val="00434AD6"/>
    <w:rsid w:val="00436F27"/>
    <w:rsid w:val="00436FED"/>
    <w:rsid w:val="00437D5F"/>
    <w:rsid w:val="00441385"/>
    <w:rsid w:val="00441763"/>
    <w:rsid w:val="00442166"/>
    <w:rsid w:val="00442A69"/>
    <w:rsid w:val="00443B31"/>
    <w:rsid w:val="00444782"/>
    <w:rsid w:val="00447575"/>
    <w:rsid w:val="0045050D"/>
    <w:rsid w:val="004537B4"/>
    <w:rsid w:val="00453A43"/>
    <w:rsid w:val="00456395"/>
    <w:rsid w:val="004615C2"/>
    <w:rsid w:val="004630AC"/>
    <w:rsid w:val="00470584"/>
    <w:rsid w:val="004709B4"/>
    <w:rsid w:val="004733B1"/>
    <w:rsid w:val="00474BE6"/>
    <w:rsid w:val="00474F19"/>
    <w:rsid w:val="00475536"/>
    <w:rsid w:val="004837E4"/>
    <w:rsid w:val="00483EC0"/>
    <w:rsid w:val="00487CAD"/>
    <w:rsid w:val="004A01B8"/>
    <w:rsid w:val="004A0DAE"/>
    <w:rsid w:val="004A40B7"/>
    <w:rsid w:val="004A4DCA"/>
    <w:rsid w:val="004A5999"/>
    <w:rsid w:val="004A7F40"/>
    <w:rsid w:val="004B034A"/>
    <w:rsid w:val="004B2937"/>
    <w:rsid w:val="004B379B"/>
    <w:rsid w:val="004C60B0"/>
    <w:rsid w:val="004C6FB9"/>
    <w:rsid w:val="004C7E82"/>
    <w:rsid w:val="004D150D"/>
    <w:rsid w:val="004D37DA"/>
    <w:rsid w:val="004D7240"/>
    <w:rsid w:val="004E21D9"/>
    <w:rsid w:val="004F3C06"/>
    <w:rsid w:val="0050244C"/>
    <w:rsid w:val="00502B42"/>
    <w:rsid w:val="0050340F"/>
    <w:rsid w:val="00504329"/>
    <w:rsid w:val="00505D06"/>
    <w:rsid w:val="005113BD"/>
    <w:rsid w:val="0051424C"/>
    <w:rsid w:val="00515D51"/>
    <w:rsid w:val="005209A4"/>
    <w:rsid w:val="0052193A"/>
    <w:rsid w:val="00532E5D"/>
    <w:rsid w:val="0054081B"/>
    <w:rsid w:val="0054396F"/>
    <w:rsid w:val="00545270"/>
    <w:rsid w:val="00547108"/>
    <w:rsid w:val="00550356"/>
    <w:rsid w:val="00552821"/>
    <w:rsid w:val="00564D71"/>
    <w:rsid w:val="00565FD2"/>
    <w:rsid w:val="005663B0"/>
    <w:rsid w:val="005731C0"/>
    <w:rsid w:val="0057751E"/>
    <w:rsid w:val="00582AFA"/>
    <w:rsid w:val="005879B6"/>
    <w:rsid w:val="005964D1"/>
    <w:rsid w:val="0059673C"/>
    <w:rsid w:val="005A07B3"/>
    <w:rsid w:val="005A2727"/>
    <w:rsid w:val="005A6D9E"/>
    <w:rsid w:val="005A70FE"/>
    <w:rsid w:val="005A7B1F"/>
    <w:rsid w:val="005B0942"/>
    <w:rsid w:val="005B30D3"/>
    <w:rsid w:val="005B666C"/>
    <w:rsid w:val="005C037C"/>
    <w:rsid w:val="005C1606"/>
    <w:rsid w:val="005C3C29"/>
    <w:rsid w:val="005C5220"/>
    <w:rsid w:val="005C5423"/>
    <w:rsid w:val="005C574B"/>
    <w:rsid w:val="005D247B"/>
    <w:rsid w:val="005D4E6A"/>
    <w:rsid w:val="005E1751"/>
    <w:rsid w:val="005E1C3C"/>
    <w:rsid w:val="005E5877"/>
    <w:rsid w:val="005E60C2"/>
    <w:rsid w:val="005E7EC9"/>
    <w:rsid w:val="005F16BB"/>
    <w:rsid w:val="005F1C8E"/>
    <w:rsid w:val="005F1EF7"/>
    <w:rsid w:val="005F35B3"/>
    <w:rsid w:val="005F61A2"/>
    <w:rsid w:val="006010B2"/>
    <w:rsid w:val="006048E4"/>
    <w:rsid w:val="006065EF"/>
    <w:rsid w:val="0060716C"/>
    <w:rsid w:val="00610287"/>
    <w:rsid w:val="0061294D"/>
    <w:rsid w:val="006140FB"/>
    <w:rsid w:val="006141A9"/>
    <w:rsid w:val="00617B89"/>
    <w:rsid w:val="00621872"/>
    <w:rsid w:val="00623845"/>
    <w:rsid w:val="00624864"/>
    <w:rsid w:val="00626526"/>
    <w:rsid w:val="00630CA9"/>
    <w:rsid w:val="006405A8"/>
    <w:rsid w:val="00655B2C"/>
    <w:rsid w:val="006600B9"/>
    <w:rsid w:val="00662D11"/>
    <w:rsid w:val="00663DA6"/>
    <w:rsid w:val="00666ABA"/>
    <w:rsid w:val="00667803"/>
    <w:rsid w:val="00670021"/>
    <w:rsid w:val="00676B5D"/>
    <w:rsid w:val="00683272"/>
    <w:rsid w:val="0068423D"/>
    <w:rsid w:val="006920B3"/>
    <w:rsid w:val="00692456"/>
    <w:rsid w:val="00696256"/>
    <w:rsid w:val="006963B7"/>
    <w:rsid w:val="00696976"/>
    <w:rsid w:val="006A0E2D"/>
    <w:rsid w:val="006A267C"/>
    <w:rsid w:val="006A2E14"/>
    <w:rsid w:val="006A2EF3"/>
    <w:rsid w:val="006A496F"/>
    <w:rsid w:val="006A57D1"/>
    <w:rsid w:val="006A60C0"/>
    <w:rsid w:val="006B2B08"/>
    <w:rsid w:val="006B6365"/>
    <w:rsid w:val="006C7725"/>
    <w:rsid w:val="006D366D"/>
    <w:rsid w:val="006D4C7B"/>
    <w:rsid w:val="006E0B13"/>
    <w:rsid w:val="006E0B35"/>
    <w:rsid w:val="006E4AD3"/>
    <w:rsid w:val="006F42DD"/>
    <w:rsid w:val="006F779A"/>
    <w:rsid w:val="00700149"/>
    <w:rsid w:val="007117EE"/>
    <w:rsid w:val="007117F5"/>
    <w:rsid w:val="007159F6"/>
    <w:rsid w:val="00722343"/>
    <w:rsid w:val="007241D6"/>
    <w:rsid w:val="0072516C"/>
    <w:rsid w:val="007261E0"/>
    <w:rsid w:val="007263D0"/>
    <w:rsid w:val="00726FD7"/>
    <w:rsid w:val="00733DFD"/>
    <w:rsid w:val="00735A0B"/>
    <w:rsid w:val="00742D57"/>
    <w:rsid w:val="0074466E"/>
    <w:rsid w:val="00747CCA"/>
    <w:rsid w:val="00750F56"/>
    <w:rsid w:val="00752B54"/>
    <w:rsid w:val="007636DC"/>
    <w:rsid w:val="00763F9C"/>
    <w:rsid w:val="00764933"/>
    <w:rsid w:val="0076518D"/>
    <w:rsid w:val="00766883"/>
    <w:rsid w:val="00766BF0"/>
    <w:rsid w:val="00766F74"/>
    <w:rsid w:val="007708A7"/>
    <w:rsid w:val="0077727A"/>
    <w:rsid w:val="00777885"/>
    <w:rsid w:val="00777BB0"/>
    <w:rsid w:val="00780D7F"/>
    <w:rsid w:val="00780ED5"/>
    <w:rsid w:val="0078407A"/>
    <w:rsid w:val="0078596B"/>
    <w:rsid w:val="0079620A"/>
    <w:rsid w:val="007B16E2"/>
    <w:rsid w:val="007B17C8"/>
    <w:rsid w:val="007B1A21"/>
    <w:rsid w:val="007B743F"/>
    <w:rsid w:val="007B76BE"/>
    <w:rsid w:val="007B78CA"/>
    <w:rsid w:val="007C15A6"/>
    <w:rsid w:val="007C1CD2"/>
    <w:rsid w:val="007C5485"/>
    <w:rsid w:val="007C757F"/>
    <w:rsid w:val="007D22BE"/>
    <w:rsid w:val="007D278B"/>
    <w:rsid w:val="007D3B3D"/>
    <w:rsid w:val="007D54B1"/>
    <w:rsid w:val="007E0E07"/>
    <w:rsid w:val="007E1532"/>
    <w:rsid w:val="007E1B02"/>
    <w:rsid w:val="007E3E5C"/>
    <w:rsid w:val="007E5287"/>
    <w:rsid w:val="007E5BA9"/>
    <w:rsid w:val="007F1E38"/>
    <w:rsid w:val="007F3572"/>
    <w:rsid w:val="007F3821"/>
    <w:rsid w:val="007F57D6"/>
    <w:rsid w:val="007F6509"/>
    <w:rsid w:val="007F72B4"/>
    <w:rsid w:val="00804450"/>
    <w:rsid w:val="008045C2"/>
    <w:rsid w:val="008047B8"/>
    <w:rsid w:val="00805734"/>
    <w:rsid w:val="00805AD2"/>
    <w:rsid w:val="0080662E"/>
    <w:rsid w:val="00807D6A"/>
    <w:rsid w:val="008116CA"/>
    <w:rsid w:val="0081254F"/>
    <w:rsid w:val="00814ED4"/>
    <w:rsid w:val="00815103"/>
    <w:rsid w:val="00815D52"/>
    <w:rsid w:val="00817D3A"/>
    <w:rsid w:val="00820FE2"/>
    <w:rsid w:val="00822EE6"/>
    <w:rsid w:val="008237BB"/>
    <w:rsid w:val="00824723"/>
    <w:rsid w:val="008252F2"/>
    <w:rsid w:val="00827996"/>
    <w:rsid w:val="00827D00"/>
    <w:rsid w:val="00830624"/>
    <w:rsid w:val="008346B4"/>
    <w:rsid w:val="008354E8"/>
    <w:rsid w:val="00836981"/>
    <w:rsid w:val="00836E31"/>
    <w:rsid w:val="00837661"/>
    <w:rsid w:val="00843408"/>
    <w:rsid w:val="00843F7D"/>
    <w:rsid w:val="00845D66"/>
    <w:rsid w:val="00846466"/>
    <w:rsid w:val="008507D4"/>
    <w:rsid w:val="00852915"/>
    <w:rsid w:val="00852AEB"/>
    <w:rsid w:val="008552E5"/>
    <w:rsid w:val="008666E4"/>
    <w:rsid w:val="00866D23"/>
    <w:rsid w:val="008671F4"/>
    <w:rsid w:val="00870FF5"/>
    <w:rsid w:val="0087179E"/>
    <w:rsid w:val="00874156"/>
    <w:rsid w:val="008757B2"/>
    <w:rsid w:val="00883761"/>
    <w:rsid w:val="008873B2"/>
    <w:rsid w:val="0089170E"/>
    <w:rsid w:val="008942A3"/>
    <w:rsid w:val="008A004A"/>
    <w:rsid w:val="008A5EDB"/>
    <w:rsid w:val="008A605B"/>
    <w:rsid w:val="008A76B5"/>
    <w:rsid w:val="008B10AD"/>
    <w:rsid w:val="008B2E60"/>
    <w:rsid w:val="008B4BF6"/>
    <w:rsid w:val="008C19A7"/>
    <w:rsid w:val="008C42BF"/>
    <w:rsid w:val="008C6B01"/>
    <w:rsid w:val="008D0262"/>
    <w:rsid w:val="008D51F6"/>
    <w:rsid w:val="008D579F"/>
    <w:rsid w:val="008D7CA7"/>
    <w:rsid w:val="008E1B9E"/>
    <w:rsid w:val="008E57B3"/>
    <w:rsid w:val="008E71A6"/>
    <w:rsid w:val="008F0FA8"/>
    <w:rsid w:val="008F16CF"/>
    <w:rsid w:val="008F27A3"/>
    <w:rsid w:val="008F37F5"/>
    <w:rsid w:val="008F5F0D"/>
    <w:rsid w:val="008F73D6"/>
    <w:rsid w:val="008F74F0"/>
    <w:rsid w:val="00900AA8"/>
    <w:rsid w:val="00901841"/>
    <w:rsid w:val="009018A9"/>
    <w:rsid w:val="00902C40"/>
    <w:rsid w:val="00907C68"/>
    <w:rsid w:val="00911010"/>
    <w:rsid w:val="009118B2"/>
    <w:rsid w:val="00913B68"/>
    <w:rsid w:val="00914EA0"/>
    <w:rsid w:val="0091631A"/>
    <w:rsid w:val="00916410"/>
    <w:rsid w:val="009169D8"/>
    <w:rsid w:val="00916DEC"/>
    <w:rsid w:val="009172F0"/>
    <w:rsid w:val="00921937"/>
    <w:rsid w:val="00923934"/>
    <w:rsid w:val="009241CB"/>
    <w:rsid w:val="0093421D"/>
    <w:rsid w:val="00940730"/>
    <w:rsid w:val="00940A5E"/>
    <w:rsid w:val="00940C20"/>
    <w:rsid w:val="00941230"/>
    <w:rsid w:val="009467D1"/>
    <w:rsid w:val="00951284"/>
    <w:rsid w:val="00951ADD"/>
    <w:rsid w:val="009527C3"/>
    <w:rsid w:val="0095498A"/>
    <w:rsid w:val="00960508"/>
    <w:rsid w:val="00967098"/>
    <w:rsid w:val="00973C19"/>
    <w:rsid w:val="00974A4A"/>
    <w:rsid w:val="00982B65"/>
    <w:rsid w:val="00983543"/>
    <w:rsid w:val="00985D06"/>
    <w:rsid w:val="00986E00"/>
    <w:rsid w:val="00987879"/>
    <w:rsid w:val="009911A1"/>
    <w:rsid w:val="009911F9"/>
    <w:rsid w:val="00991670"/>
    <w:rsid w:val="0099622B"/>
    <w:rsid w:val="009A2D3C"/>
    <w:rsid w:val="009A4668"/>
    <w:rsid w:val="009A57CF"/>
    <w:rsid w:val="009A5B80"/>
    <w:rsid w:val="009A710D"/>
    <w:rsid w:val="009B1082"/>
    <w:rsid w:val="009B311F"/>
    <w:rsid w:val="009B381B"/>
    <w:rsid w:val="009B5887"/>
    <w:rsid w:val="009B59C5"/>
    <w:rsid w:val="009C029C"/>
    <w:rsid w:val="009C2263"/>
    <w:rsid w:val="009C26B3"/>
    <w:rsid w:val="009C331D"/>
    <w:rsid w:val="009D0318"/>
    <w:rsid w:val="009D038F"/>
    <w:rsid w:val="009D1F9F"/>
    <w:rsid w:val="009D2826"/>
    <w:rsid w:val="009D5513"/>
    <w:rsid w:val="009D73C0"/>
    <w:rsid w:val="009E15B5"/>
    <w:rsid w:val="009E5226"/>
    <w:rsid w:val="009E65DF"/>
    <w:rsid w:val="009E7CBE"/>
    <w:rsid w:val="009F4EC6"/>
    <w:rsid w:val="009F6D0C"/>
    <w:rsid w:val="009F747B"/>
    <w:rsid w:val="00A002C7"/>
    <w:rsid w:val="00A0128A"/>
    <w:rsid w:val="00A0155E"/>
    <w:rsid w:val="00A07F79"/>
    <w:rsid w:val="00A14785"/>
    <w:rsid w:val="00A15745"/>
    <w:rsid w:val="00A22B45"/>
    <w:rsid w:val="00A23DE0"/>
    <w:rsid w:val="00A25AED"/>
    <w:rsid w:val="00A27FA9"/>
    <w:rsid w:val="00A3009E"/>
    <w:rsid w:val="00A302B9"/>
    <w:rsid w:val="00A33653"/>
    <w:rsid w:val="00A35BFD"/>
    <w:rsid w:val="00A36C77"/>
    <w:rsid w:val="00A37A67"/>
    <w:rsid w:val="00A405FE"/>
    <w:rsid w:val="00A42F2C"/>
    <w:rsid w:val="00A50F01"/>
    <w:rsid w:val="00A518B1"/>
    <w:rsid w:val="00A523DF"/>
    <w:rsid w:val="00A532C5"/>
    <w:rsid w:val="00A54DA4"/>
    <w:rsid w:val="00A61DCD"/>
    <w:rsid w:val="00A61DEA"/>
    <w:rsid w:val="00A62625"/>
    <w:rsid w:val="00A672AD"/>
    <w:rsid w:val="00A71E2C"/>
    <w:rsid w:val="00A732ED"/>
    <w:rsid w:val="00A75C06"/>
    <w:rsid w:val="00A772A0"/>
    <w:rsid w:val="00A81555"/>
    <w:rsid w:val="00A824D4"/>
    <w:rsid w:val="00A837E2"/>
    <w:rsid w:val="00A9243A"/>
    <w:rsid w:val="00A93C71"/>
    <w:rsid w:val="00A941AB"/>
    <w:rsid w:val="00AA01E6"/>
    <w:rsid w:val="00AA2DF7"/>
    <w:rsid w:val="00AA3BF8"/>
    <w:rsid w:val="00AA4566"/>
    <w:rsid w:val="00AA4C6E"/>
    <w:rsid w:val="00AA7118"/>
    <w:rsid w:val="00AA7CA5"/>
    <w:rsid w:val="00AB6306"/>
    <w:rsid w:val="00AB670D"/>
    <w:rsid w:val="00AC02F1"/>
    <w:rsid w:val="00AC0BD8"/>
    <w:rsid w:val="00AC152D"/>
    <w:rsid w:val="00AC7624"/>
    <w:rsid w:val="00AD4F00"/>
    <w:rsid w:val="00AD66B7"/>
    <w:rsid w:val="00AE0E8C"/>
    <w:rsid w:val="00AE1752"/>
    <w:rsid w:val="00AE3482"/>
    <w:rsid w:val="00AE6C5A"/>
    <w:rsid w:val="00AF0A1E"/>
    <w:rsid w:val="00AF236A"/>
    <w:rsid w:val="00AF42CA"/>
    <w:rsid w:val="00AF5DC7"/>
    <w:rsid w:val="00AF67C8"/>
    <w:rsid w:val="00AF73A5"/>
    <w:rsid w:val="00B02975"/>
    <w:rsid w:val="00B02B45"/>
    <w:rsid w:val="00B04014"/>
    <w:rsid w:val="00B04681"/>
    <w:rsid w:val="00B05BED"/>
    <w:rsid w:val="00B075E8"/>
    <w:rsid w:val="00B12367"/>
    <w:rsid w:val="00B124ED"/>
    <w:rsid w:val="00B246D3"/>
    <w:rsid w:val="00B3771B"/>
    <w:rsid w:val="00B40EA8"/>
    <w:rsid w:val="00B40EE2"/>
    <w:rsid w:val="00B42BBB"/>
    <w:rsid w:val="00B43C4F"/>
    <w:rsid w:val="00B44B5D"/>
    <w:rsid w:val="00B44E56"/>
    <w:rsid w:val="00B46C0C"/>
    <w:rsid w:val="00B509FD"/>
    <w:rsid w:val="00B5117D"/>
    <w:rsid w:val="00B51182"/>
    <w:rsid w:val="00B54CDD"/>
    <w:rsid w:val="00B55D55"/>
    <w:rsid w:val="00B60D32"/>
    <w:rsid w:val="00B62432"/>
    <w:rsid w:val="00B65064"/>
    <w:rsid w:val="00B75602"/>
    <w:rsid w:val="00B80968"/>
    <w:rsid w:val="00B83C5E"/>
    <w:rsid w:val="00B9497E"/>
    <w:rsid w:val="00BA7479"/>
    <w:rsid w:val="00BB5511"/>
    <w:rsid w:val="00BB627F"/>
    <w:rsid w:val="00BC2AE1"/>
    <w:rsid w:val="00BC3739"/>
    <w:rsid w:val="00BC508E"/>
    <w:rsid w:val="00BD018C"/>
    <w:rsid w:val="00BD18A0"/>
    <w:rsid w:val="00BD5800"/>
    <w:rsid w:val="00BD6132"/>
    <w:rsid w:val="00BD6E8D"/>
    <w:rsid w:val="00BE1490"/>
    <w:rsid w:val="00BE1997"/>
    <w:rsid w:val="00BE3662"/>
    <w:rsid w:val="00BE608F"/>
    <w:rsid w:val="00BF275F"/>
    <w:rsid w:val="00BF3994"/>
    <w:rsid w:val="00BF62DD"/>
    <w:rsid w:val="00C025A7"/>
    <w:rsid w:val="00C05309"/>
    <w:rsid w:val="00C120DB"/>
    <w:rsid w:val="00C12201"/>
    <w:rsid w:val="00C12F74"/>
    <w:rsid w:val="00C142A5"/>
    <w:rsid w:val="00C147F5"/>
    <w:rsid w:val="00C20B0F"/>
    <w:rsid w:val="00C20ECE"/>
    <w:rsid w:val="00C222C3"/>
    <w:rsid w:val="00C26FA6"/>
    <w:rsid w:val="00C313C8"/>
    <w:rsid w:val="00C35F01"/>
    <w:rsid w:val="00C371F9"/>
    <w:rsid w:val="00C41330"/>
    <w:rsid w:val="00C4144E"/>
    <w:rsid w:val="00C46371"/>
    <w:rsid w:val="00C5042C"/>
    <w:rsid w:val="00C51541"/>
    <w:rsid w:val="00C51604"/>
    <w:rsid w:val="00C53880"/>
    <w:rsid w:val="00C53DAC"/>
    <w:rsid w:val="00C54911"/>
    <w:rsid w:val="00C56F14"/>
    <w:rsid w:val="00C622C6"/>
    <w:rsid w:val="00C66CC9"/>
    <w:rsid w:val="00C674E9"/>
    <w:rsid w:val="00C717D6"/>
    <w:rsid w:val="00C73D39"/>
    <w:rsid w:val="00C73E65"/>
    <w:rsid w:val="00C73F0D"/>
    <w:rsid w:val="00C75E50"/>
    <w:rsid w:val="00C762C2"/>
    <w:rsid w:val="00C7776D"/>
    <w:rsid w:val="00C80934"/>
    <w:rsid w:val="00C80947"/>
    <w:rsid w:val="00C87035"/>
    <w:rsid w:val="00C874AC"/>
    <w:rsid w:val="00C90812"/>
    <w:rsid w:val="00C90958"/>
    <w:rsid w:val="00C918F6"/>
    <w:rsid w:val="00C94841"/>
    <w:rsid w:val="00C95EA8"/>
    <w:rsid w:val="00C97D47"/>
    <w:rsid w:val="00CA40D4"/>
    <w:rsid w:val="00CA64F7"/>
    <w:rsid w:val="00CB0586"/>
    <w:rsid w:val="00CB1A24"/>
    <w:rsid w:val="00CB372A"/>
    <w:rsid w:val="00CB398B"/>
    <w:rsid w:val="00CB5136"/>
    <w:rsid w:val="00CB516A"/>
    <w:rsid w:val="00CC1254"/>
    <w:rsid w:val="00CC16F3"/>
    <w:rsid w:val="00CC482B"/>
    <w:rsid w:val="00CC5E15"/>
    <w:rsid w:val="00CC5E7D"/>
    <w:rsid w:val="00CD16DE"/>
    <w:rsid w:val="00CD1ADF"/>
    <w:rsid w:val="00CD3C3E"/>
    <w:rsid w:val="00CD4D1A"/>
    <w:rsid w:val="00CD64A1"/>
    <w:rsid w:val="00CF014A"/>
    <w:rsid w:val="00CF2680"/>
    <w:rsid w:val="00CF5E83"/>
    <w:rsid w:val="00CF5F3D"/>
    <w:rsid w:val="00D00E78"/>
    <w:rsid w:val="00D01720"/>
    <w:rsid w:val="00D06196"/>
    <w:rsid w:val="00D07BE4"/>
    <w:rsid w:val="00D10376"/>
    <w:rsid w:val="00D1219A"/>
    <w:rsid w:val="00D16004"/>
    <w:rsid w:val="00D170F7"/>
    <w:rsid w:val="00D17597"/>
    <w:rsid w:val="00D215B1"/>
    <w:rsid w:val="00D274FC"/>
    <w:rsid w:val="00D30CC5"/>
    <w:rsid w:val="00D33A15"/>
    <w:rsid w:val="00D35F09"/>
    <w:rsid w:val="00D3632B"/>
    <w:rsid w:val="00D41E22"/>
    <w:rsid w:val="00D45B79"/>
    <w:rsid w:val="00D50E66"/>
    <w:rsid w:val="00D53D90"/>
    <w:rsid w:val="00D629C8"/>
    <w:rsid w:val="00D63BC7"/>
    <w:rsid w:val="00D654E1"/>
    <w:rsid w:val="00D65EF0"/>
    <w:rsid w:val="00D66D6A"/>
    <w:rsid w:val="00D66F14"/>
    <w:rsid w:val="00D67E01"/>
    <w:rsid w:val="00D70686"/>
    <w:rsid w:val="00D80023"/>
    <w:rsid w:val="00D832DF"/>
    <w:rsid w:val="00D83393"/>
    <w:rsid w:val="00D83D51"/>
    <w:rsid w:val="00D84A11"/>
    <w:rsid w:val="00D934E8"/>
    <w:rsid w:val="00D93639"/>
    <w:rsid w:val="00D93B02"/>
    <w:rsid w:val="00D95980"/>
    <w:rsid w:val="00D967E3"/>
    <w:rsid w:val="00D972F5"/>
    <w:rsid w:val="00DA4ABE"/>
    <w:rsid w:val="00DA6A3E"/>
    <w:rsid w:val="00DA7976"/>
    <w:rsid w:val="00DA7C4F"/>
    <w:rsid w:val="00DC0935"/>
    <w:rsid w:val="00DC39AD"/>
    <w:rsid w:val="00DC6733"/>
    <w:rsid w:val="00DC6857"/>
    <w:rsid w:val="00DC74FF"/>
    <w:rsid w:val="00DD1ED7"/>
    <w:rsid w:val="00DD6069"/>
    <w:rsid w:val="00DD69DA"/>
    <w:rsid w:val="00DE6CC9"/>
    <w:rsid w:val="00DF3B16"/>
    <w:rsid w:val="00DF5CB9"/>
    <w:rsid w:val="00DF60AB"/>
    <w:rsid w:val="00DF6624"/>
    <w:rsid w:val="00DF6C2A"/>
    <w:rsid w:val="00DF6E4E"/>
    <w:rsid w:val="00E01DA7"/>
    <w:rsid w:val="00E058B1"/>
    <w:rsid w:val="00E1099E"/>
    <w:rsid w:val="00E12FA2"/>
    <w:rsid w:val="00E14DD3"/>
    <w:rsid w:val="00E160FE"/>
    <w:rsid w:val="00E16378"/>
    <w:rsid w:val="00E21C50"/>
    <w:rsid w:val="00E25D8C"/>
    <w:rsid w:val="00E26378"/>
    <w:rsid w:val="00E27073"/>
    <w:rsid w:val="00E336D2"/>
    <w:rsid w:val="00E34560"/>
    <w:rsid w:val="00E41ED9"/>
    <w:rsid w:val="00E42BE9"/>
    <w:rsid w:val="00E5327E"/>
    <w:rsid w:val="00E649D4"/>
    <w:rsid w:val="00E67F5C"/>
    <w:rsid w:val="00E70744"/>
    <w:rsid w:val="00E744A9"/>
    <w:rsid w:val="00E830D0"/>
    <w:rsid w:val="00E86ACF"/>
    <w:rsid w:val="00E87303"/>
    <w:rsid w:val="00E92A4D"/>
    <w:rsid w:val="00E94FC8"/>
    <w:rsid w:val="00E96DED"/>
    <w:rsid w:val="00EA70ED"/>
    <w:rsid w:val="00EB58A9"/>
    <w:rsid w:val="00EB697B"/>
    <w:rsid w:val="00EB79BC"/>
    <w:rsid w:val="00EC4B26"/>
    <w:rsid w:val="00EC5889"/>
    <w:rsid w:val="00EC7051"/>
    <w:rsid w:val="00EC7E7C"/>
    <w:rsid w:val="00ED16FE"/>
    <w:rsid w:val="00ED3E03"/>
    <w:rsid w:val="00ED450C"/>
    <w:rsid w:val="00EE09EF"/>
    <w:rsid w:val="00EE0CA2"/>
    <w:rsid w:val="00EE1D62"/>
    <w:rsid w:val="00EE26CB"/>
    <w:rsid w:val="00EE43FD"/>
    <w:rsid w:val="00EE7B6A"/>
    <w:rsid w:val="00EE7ED5"/>
    <w:rsid w:val="00EF1AF7"/>
    <w:rsid w:val="00EF522A"/>
    <w:rsid w:val="00EF5871"/>
    <w:rsid w:val="00F04147"/>
    <w:rsid w:val="00F10A31"/>
    <w:rsid w:val="00F15033"/>
    <w:rsid w:val="00F1748D"/>
    <w:rsid w:val="00F17C95"/>
    <w:rsid w:val="00F20150"/>
    <w:rsid w:val="00F20BD2"/>
    <w:rsid w:val="00F23AAF"/>
    <w:rsid w:val="00F31389"/>
    <w:rsid w:val="00F34B43"/>
    <w:rsid w:val="00F4418B"/>
    <w:rsid w:val="00F448C5"/>
    <w:rsid w:val="00F47A57"/>
    <w:rsid w:val="00F513F0"/>
    <w:rsid w:val="00F52561"/>
    <w:rsid w:val="00F536A9"/>
    <w:rsid w:val="00F53BDD"/>
    <w:rsid w:val="00F602F7"/>
    <w:rsid w:val="00F60E4E"/>
    <w:rsid w:val="00F625F9"/>
    <w:rsid w:val="00F62F52"/>
    <w:rsid w:val="00F634C3"/>
    <w:rsid w:val="00F6635B"/>
    <w:rsid w:val="00F7007E"/>
    <w:rsid w:val="00F719EA"/>
    <w:rsid w:val="00F745D0"/>
    <w:rsid w:val="00F77A99"/>
    <w:rsid w:val="00F8077F"/>
    <w:rsid w:val="00F84F7F"/>
    <w:rsid w:val="00F95C84"/>
    <w:rsid w:val="00FA6581"/>
    <w:rsid w:val="00FB0190"/>
    <w:rsid w:val="00FB1A12"/>
    <w:rsid w:val="00FB3467"/>
    <w:rsid w:val="00FB3A34"/>
    <w:rsid w:val="00FB432E"/>
    <w:rsid w:val="00FB4FCC"/>
    <w:rsid w:val="00FC1A0D"/>
    <w:rsid w:val="00FC1CD0"/>
    <w:rsid w:val="00FC6652"/>
    <w:rsid w:val="00FC7FCE"/>
    <w:rsid w:val="00FD253B"/>
    <w:rsid w:val="00FD3629"/>
    <w:rsid w:val="00FD5C2D"/>
    <w:rsid w:val="00FE0DE2"/>
    <w:rsid w:val="00FE2A26"/>
    <w:rsid w:val="00FE42D7"/>
    <w:rsid w:val="00FF04B0"/>
    <w:rsid w:val="00FF387B"/>
    <w:rsid w:val="00FF4F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E71E7"/>
  <w15:chartTrackingRefBased/>
  <w15:docId w15:val="{1CAACA7D-62D9-4F7B-A05E-14896A86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BED"/>
    <w:pPr>
      <w:spacing w:after="160" w:line="259"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ECF"/>
    <w:rPr>
      <w:color w:val="0563C1"/>
      <w:u w:val="single"/>
    </w:rPr>
  </w:style>
  <w:style w:type="paragraph" w:styleId="Header">
    <w:name w:val="header"/>
    <w:basedOn w:val="Normal"/>
    <w:link w:val="HeaderChar"/>
    <w:uiPriority w:val="99"/>
    <w:rsid w:val="000C06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C062A"/>
  </w:style>
  <w:style w:type="paragraph" w:styleId="Footer">
    <w:name w:val="footer"/>
    <w:basedOn w:val="Normal"/>
    <w:link w:val="FooterChar"/>
    <w:uiPriority w:val="99"/>
    <w:rsid w:val="000C06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C062A"/>
  </w:style>
  <w:style w:type="paragraph" w:styleId="EndnoteText">
    <w:name w:val="endnote text"/>
    <w:basedOn w:val="Normal"/>
    <w:link w:val="EndnoteTextChar"/>
    <w:uiPriority w:val="99"/>
    <w:semiHidden/>
    <w:rsid w:val="000C6749"/>
    <w:pPr>
      <w:spacing w:after="0" w:line="240" w:lineRule="auto"/>
    </w:pPr>
    <w:rPr>
      <w:sz w:val="20"/>
      <w:szCs w:val="20"/>
    </w:rPr>
  </w:style>
  <w:style w:type="character" w:customStyle="1" w:styleId="EndnoteTextChar">
    <w:name w:val="Endnote Text Char"/>
    <w:link w:val="EndnoteText"/>
    <w:uiPriority w:val="99"/>
    <w:semiHidden/>
    <w:locked/>
    <w:rsid w:val="000C6749"/>
    <w:rPr>
      <w:sz w:val="20"/>
      <w:szCs w:val="20"/>
    </w:rPr>
  </w:style>
  <w:style w:type="character" w:styleId="EndnoteReference">
    <w:name w:val="endnote reference"/>
    <w:uiPriority w:val="99"/>
    <w:semiHidden/>
    <w:rsid w:val="000C6749"/>
    <w:rPr>
      <w:vertAlign w:val="superscript"/>
    </w:rPr>
  </w:style>
  <w:style w:type="paragraph" w:styleId="BalloonText">
    <w:name w:val="Balloon Text"/>
    <w:basedOn w:val="Normal"/>
    <w:link w:val="BalloonTextChar"/>
    <w:uiPriority w:val="99"/>
    <w:semiHidden/>
    <w:rsid w:val="0062384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623845"/>
    <w:rPr>
      <w:rFonts w:ascii="Segoe UI" w:hAnsi="Segoe UI" w:cs="Segoe UI"/>
      <w:sz w:val="18"/>
      <w:szCs w:val="18"/>
    </w:rPr>
  </w:style>
  <w:style w:type="paragraph" w:styleId="ListParagraph">
    <w:name w:val="List Paragraph"/>
    <w:basedOn w:val="Normal"/>
    <w:uiPriority w:val="34"/>
    <w:qFormat/>
    <w:rsid w:val="00696976"/>
    <w:pPr>
      <w:ind w:left="720"/>
      <w:contextualSpacing/>
    </w:pPr>
    <w:rPr>
      <w:rFonts w:cs="Times New Roman"/>
      <w:lang w:val="lt-LT"/>
    </w:rPr>
  </w:style>
  <w:style w:type="character" w:customStyle="1" w:styleId="apple-converted-space">
    <w:name w:val="apple-converted-space"/>
    <w:basedOn w:val="DefaultParagraphFont"/>
    <w:rsid w:val="002C6158"/>
  </w:style>
  <w:style w:type="paragraph" w:styleId="CommentText">
    <w:name w:val="annotation text"/>
    <w:basedOn w:val="Normal"/>
    <w:link w:val="CommentTextChar"/>
    <w:semiHidden/>
    <w:rsid w:val="000B552E"/>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link w:val="CommentText"/>
    <w:locked/>
    <w:rsid w:val="000B552E"/>
    <w:rPr>
      <w:lang w:val="en-US" w:eastAsia="lt-LT" w:bidi="ar-SA"/>
    </w:rPr>
  </w:style>
  <w:style w:type="character" w:styleId="CommentReference">
    <w:name w:val="annotation reference"/>
    <w:uiPriority w:val="99"/>
    <w:semiHidden/>
    <w:unhideWhenUsed/>
    <w:rsid w:val="00CB398B"/>
    <w:rPr>
      <w:sz w:val="16"/>
      <w:szCs w:val="16"/>
    </w:rPr>
  </w:style>
  <w:style w:type="paragraph" w:styleId="CommentSubject">
    <w:name w:val="annotation subject"/>
    <w:basedOn w:val="CommentText"/>
    <w:next w:val="CommentText"/>
    <w:link w:val="CommentSubjectChar"/>
    <w:uiPriority w:val="99"/>
    <w:semiHidden/>
    <w:unhideWhenUsed/>
    <w:rsid w:val="00CB398B"/>
    <w:pPr>
      <w:spacing w:after="160" w:line="259" w:lineRule="auto"/>
      <w:ind w:firstLine="0"/>
      <w:jc w:val="left"/>
    </w:pPr>
    <w:rPr>
      <w:rFonts w:ascii="Calibri" w:eastAsia="Calibri" w:hAnsi="Calibri" w:cs="Calibri"/>
      <w:b/>
      <w:bCs/>
      <w:lang w:eastAsia="en-US"/>
    </w:rPr>
  </w:style>
  <w:style w:type="character" w:customStyle="1" w:styleId="CommentSubjectChar">
    <w:name w:val="Comment Subject Char"/>
    <w:link w:val="CommentSubject"/>
    <w:uiPriority w:val="99"/>
    <w:semiHidden/>
    <w:rsid w:val="00CB398B"/>
    <w:rPr>
      <w:rFonts w:cs="Calibri"/>
      <w:b/>
      <w:bCs/>
      <w:lang w:val="en-US" w:eastAsia="en-US" w:bidi="ar-SA"/>
    </w:rPr>
  </w:style>
  <w:style w:type="character" w:styleId="Strong">
    <w:name w:val="Strong"/>
    <w:uiPriority w:val="22"/>
    <w:qFormat/>
    <w:locked/>
    <w:rsid w:val="004A0DAE"/>
    <w:rPr>
      <w:b/>
      <w:bCs/>
    </w:rPr>
  </w:style>
  <w:style w:type="paragraph" w:styleId="BodyTextIndent">
    <w:name w:val="Body Text Indent"/>
    <w:basedOn w:val="Normal"/>
    <w:link w:val="BodyTextIndentChar"/>
    <w:uiPriority w:val="99"/>
    <w:semiHidden/>
    <w:unhideWhenUsed/>
    <w:rsid w:val="004A0DAE"/>
    <w:pPr>
      <w:spacing w:after="0" w:line="240" w:lineRule="auto"/>
      <w:ind w:firstLine="720"/>
      <w:jc w:val="both"/>
    </w:pPr>
    <w:rPr>
      <w:rFonts w:ascii="Times New Roman" w:eastAsia="Times New Roman" w:hAnsi="Times New Roman" w:cs="Times New Roman"/>
      <w:i/>
      <w:iCs/>
      <w:lang w:val="lt-LT" w:eastAsia="lt-LT"/>
    </w:rPr>
  </w:style>
  <w:style w:type="character" w:customStyle="1" w:styleId="BodyTextIndentChar">
    <w:name w:val="Body Text Indent Char"/>
    <w:link w:val="BodyTextIndent"/>
    <w:uiPriority w:val="99"/>
    <w:semiHidden/>
    <w:rsid w:val="004A0DAE"/>
    <w:rPr>
      <w:rFonts w:ascii="Times New Roman" w:eastAsia="Times New Roman" w:hAnsi="Times New Roman"/>
      <w:i/>
      <w:iCs/>
      <w:sz w:val="22"/>
      <w:szCs w:val="22"/>
    </w:rPr>
  </w:style>
  <w:style w:type="character" w:customStyle="1" w:styleId="normaltextrun">
    <w:name w:val="normaltextrun"/>
    <w:rsid w:val="00F52561"/>
  </w:style>
  <w:style w:type="character" w:customStyle="1" w:styleId="spellingerror">
    <w:name w:val="spellingerror"/>
    <w:rsid w:val="00F52561"/>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12677C"/>
    <w:pPr>
      <w:spacing w:after="0" w:line="240" w:lineRule="auto"/>
    </w:pPr>
    <w:rPr>
      <w:rFonts w:cs="Times New Roman"/>
      <w:sz w:val="20"/>
      <w:szCs w:val="20"/>
      <w:lang w:val="lt-LT"/>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12677C"/>
    <w:rPr>
      <w:lang w:eastAsia="en-US"/>
    </w:rPr>
  </w:style>
  <w:style w:type="character" w:styleId="FootnoteReference">
    <w:name w:val="footnote reference"/>
    <w:unhideWhenUsed/>
    <w:rsid w:val="0012677C"/>
    <w:rPr>
      <w:vertAlign w:val="superscript"/>
    </w:rPr>
  </w:style>
  <w:style w:type="character" w:customStyle="1" w:styleId="st">
    <w:name w:val="st"/>
    <w:rsid w:val="008873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8014">
      <w:bodyDiv w:val="1"/>
      <w:marLeft w:val="0"/>
      <w:marRight w:val="0"/>
      <w:marTop w:val="0"/>
      <w:marBottom w:val="0"/>
      <w:divBdr>
        <w:top w:val="none" w:sz="0" w:space="0" w:color="auto"/>
        <w:left w:val="none" w:sz="0" w:space="0" w:color="auto"/>
        <w:bottom w:val="none" w:sz="0" w:space="0" w:color="auto"/>
        <w:right w:val="none" w:sz="0" w:space="0" w:color="auto"/>
      </w:divBdr>
    </w:div>
    <w:div w:id="197665485">
      <w:bodyDiv w:val="1"/>
      <w:marLeft w:val="0"/>
      <w:marRight w:val="0"/>
      <w:marTop w:val="0"/>
      <w:marBottom w:val="0"/>
      <w:divBdr>
        <w:top w:val="none" w:sz="0" w:space="0" w:color="auto"/>
        <w:left w:val="none" w:sz="0" w:space="0" w:color="auto"/>
        <w:bottom w:val="none" w:sz="0" w:space="0" w:color="auto"/>
        <w:right w:val="none" w:sz="0" w:space="0" w:color="auto"/>
      </w:divBdr>
      <w:divsChild>
        <w:div w:id="1019040904">
          <w:marLeft w:val="0"/>
          <w:marRight w:val="0"/>
          <w:marTop w:val="0"/>
          <w:marBottom w:val="0"/>
          <w:divBdr>
            <w:top w:val="none" w:sz="0" w:space="0" w:color="auto"/>
            <w:left w:val="none" w:sz="0" w:space="0" w:color="auto"/>
            <w:bottom w:val="none" w:sz="0" w:space="0" w:color="auto"/>
            <w:right w:val="none" w:sz="0" w:space="0" w:color="auto"/>
          </w:divBdr>
          <w:divsChild>
            <w:div w:id="1345940546">
              <w:marLeft w:val="0"/>
              <w:marRight w:val="0"/>
              <w:marTop w:val="0"/>
              <w:marBottom w:val="0"/>
              <w:divBdr>
                <w:top w:val="none" w:sz="0" w:space="0" w:color="auto"/>
                <w:left w:val="none" w:sz="0" w:space="0" w:color="auto"/>
                <w:bottom w:val="none" w:sz="0" w:space="0" w:color="auto"/>
                <w:right w:val="none" w:sz="0" w:space="0" w:color="auto"/>
              </w:divBdr>
              <w:divsChild>
                <w:div w:id="16732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97905">
      <w:bodyDiv w:val="1"/>
      <w:marLeft w:val="0"/>
      <w:marRight w:val="0"/>
      <w:marTop w:val="0"/>
      <w:marBottom w:val="0"/>
      <w:divBdr>
        <w:top w:val="none" w:sz="0" w:space="0" w:color="auto"/>
        <w:left w:val="none" w:sz="0" w:space="0" w:color="auto"/>
        <w:bottom w:val="none" w:sz="0" w:space="0" w:color="auto"/>
        <w:right w:val="none" w:sz="0" w:space="0" w:color="auto"/>
      </w:divBdr>
    </w:div>
    <w:div w:id="783695775">
      <w:bodyDiv w:val="1"/>
      <w:marLeft w:val="0"/>
      <w:marRight w:val="0"/>
      <w:marTop w:val="0"/>
      <w:marBottom w:val="0"/>
      <w:divBdr>
        <w:top w:val="none" w:sz="0" w:space="0" w:color="auto"/>
        <w:left w:val="none" w:sz="0" w:space="0" w:color="auto"/>
        <w:bottom w:val="none" w:sz="0" w:space="0" w:color="auto"/>
        <w:right w:val="none" w:sz="0" w:space="0" w:color="auto"/>
      </w:divBdr>
    </w:div>
    <w:div w:id="831214507">
      <w:marLeft w:val="0"/>
      <w:marRight w:val="0"/>
      <w:marTop w:val="0"/>
      <w:marBottom w:val="0"/>
      <w:divBdr>
        <w:top w:val="none" w:sz="0" w:space="0" w:color="auto"/>
        <w:left w:val="none" w:sz="0" w:space="0" w:color="auto"/>
        <w:bottom w:val="none" w:sz="0" w:space="0" w:color="auto"/>
        <w:right w:val="none" w:sz="0" w:space="0" w:color="auto"/>
      </w:divBdr>
    </w:div>
    <w:div w:id="831214509">
      <w:marLeft w:val="0"/>
      <w:marRight w:val="0"/>
      <w:marTop w:val="0"/>
      <w:marBottom w:val="0"/>
      <w:divBdr>
        <w:top w:val="none" w:sz="0" w:space="0" w:color="auto"/>
        <w:left w:val="none" w:sz="0" w:space="0" w:color="auto"/>
        <w:bottom w:val="none" w:sz="0" w:space="0" w:color="auto"/>
        <w:right w:val="none" w:sz="0" w:space="0" w:color="auto"/>
      </w:divBdr>
      <w:divsChild>
        <w:div w:id="831214512">
          <w:marLeft w:val="0"/>
          <w:marRight w:val="0"/>
          <w:marTop w:val="0"/>
          <w:marBottom w:val="0"/>
          <w:divBdr>
            <w:top w:val="none" w:sz="0" w:space="0" w:color="auto"/>
            <w:left w:val="none" w:sz="0" w:space="0" w:color="auto"/>
            <w:bottom w:val="none" w:sz="0" w:space="0" w:color="auto"/>
            <w:right w:val="none" w:sz="0" w:space="0" w:color="auto"/>
          </w:divBdr>
        </w:div>
        <w:div w:id="831214513">
          <w:marLeft w:val="0"/>
          <w:marRight w:val="0"/>
          <w:marTop w:val="0"/>
          <w:marBottom w:val="0"/>
          <w:divBdr>
            <w:top w:val="none" w:sz="0" w:space="0" w:color="auto"/>
            <w:left w:val="none" w:sz="0" w:space="0" w:color="auto"/>
            <w:bottom w:val="none" w:sz="0" w:space="0" w:color="auto"/>
            <w:right w:val="none" w:sz="0" w:space="0" w:color="auto"/>
          </w:divBdr>
        </w:div>
      </w:divsChild>
    </w:div>
    <w:div w:id="831214510">
      <w:marLeft w:val="0"/>
      <w:marRight w:val="0"/>
      <w:marTop w:val="0"/>
      <w:marBottom w:val="0"/>
      <w:divBdr>
        <w:top w:val="none" w:sz="0" w:space="0" w:color="auto"/>
        <w:left w:val="none" w:sz="0" w:space="0" w:color="auto"/>
        <w:bottom w:val="none" w:sz="0" w:space="0" w:color="auto"/>
        <w:right w:val="none" w:sz="0" w:space="0" w:color="auto"/>
      </w:divBdr>
      <w:divsChild>
        <w:div w:id="831214508">
          <w:marLeft w:val="0"/>
          <w:marRight w:val="0"/>
          <w:marTop w:val="0"/>
          <w:marBottom w:val="0"/>
          <w:divBdr>
            <w:top w:val="none" w:sz="0" w:space="0" w:color="auto"/>
            <w:left w:val="none" w:sz="0" w:space="0" w:color="auto"/>
            <w:bottom w:val="none" w:sz="0" w:space="0" w:color="auto"/>
            <w:right w:val="none" w:sz="0" w:space="0" w:color="auto"/>
          </w:divBdr>
        </w:div>
        <w:div w:id="831214514">
          <w:marLeft w:val="0"/>
          <w:marRight w:val="0"/>
          <w:marTop w:val="0"/>
          <w:marBottom w:val="0"/>
          <w:divBdr>
            <w:top w:val="none" w:sz="0" w:space="0" w:color="auto"/>
            <w:left w:val="none" w:sz="0" w:space="0" w:color="auto"/>
            <w:bottom w:val="none" w:sz="0" w:space="0" w:color="auto"/>
            <w:right w:val="none" w:sz="0" w:space="0" w:color="auto"/>
          </w:divBdr>
        </w:div>
      </w:divsChild>
    </w:div>
    <w:div w:id="831214515">
      <w:marLeft w:val="0"/>
      <w:marRight w:val="0"/>
      <w:marTop w:val="0"/>
      <w:marBottom w:val="0"/>
      <w:divBdr>
        <w:top w:val="none" w:sz="0" w:space="0" w:color="auto"/>
        <w:left w:val="none" w:sz="0" w:space="0" w:color="auto"/>
        <w:bottom w:val="none" w:sz="0" w:space="0" w:color="auto"/>
        <w:right w:val="none" w:sz="0" w:space="0" w:color="auto"/>
      </w:divBdr>
    </w:div>
    <w:div w:id="831214516">
      <w:marLeft w:val="0"/>
      <w:marRight w:val="0"/>
      <w:marTop w:val="0"/>
      <w:marBottom w:val="0"/>
      <w:divBdr>
        <w:top w:val="none" w:sz="0" w:space="0" w:color="auto"/>
        <w:left w:val="none" w:sz="0" w:space="0" w:color="auto"/>
        <w:bottom w:val="none" w:sz="0" w:space="0" w:color="auto"/>
        <w:right w:val="none" w:sz="0" w:space="0" w:color="auto"/>
      </w:divBdr>
    </w:div>
    <w:div w:id="831214517">
      <w:marLeft w:val="0"/>
      <w:marRight w:val="0"/>
      <w:marTop w:val="0"/>
      <w:marBottom w:val="0"/>
      <w:divBdr>
        <w:top w:val="none" w:sz="0" w:space="0" w:color="auto"/>
        <w:left w:val="none" w:sz="0" w:space="0" w:color="auto"/>
        <w:bottom w:val="none" w:sz="0" w:space="0" w:color="auto"/>
        <w:right w:val="none" w:sz="0" w:space="0" w:color="auto"/>
      </w:divBdr>
    </w:div>
    <w:div w:id="831214518">
      <w:marLeft w:val="0"/>
      <w:marRight w:val="0"/>
      <w:marTop w:val="0"/>
      <w:marBottom w:val="0"/>
      <w:divBdr>
        <w:top w:val="none" w:sz="0" w:space="0" w:color="auto"/>
        <w:left w:val="none" w:sz="0" w:space="0" w:color="auto"/>
        <w:bottom w:val="none" w:sz="0" w:space="0" w:color="auto"/>
        <w:right w:val="none" w:sz="0" w:space="0" w:color="auto"/>
      </w:divBdr>
      <w:divsChild>
        <w:div w:id="831214511">
          <w:marLeft w:val="0"/>
          <w:marRight w:val="0"/>
          <w:marTop w:val="0"/>
          <w:marBottom w:val="0"/>
          <w:divBdr>
            <w:top w:val="none" w:sz="0" w:space="0" w:color="auto"/>
            <w:left w:val="none" w:sz="0" w:space="0" w:color="auto"/>
            <w:bottom w:val="none" w:sz="0" w:space="0" w:color="auto"/>
            <w:right w:val="none" w:sz="0" w:space="0" w:color="auto"/>
          </w:divBdr>
        </w:div>
      </w:divsChild>
    </w:div>
    <w:div w:id="831214519">
      <w:marLeft w:val="0"/>
      <w:marRight w:val="0"/>
      <w:marTop w:val="0"/>
      <w:marBottom w:val="0"/>
      <w:divBdr>
        <w:top w:val="none" w:sz="0" w:space="0" w:color="auto"/>
        <w:left w:val="none" w:sz="0" w:space="0" w:color="auto"/>
        <w:bottom w:val="none" w:sz="0" w:space="0" w:color="auto"/>
        <w:right w:val="none" w:sz="0" w:space="0" w:color="auto"/>
      </w:divBdr>
    </w:div>
    <w:div w:id="1048841527">
      <w:bodyDiv w:val="1"/>
      <w:marLeft w:val="0"/>
      <w:marRight w:val="0"/>
      <w:marTop w:val="0"/>
      <w:marBottom w:val="0"/>
      <w:divBdr>
        <w:top w:val="none" w:sz="0" w:space="0" w:color="auto"/>
        <w:left w:val="none" w:sz="0" w:space="0" w:color="auto"/>
        <w:bottom w:val="none" w:sz="0" w:space="0" w:color="auto"/>
        <w:right w:val="none" w:sz="0" w:space="0" w:color="auto"/>
      </w:divBdr>
      <w:divsChild>
        <w:div w:id="1480656064">
          <w:marLeft w:val="0"/>
          <w:marRight w:val="0"/>
          <w:marTop w:val="0"/>
          <w:marBottom w:val="0"/>
          <w:divBdr>
            <w:top w:val="none" w:sz="0" w:space="0" w:color="auto"/>
            <w:left w:val="none" w:sz="0" w:space="0" w:color="auto"/>
            <w:bottom w:val="none" w:sz="0" w:space="0" w:color="auto"/>
            <w:right w:val="none" w:sz="0" w:space="0" w:color="auto"/>
          </w:divBdr>
        </w:div>
      </w:divsChild>
    </w:div>
    <w:div w:id="1199931352">
      <w:bodyDiv w:val="1"/>
      <w:marLeft w:val="0"/>
      <w:marRight w:val="0"/>
      <w:marTop w:val="0"/>
      <w:marBottom w:val="0"/>
      <w:divBdr>
        <w:top w:val="none" w:sz="0" w:space="0" w:color="auto"/>
        <w:left w:val="none" w:sz="0" w:space="0" w:color="auto"/>
        <w:bottom w:val="none" w:sz="0" w:space="0" w:color="auto"/>
        <w:right w:val="none" w:sz="0" w:space="0" w:color="auto"/>
      </w:divBdr>
      <w:divsChild>
        <w:div w:id="507910738">
          <w:marLeft w:val="0"/>
          <w:marRight w:val="0"/>
          <w:marTop w:val="0"/>
          <w:marBottom w:val="0"/>
          <w:divBdr>
            <w:top w:val="none" w:sz="0" w:space="0" w:color="auto"/>
            <w:left w:val="none" w:sz="0" w:space="0" w:color="auto"/>
            <w:bottom w:val="none" w:sz="0" w:space="0" w:color="auto"/>
            <w:right w:val="none" w:sz="0" w:space="0" w:color="auto"/>
          </w:divBdr>
          <w:divsChild>
            <w:div w:id="836920201">
              <w:marLeft w:val="0"/>
              <w:marRight w:val="0"/>
              <w:marTop w:val="0"/>
              <w:marBottom w:val="0"/>
              <w:divBdr>
                <w:top w:val="none" w:sz="0" w:space="0" w:color="auto"/>
                <w:left w:val="none" w:sz="0" w:space="0" w:color="auto"/>
                <w:bottom w:val="none" w:sz="0" w:space="0" w:color="auto"/>
                <w:right w:val="none" w:sz="0" w:space="0" w:color="auto"/>
              </w:divBdr>
              <w:divsChild>
                <w:div w:id="259990472">
                  <w:marLeft w:val="0"/>
                  <w:marRight w:val="0"/>
                  <w:marTop w:val="0"/>
                  <w:marBottom w:val="0"/>
                  <w:divBdr>
                    <w:top w:val="none" w:sz="0" w:space="0" w:color="auto"/>
                    <w:left w:val="none" w:sz="0" w:space="0" w:color="auto"/>
                    <w:bottom w:val="none" w:sz="0" w:space="0" w:color="auto"/>
                    <w:right w:val="none" w:sz="0" w:space="0" w:color="auto"/>
                  </w:divBdr>
                  <w:divsChild>
                    <w:div w:id="410351628">
                      <w:marLeft w:val="0"/>
                      <w:marRight w:val="0"/>
                      <w:marTop w:val="0"/>
                      <w:marBottom w:val="0"/>
                      <w:divBdr>
                        <w:top w:val="none" w:sz="0" w:space="0" w:color="auto"/>
                        <w:left w:val="none" w:sz="0" w:space="0" w:color="auto"/>
                        <w:bottom w:val="none" w:sz="0" w:space="0" w:color="auto"/>
                        <w:right w:val="none" w:sz="0" w:space="0" w:color="auto"/>
                      </w:divBdr>
                      <w:divsChild>
                        <w:div w:id="4073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442964">
      <w:bodyDiv w:val="1"/>
      <w:marLeft w:val="0"/>
      <w:marRight w:val="0"/>
      <w:marTop w:val="0"/>
      <w:marBottom w:val="0"/>
      <w:divBdr>
        <w:top w:val="none" w:sz="0" w:space="0" w:color="auto"/>
        <w:left w:val="none" w:sz="0" w:space="0" w:color="auto"/>
        <w:bottom w:val="none" w:sz="0" w:space="0" w:color="auto"/>
        <w:right w:val="none" w:sz="0" w:space="0" w:color="auto"/>
      </w:divBdr>
    </w:div>
    <w:div w:id="1743790664">
      <w:bodyDiv w:val="1"/>
      <w:marLeft w:val="0"/>
      <w:marRight w:val="0"/>
      <w:marTop w:val="0"/>
      <w:marBottom w:val="0"/>
      <w:divBdr>
        <w:top w:val="none" w:sz="0" w:space="0" w:color="auto"/>
        <w:left w:val="none" w:sz="0" w:space="0" w:color="auto"/>
        <w:bottom w:val="none" w:sz="0" w:space="0" w:color="auto"/>
        <w:right w:val="none" w:sz="0" w:space="0" w:color="auto"/>
      </w:divBdr>
    </w:div>
    <w:div w:id="1989820583">
      <w:bodyDiv w:val="1"/>
      <w:marLeft w:val="0"/>
      <w:marRight w:val="0"/>
      <w:marTop w:val="0"/>
      <w:marBottom w:val="0"/>
      <w:divBdr>
        <w:top w:val="none" w:sz="0" w:space="0" w:color="auto"/>
        <w:left w:val="none" w:sz="0" w:space="0" w:color="auto"/>
        <w:bottom w:val="none" w:sz="0" w:space="0" w:color="auto"/>
        <w:right w:val="none" w:sz="0" w:space="0" w:color="auto"/>
      </w:divBdr>
    </w:div>
    <w:div w:id="20272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036FA-2E34-4A2C-9EC5-A09EA615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5718</Words>
  <Characters>3260</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SOCIALINIŲ IR EKONOMINIŲ PARTNERIŲ PATEIKTŲ PASTABŲ IR PASIŪLYMŲ DĖL 2014–2020 METŲ EUROPOS SĄJUNGOS FONDŲ INVESTICIJŲ VEIKSMŲ PROGRAMOS 4 PRIORITETO „ENERGIJOS EFEKTYVUMO IR ATSINAUJINANČIŲ IŠTEKLIŲ ENERGIJOS GAMYBOS IR NAUDOJIMO SKATINIMAS“ PRIEMONĖS N</vt:lpstr>
      <vt:lpstr>SOCIALINIŲ IR EKONOMINIŲ PARTNERIŲ PATEIKTŲ PASTABŲ IR PASIŪLYMŲ DĖL 2014–2020 METŲ EUROPOS SĄJUNGOS FONDŲ INVESTICIJŲ VEIKSMŲ PROGRAMOS 4 PRIORITETO „ENERGIJOS EFEKTYVUMO IR ATSINAUJINANČIŲ IŠTEKLIŲ ENERGIJOS GAMYBOS IR NAUDOJIMO SKATINIMAS“ PRIEMONĖS N</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SOCIALINIŲ IR EKONOMINIŲ PARTNERIŲ PATEIKTŲ PASTABŲ IR PASIŪLYMŲ DĖL 2014–2020 METŲ EUROPOS SĄJUNGOS FONDŲ INVESTICIJŲ VEIKSMŲ PROGRAMOS 4 PRIORITETO „ENERGIJOS EFEKTYVUMO IR ATSINAUJINANČIŲ IŠTEKLIŲ ENERGIJOS GAMYBOS IR NAUDOJIMO SKATINIMAS“ PRIEMONĖS N</dc:title>
  <dc:subject/>
  <dc:creator>Valdas NAMAJUSKA</dc:creator>
  <cp:keywords/>
  <dc:description/>
  <cp:lastModifiedBy>Laura Pusinskaite</cp:lastModifiedBy>
  <cp:revision>3</cp:revision>
  <cp:lastPrinted>2016-09-27T12:17:00Z</cp:lastPrinted>
  <dcterms:created xsi:type="dcterms:W3CDTF">2017-05-10T06:10:00Z</dcterms:created>
  <dcterms:modified xsi:type="dcterms:W3CDTF">2017-05-10T06:10:00Z</dcterms:modified>
</cp:coreProperties>
</file>