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C76935" w:rsidP="00807AD6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Lyginamasis projekto variantas </w:t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A78AA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A78A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2015</w:t>
      </w:r>
      <w:r w:rsidR="00E741B5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DĖL 2014</w:t>
      </w:r>
      <w:r w:rsidR="00807AD6" w:rsidRPr="00B9664D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 SKAIČIAVIMO APRAŠO PATVIRTINIMO</w:t>
      </w:r>
      <w:r w:rsidR="00807AD6" w:rsidRPr="00086AB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807AD6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 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A78A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sz w:val="24"/>
          <w:szCs w:val="24"/>
          <w:lang w:val="lt-LT"/>
        </w:rPr>
        <w:t>201</w:t>
      </w:r>
      <w:r w:rsidR="00C416F1">
        <w:rPr>
          <w:rFonts w:ascii="Times New Roman" w:hAnsi="Times New Roman"/>
          <w:sz w:val="24"/>
          <w:szCs w:val="24"/>
          <w:lang w:val="lt-LT"/>
        </w:rPr>
        <w:t>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proofErr w:type="gramStart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2EC8">
        <w:rPr>
          <w:rFonts w:ascii="Times New Roman" w:hAnsi="Times New Roman"/>
          <w:sz w:val="24"/>
          <w:szCs w:val="24"/>
          <w:lang w:val="lt-LT"/>
        </w:rPr>
        <w:t xml:space="preserve">                  </w:t>
      </w:r>
      <w:proofErr w:type="gramEnd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5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81793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</w:p>
    <w:p w:rsidR="003D0BAD" w:rsidRPr="00383FF6" w:rsidRDefault="00DA78A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835C54" w:rsidRDefault="00835C54" w:rsidP="00102EC8">
      <w:pPr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27FE" w:rsidRDefault="00981793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 a k e i č i u 2014</w:t>
      </w:r>
      <w:r w:rsidR="00B9664D" w:rsidRPr="00B9664D">
        <w:rPr>
          <w:rFonts w:ascii="Times New Roman" w:hAnsi="Times New Roman"/>
          <w:sz w:val="24"/>
          <w:szCs w:val="24"/>
          <w:lang w:val="lt-LT"/>
        </w:rPr>
        <w:t>–</w:t>
      </w:r>
      <w:r>
        <w:rPr>
          <w:rFonts w:ascii="Times New Roman" w:hAnsi="Times New Roman"/>
          <w:sz w:val="24"/>
          <w:szCs w:val="24"/>
          <w:lang w:val="lt-LT"/>
        </w:rPr>
        <w:t>2020 metų Europos Sąjungos fondų investicijų veiksmų programos prioritetų įgyvendinimo priemonių įgyvendinimo planą, patvirtintą Lietuvos Respublikos socialinės apsaugos ir darbo ministro 2015 m. vasario 24 d. įsakymu Nr. A1-90</w:t>
      </w:r>
      <w:r w:rsidR="00B9664D">
        <w:rPr>
          <w:rFonts w:ascii="Times New Roman" w:hAnsi="Times New Roman"/>
          <w:sz w:val="24"/>
          <w:szCs w:val="24"/>
          <w:lang w:val="lt-LT"/>
        </w:rPr>
        <w:t xml:space="preserve"> „Dėl 2014</w:t>
      </w:r>
      <w:r w:rsidR="00B9664D" w:rsidRPr="00B9664D">
        <w:rPr>
          <w:rFonts w:ascii="Times New Roman" w:hAnsi="Times New Roman"/>
          <w:sz w:val="24"/>
          <w:szCs w:val="24"/>
          <w:lang w:val="lt-LT"/>
        </w:rPr>
        <w:t>–</w:t>
      </w:r>
      <w:r w:rsidR="00B9664D">
        <w:rPr>
          <w:rFonts w:ascii="Times New Roman" w:hAnsi="Times New Roman"/>
          <w:sz w:val="24"/>
          <w:szCs w:val="24"/>
          <w:lang w:val="lt-LT"/>
        </w:rPr>
        <w:t>2020 metų Europos Sąjungos fondų investicijų veiksmų programos prioritetų įgyvendinimo priemonių įgyvendinimo plano ir Nacionalinių stebėsenos rodiklių</w:t>
      </w:r>
      <w:r w:rsidR="00374326">
        <w:rPr>
          <w:rFonts w:ascii="Times New Roman" w:hAnsi="Times New Roman"/>
          <w:sz w:val="24"/>
          <w:szCs w:val="24"/>
          <w:lang w:val="lt-LT"/>
        </w:rPr>
        <w:t xml:space="preserve"> skaičiavimo aprašo patvirtinimo“</w:t>
      </w:r>
      <w:r w:rsidR="007127FE">
        <w:rPr>
          <w:rFonts w:ascii="Times New Roman" w:hAnsi="Times New Roman"/>
          <w:sz w:val="24"/>
          <w:szCs w:val="24"/>
          <w:lang w:val="lt-LT"/>
        </w:rPr>
        <w:t>:</w:t>
      </w:r>
    </w:p>
    <w:p w:rsidR="007127FE" w:rsidRDefault="007127FE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1. Pakeičiu II skyriaus</w:t>
      </w:r>
      <w:r w:rsidR="00476E1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416F1">
        <w:rPr>
          <w:rFonts w:ascii="Times New Roman" w:hAnsi="Times New Roman"/>
          <w:sz w:val="24"/>
          <w:szCs w:val="24"/>
          <w:lang w:val="lt-LT"/>
        </w:rPr>
        <w:t>devintojo</w:t>
      </w:r>
      <w:r>
        <w:rPr>
          <w:rFonts w:ascii="Times New Roman" w:hAnsi="Times New Roman"/>
          <w:sz w:val="24"/>
          <w:szCs w:val="24"/>
          <w:lang w:val="lt-LT"/>
        </w:rPr>
        <w:t xml:space="preserve"> skirsnio 1 punkto lentelės 1.3</w:t>
      </w:r>
      <w:r w:rsidR="00F9387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papunktį</w:t>
      </w:r>
      <w:r w:rsidR="00F93874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C416F1" w:rsidRDefault="009E1DB3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„1.3. Remiamos veiklos: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1.3.1.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individualus ar grupinis motyvavimas, asmens poreiki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vertinimas, socialini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ir darbini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C416F1">
        <w:rPr>
          <w:rFonts w:ascii="Times New Roman" w:hAnsi="Times New Roman"/>
          <w:sz w:val="24"/>
          <w:szCs w:val="24"/>
          <w:lang w:val="lt-LT"/>
        </w:rPr>
        <w:t>g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C416F1">
        <w:rPr>
          <w:rFonts w:ascii="Times New Roman" w:hAnsi="Times New Roman"/>
          <w:sz w:val="24"/>
          <w:szCs w:val="24"/>
          <w:lang w:val="lt-LT"/>
        </w:rPr>
        <w:t>d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ž</w:t>
      </w:r>
      <w:r w:rsidRPr="00C416F1">
        <w:rPr>
          <w:rFonts w:ascii="Times New Roman" w:hAnsi="Times New Roman"/>
          <w:sz w:val="24"/>
          <w:szCs w:val="24"/>
          <w:lang w:val="lt-LT"/>
        </w:rPr>
        <w:t>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ugdymas, palaikymas bei atk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C416F1">
        <w:rPr>
          <w:rFonts w:ascii="Times New Roman" w:hAnsi="Times New Roman"/>
          <w:sz w:val="24"/>
          <w:szCs w:val="24"/>
          <w:lang w:val="lt-LT"/>
        </w:rPr>
        <w:t>rimas;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416F1">
        <w:rPr>
          <w:rFonts w:ascii="Times New Roman" w:hAnsi="Times New Roman"/>
          <w:b/>
          <w:sz w:val="24"/>
          <w:szCs w:val="24"/>
          <w:lang w:val="lt-LT"/>
        </w:rPr>
        <w:t>1.3.2.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ab/>
        <w:t>psichosocialin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pagalba, kaip apibr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ėž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>ta Socialini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paslaug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kataloge, patvirtintame Lietuvos Respublikos </w:t>
      </w:r>
      <w:proofErr w:type="gramStart"/>
      <w:r w:rsidRPr="00C416F1">
        <w:rPr>
          <w:rFonts w:ascii="Times New Roman" w:hAnsi="Times New Roman"/>
          <w:b/>
          <w:sz w:val="24"/>
          <w:szCs w:val="24"/>
          <w:lang w:val="lt-LT"/>
        </w:rPr>
        <w:t>socialin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>s apsaugos ir darbo ministro</w:t>
      </w:r>
      <w:proofErr w:type="gramEnd"/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2006 m. baland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ž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io 5 d. 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į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sakymu Nr. A1-93 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„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>D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>l Socialini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paslaug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 xml:space="preserve"> katalogo patvirtinimo</w:t>
      </w:r>
      <w:r w:rsidRPr="00C416F1">
        <w:rPr>
          <w:rFonts w:ascii="Times New Roman" w:hAnsi="Times New Roman" w:hint="eastAsia"/>
          <w:b/>
          <w:sz w:val="24"/>
          <w:szCs w:val="24"/>
          <w:lang w:val="lt-LT"/>
        </w:rPr>
        <w:t>“</w:t>
      </w:r>
      <w:r w:rsidRPr="00C416F1">
        <w:rPr>
          <w:rFonts w:ascii="Times New Roman" w:hAnsi="Times New Roman"/>
          <w:b/>
          <w:sz w:val="24"/>
          <w:szCs w:val="24"/>
          <w:lang w:val="lt-LT"/>
        </w:rPr>
        <w:t>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1.3.3.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profesinis orientavimas, informavimas, konsultavimas;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1.3.4.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bendr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j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 xml:space="preserve"> 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į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g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ū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d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ž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i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 xml:space="preserve"> (pvz., skaitmeninio ra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š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tingumo, kalb</w:t>
      </w:r>
      <w:r w:rsidRPr="00C06413">
        <w:rPr>
          <w:rFonts w:ascii="Times New Roman" w:hAnsi="Times New Roman" w:hint="eastAsia"/>
          <w:strike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, verslumo) ugdymas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bendr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j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 xml:space="preserve"> geb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jim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, kaip apibr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ėž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ta 2006 m. gruod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ž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io 18 d. Europos Parlamento ir Tarybos rekomendacijoje d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l bendr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j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 xml:space="preserve"> vis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 xml:space="preserve"> gyvenim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ą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 xml:space="preserve"> trunkan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č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io mokymosi geb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ė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>jim</w:t>
      </w:r>
      <w:r w:rsidRPr="00C06413">
        <w:rPr>
          <w:rFonts w:ascii="Times New Roman" w:hAnsi="Times New Roman" w:hint="eastAsia"/>
          <w:b/>
          <w:sz w:val="24"/>
          <w:szCs w:val="24"/>
          <w:lang w:val="lt-LT"/>
        </w:rPr>
        <w:t>ų</w:t>
      </w:r>
      <w:r w:rsidRPr="00C06413">
        <w:rPr>
          <w:rFonts w:ascii="Times New Roman" w:hAnsi="Times New Roman"/>
          <w:b/>
          <w:sz w:val="24"/>
          <w:szCs w:val="24"/>
          <w:lang w:val="lt-LT"/>
        </w:rPr>
        <w:t xml:space="preserve"> (2006/962/EB) (OL 2006 L 394, p. 10), ugdymas</w:t>
      </w:r>
      <w:r w:rsidRPr="00C416F1">
        <w:rPr>
          <w:rFonts w:ascii="Times New Roman" w:hAnsi="Times New Roman"/>
          <w:sz w:val="24"/>
          <w:szCs w:val="24"/>
          <w:lang w:val="lt-LT"/>
        </w:rPr>
        <w:t>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1.3.5.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profesinis mokymas;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1.3.6.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praktini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darbo 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C416F1">
        <w:rPr>
          <w:rFonts w:ascii="Times New Roman" w:hAnsi="Times New Roman"/>
          <w:sz w:val="24"/>
          <w:szCs w:val="24"/>
          <w:lang w:val="lt-LT"/>
        </w:rPr>
        <w:t>g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ū</w:t>
      </w:r>
      <w:r w:rsidRPr="00C416F1">
        <w:rPr>
          <w:rFonts w:ascii="Times New Roman" w:hAnsi="Times New Roman"/>
          <w:sz w:val="24"/>
          <w:szCs w:val="24"/>
          <w:lang w:val="lt-LT"/>
        </w:rPr>
        <w:t>d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ž</w:t>
      </w:r>
      <w:r w:rsidRPr="00C416F1">
        <w:rPr>
          <w:rFonts w:ascii="Times New Roman" w:hAnsi="Times New Roman"/>
          <w:sz w:val="24"/>
          <w:szCs w:val="24"/>
          <w:lang w:val="lt-LT"/>
        </w:rPr>
        <w:t>i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ugdymas darbo vietoje;</w:t>
      </w:r>
    </w:p>
    <w:p w:rsidR="00C416F1" w:rsidRPr="00C416F1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1.3.7.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tarpininkavimas ar kita pagalba 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sidarbinant ir 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į</w:t>
      </w:r>
      <w:r w:rsidRPr="00C416F1">
        <w:rPr>
          <w:rFonts w:ascii="Times New Roman" w:hAnsi="Times New Roman"/>
          <w:sz w:val="24"/>
          <w:szCs w:val="24"/>
          <w:lang w:val="lt-LT"/>
        </w:rPr>
        <w:t>sidarbinus;</w:t>
      </w:r>
    </w:p>
    <w:p w:rsidR="00C06413" w:rsidRDefault="00C416F1" w:rsidP="00C416F1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C416F1">
        <w:rPr>
          <w:rFonts w:ascii="Times New Roman" w:hAnsi="Times New Roman"/>
          <w:sz w:val="24"/>
          <w:szCs w:val="24"/>
          <w:lang w:val="lt-LT"/>
        </w:rPr>
        <w:t>1.3.8.</w:t>
      </w:r>
      <w:r w:rsidRPr="00C416F1">
        <w:rPr>
          <w:rFonts w:ascii="Times New Roman" w:hAnsi="Times New Roman"/>
          <w:sz w:val="24"/>
          <w:szCs w:val="24"/>
          <w:lang w:val="lt-LT"/>
        </w:rPr>
        <w:tab/>
        <w:t xml:space="preserve"> projekt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ą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vykdan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C416F1">
        <w:rPr>
          <w:rFonts w:ascii="Times New Roman" w:hAnsi="Times New Roman"/>
          <w:sz w:val="24"/>
          <w:szCs w:val="24"/>
          <w:lang w:val="lt-LT"/>
        </w:rPr>
        <w:t>io personalo geb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C416F1">
        <w:rPr>
          <w:rFonts w:ascii="Times New Roman" w:hAnsi="Times New Roman"/>
          <w:sz w:val="24"/>
          <w:szCs w:val="24"/>
          <w:lang w:val="lt-LT"/>
        </w:rPr>
        <w:t>jim</w:t>
      </w:r>
      <w:r w:rsidRPr="00C416F1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C416F1">
        <w:rPr>
          <w:rFonts w:ascii="Times New Roman" w:hAnsi="Times New Roman"/>
          <w:sz w:val="24"/>
          <w:szCs w:val="24"/>
          <w:lang w:val="lt-LT"/>
        </w:rPr>
        <w:t xml:space="preserve"> stiprinimas</w:t>
      </w:r>
      <w:r w:rsidRPr="00C06413">
        <w:rPr>
          <w:rFonts w:ascii="Times New Roman" w:hAnsi="Times New Roman"/>
          <w:strike/>
          <w:sz w:val="24"/>
          <w:szCs w:val="24"/>
          <w:lang w:val="lt-LT"/>
        </w:rPr>
        <w:t>.</w:t>
      </w:r>
      <w:r w:rsidRPr="00C416F1">
        <w:rPr>
          <w:rFonts w:ascii="Times New Roman" w:hAnsi="Times New Roman"/>
          <w:sz w:val="24"/>
          <w:szCs w:val="24"/>
          <w:lang w:val="lt-LT"/>
        </w:rPr>
        <w:t>;</w:t>
      </w:r>
    </w:p>
    <w:p w:rsidR="00C06413" w:rsidRDefault="00C06413" w:rsidP="00C06413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F56D66">
        <w:rPr>
          <w:rFonts w:ascii="Times New Roman" w:hAnsi="Times New Roman"/>
          <w:b/>
          <w:sz w:val="24"/>
          <w:szCs w:val="24"/>
          <w:lang w:val="lt-LT"/>
        </w:rPr>
        <w:t>1.3.9.</w:t>
      </w:r>
      <w:r w:rsidRPr="00F56D66">
        <w:rPr>
          <w:rFonts w:ascii="Times New Roman" w:hAnsi="Times New Roman"/>
          <w:b/>
          <w:sz w:val="24"/>
          <w:szCs w:val="24"/>
          <w:lang w:val="lt-LT"/>
        </w:rPr>
        <w:tab/>
        <w:t xml:space="preserve"> tarptautinis bendradarbiavimas.</w:t>
      </w:r>
      <w:r w:rsidR="00F56D66">
        <w:rPr>
          <w:rFonts w:ascii="Times New Roman" w:hAnsi="Times New Roman"/>
          <w:sz w:val="24"/>
          <w:szCs w:val="24"/>
          <w:lang w:val="lt-LT"/>
        </w:rPr>
        <w:t>“</w:t>
      </w:r>
    </w:p>
    <w:p w:rsidR="00F56D66" w:rsidRPr="00F56D66" w:rsidRDefault="00F56D66" w:rsidP="00C06413">
      <w:pPr>
        <w:tabs>
          <w:tab w:val="left" w:pos="1985"/>
        </w:tabs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 </w:t>
      </w:r>
      <w:r w:rsidRPr="00F56D66">
        <w:rPr>
          <w:rFonts w:ascii="Times New Roman" w:hAnsi="Times New Roman"/>
          <w:sz w:val="24"/>
          <w:szCs w:val="24"/>
          <w:lang w:val="lt-LT"/>
        </w:rPr>
        <w:t>Pakeičiu II skyriaus devintojo</w:t>
      </w:r>
      <w:r>
        <w:rPr>
          <w:rFonts w:ascii="Times New Roman" w:hAnsi="Times New Roman"/>
          <w:sz w:val="24"/>
          <w:szCs w:val="24"/>
          <w:lang w:val="lt-LT"/>
        </w:rPr>
        <w:t xml:space="preserve"> skirsnio 1 punkto lentelės 1.5</w:t>
      </w:r>
      <w:r w:rsidRPr="00F56D66">
        <w:rPr>
          <w:rFonts w:ascii="Times New Roman" w:hAnsi="Times New Roman"/>
          <w:sz w:val="24"/>
          <w:szCs w:val="24"/>
          <w:lang w:val="lt-LT"/>
        </w:rPr>
        <w:t xml:space="preserve"> papunktį ir jį išdėstau taip:</w:t>
      </w:r>
    </w:p>
    <w:p w:rsidR="009E1DB3" w:rsidRDefault="00F56D66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„1.5. </w:t>
      </w:r>
      <w:r w:rsidRPr="00F56D66">
        <w:rPr>
          <w:rFonts w:ascii="Times New Roman" w:hAnsi="Times New Roman"/>
          <w:sz w:val="24"/>
          <w:szCs w:val="24"/>
          <w:lang w:val="lt-LT"/>
        </w:rPr>
        <w:t xml:space="preserve">Galimi partneriai: </w:t>
      </w:r>
      <w:r w:rsidR="00B81D2A" w:rsidRPr="00F56D66">
        <w:rPr>
          <w:rFonts w:ascii="Times New Roman" w:hAnsi="Times New Roman"/>
          <w:sz w:val="24"/>
          <w:szCs w:val="24"/>
          <w:lang w:val="lt-LT"/>
        </w:rPr>
        <w:t>viešieji</w:t>
      </w:r>
      <w:r w:rsidRPr="00F56D6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56D66">
        <w:rPr>
          <w:rFonts w:ascii="Times New Roman" w:hAnsi="Times New Roman"/>
          <w:b/>
          <w:sz w:val="24"/>
          <w:szCs w:val="24"/>
          <w:lang w:val="lt-LT"/>
        </w:rPr>
        <w:t>ir privatieji</w:t>
      </w:r>
      <w:r w:rsidR="00B81D2A" w:rsidRPr="00F56D66">
        <w:rPr>
          <w:rFonts w:ascii="Times New Roman" w:hAnsi="Times New Roman"/>
          <w:sz w:val="24"/>
          <w:szCs w:val="24"/>
          <w:lang w:val="lt-LT"/>
        </w:rPr>
        <w:t xml:space="preserve"> juridiniai asmenys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="00EA4CC6">
        <w:rPr>
          <w:rFonts w:ascii="Times New Roman" w:hAnsi="Times New Roman"/>
          <w:sz w:val="24"/>
          <w:szCs w:val="24"/>
          <w:lang w:val="lt-LT"/>
        </w:rPr>
        <w:t>.</w:t>
      </w:r>
    </w:p>
    <w:p w:rsidR="00EA4CC6" w:rsidRDefault="00EA4CC6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EA4CC6">
        <w:rPr>
          <w:rFonts w:ascii="Times New Roman" w:hAnsi="Times New Roman"/>
          <w:sz w:val="24"/>
          <w:szCs w:val="24"/>
          <w:lang w:val="lt-LT"/>
        </w:rPr>
        <w:t>Pakeičiu II skyriaus devintojo</w:t>
      </w:r>
      <w:r w:rsidR="008E4201">
        <w:rPr>
          <w:rFonts w:ascii="Times New Roman" w:hAnsi="Times New Roman"/>
          <w:sz w:val="24"/>
          <w:szCs w:val="24"/>
          <w:lang w:val="lt-LT"/>
        </w:rPr>
        <w:t xml:space="preserve"> skirsnio 5 punktą</w:t>
      </w:r>
      <w:r w:rsidRPr="00EA4CC6">
        <w:rPr>
          <w:rFonts w:ascii="Times New Roman" w:hAnsi="Times New Roman"/>
          <w:sz w:val="24"/>
          <w:szCs w:val="24"/>
          <w:lang w:val="lt-LT"/>
        </w:rPr>
        <w:t xml:space="preserve"> ir jį išdėstau taip:</w:t>
      </w:r>
    </w:p>
    <w:p w:rsidR="008E4201" w:rsidRDefault="008E4201" w:rsidP="00476E13">
      <w:pPr>
        <w:spacing w:line="264" w:lineRule="auto"/>
        <w:ind w:firstLine="1298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„5. </w:t>
      </w:r>
      <w:r w:rsidRPr="008E4201">
        <w:rPr>
          <w:rFonts w:ascii="Times New Roman" w:hAnsi="Times New Roman"/>
          <w:bCs/>
          <w:sz w:val="24"/>
          <w:szCs w:val="24"/>
          <w:lang w:val="lt-LT"/>
        </w:rPr>
        <w:t>Reikalavimai, taikomi priemonei atskirti nuo kitų Europos Sąjungos ir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B4AFA" w:rsidRPr="006567F8" w:rsidTr="00CB4AFA">
        <w:tc>
          <w:tcPr>
            <w:tcW w:w="10065" w:type="dxa"/>
          </w:tcPr>
          <w:p w:rsidR="00CB4AFA" w:rsidRDefault="00CB4AFA" w:rsidP="005D5D58">
            <w:pPr>
              <w:spacing w:line="264" w:lineRule="auto"/>
              <w:ind w:left="34" w:firstLine="1276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/>
              </w:rPr>
            </w:pPr>
            <w:r w:rsidRPr="007513E2"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/>
              </w:rPr>
              <w:t>Pagal priemonę remiamos veiklos finansuojamos tik</w:t>
            </w:r>
            <w:proofErr w:type="gramStart"/>
            <w:r w:rsidRPr="007513E2"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/>
              </w:rPr>
              <w:t xml:space="preserve"> jei jose dalyvauja socialinę atskirtį patiriantys asmenys</w:t>
            </w:r>
            <w:proofErr w:type="gramEnd"/>
            <w:r w:rsidRPr="007513E2"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/>
              </w:rPr>
              <w:t xml:space="preserve">, kurie nėra registruoti teritorinėje darbo biržoje arba nedalyvauja aktyvios darbo </w:t>
            </w:r>
            <w:r w:rsidRPr="007513E2">
              <w:rPr>
                <w:rFonts w:ascii="Times New Roman" w:hAnsi="Times New Roman"/>
                <w:strike/>
                <w:color w:val="000000"/>
                <w:sz w:val="24"/>
                <w:szCs w:val="24"/>
                <w:lang w:val="lt-LT" w:eastAsia="lt-LT"/>
              </w:rPr>
              <w:lastRenderedPageBreak/>
              <w:t>rinkos politikos priemonėse</w:t>
            </w:r>
          </w:p>
          <w:p w:rsidR="007802D8" w:rsidRDefault="007802D8" w:rsidP="005D5D58">
            <w:pPr>
              <w:spacing w:line="264" w:lineRule="auto"/>
              <w:ind w:left="34" w:firstLine="12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7802D8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5.1.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Pagal priemonę nefinansuojama:</w:t>
            </w:r>
          </w:p>
          <w:p w:rsidR="007802D8" w:rsidRDefault="007802D8" w:rsidP="005D5D58">
            <w:pPr>
              <w:spacing w:line="264" w:lineRule="auto"/>
              <w:ind w:left="34" w:firstLine="12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5.1.1. </w:t>
            </w:r>
            <w:r w:rsidR="0073537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projekto dalyvių išlaidos</w:t>
            </w:r>
            <w:bookmarkStart w:id="6" w:name="_GoBack"/>
            <w:bookmarkEnd w:id="6"/>
            <w:r w:rsidR="006019A6"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, jeigu tuo pačiu metu jiems teikiama parama pagal veiksmų programos 8 prioriteto „Socialinės įtraukties didinimas ir kova </w:t>
            </w:r>
            <w:r w:rsidR="0073660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su skurdu“ įgyvendinimo priemones</w:t>
            </w:r>
            <w:r w:rsidR="006019A6"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Nr. 08.3.1-ESFA-V-411 „Asmenų, priklausomų nuo psichoaktyviųjų medžiagų, socialinė integracija“</w:t>
            </w:r>
            <w:r w:rsidR="0073660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ir </w:t>
            </w:r>
            <w:r w:rsidR="00736600" w:rsidRPr="0073660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Nr. 08.3.1-ESFA-V-412 „Romų socialinė integracija“</w:t>
            </w:r>
            <w:r w:rsid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;</w:t>
            </w:r>
          </w:p>
          <w:p w:rsidR="006019A6" w:rsidRPr="007802D8" w:rsidRDefault="006019A6" w:rsidP="006019A6">
            <w:pPr>
              <w:spacing w:line="264" w:lineRule="auto"/>
              <w:ind w:left="34" w:firstLine="1276"/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5.1.2. </w:t>
            </w:r>
            <w:r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viešosios įstaigos Romų visuomenės centro, Lietuvos čigonų bendrijos „Čigonų laužas“, Lietuvos romų bendruomenės, Romų integracijos namų,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Romų integracijos centro,</w:t>
            </w:r>
            <w:r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Lietuvos čigonų bendrijos „Čigonų laužas“ Šalčininkų skyriaus vykdomos veiklos, kurios finansuojamos pagal veiksmų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programos </w:t>
            </w:r>
            <w:r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>8 prioriteto „Socialinės įtraukties didinimas ir kova su skurdu“ įgyvendinimo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priemonę</w:t>
            </w:r>
            <w:r w:rsidRPr="006019A6">
              <w:rPr>
                <w:rFonts w:ascii="Times New Roman" w:hAnsi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Nr. 08.3.1-ESFA-V-412 „Romų socialinė integracija“</w:t>
            </w:r>
          </w:p>
        </w:tc>
      </w:tr>
    </w:tbl>
    <w:p w:rsidR="00CB4AFA" w:rsidRDefault="00CB4AFA" w:rsidP="00476E13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B80" w:rsidRDefault="000C2B80" w:rsidP="000C2B80">
      <w:pPr>
        <w:tabs>
          <w:tab w:val="left" w:pos="0"/>
          <w:tab w:val="left" w:pos="1026"/>
          <w:tab w:val="left" w:pos="1169"/>
        </w:tabs>
        <w:ind w:firstLine="1298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C2B80" w:rsidRDefault="000C2B80" w:rsidP="000C2B80">
      <w:pPr>
        <w:tabs>
          <w:tab w:val="left" w:pos="0"/>
          <w:tab w:val="left" w:pos="1026"/>
          <w:tab w:val="left" w:pos="1169"/>
        </w:tabs>
        <w:ind w:firstLine="1298"/>
        <w:contextualSpacing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51FB9" w:rsidRDefault="00651FB9" w:rsidP="00651FB9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92BE8" w:rsidRDefault="00A92BE8" w:rsidP="00651FB9">
      <w:pPr>
        <w:spacing w:line="264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812"/>
        <w:gridCol w:w="4111"/>
      </w:tblGrid>
      <w:tr w:rsidR="003D0BAD" w:rsidRPr="009B1BA7" w:rsidTr="003E6C25">
        <w:tc>
          <w:tcPr>
            <w:tcW w:w="5812" w:type="dxa"/>
          </w:tcPr>
          <w:p w:rsidR="003D0BAD" w:rsidRPr="00383FF6" w:rsidRDefault="00EA4CC6" w:rsidP="000B0E18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7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7"/>
          </w:p>
        </w:tc>
        <w:tc>
          <w:tcPr>
            <w:tcW w:w="4111" w:type="dxa"/>
          </w:tcPr>
          <w:p w:rsidR="003D0BAD" w:rsidRPr="00383FF6" w:rsidRDefault="008E4201" w:rsidP="000B0E18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Linas Kukuraitis"/>
                    <w:format w:val="Pirmoji didžioji raidė"/>
                  </w:textInput>
                </w:ffData>
              </w:fldChar>
            </w:r>
            <w:bookmarkStart w:id="8" w:name="Pasirasanti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Linas Kukuraitis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</w:tr>
    </w:tbl>
    <w:p w:rsidR="0072718E" w:rsidRDefault="0072718E" w:rsidP="000B0E18">
      <w:pPr>
        <w:rPr>
          <w:lang w:val="lt-LT"/>
        </w:rPr>
      </w:pPr>
    </w:p>
    <w:p w:rsidR="003E6C25" w:rsidRDefault="003E6C25" w:rsidP="000B0E18">
      <w:pPr>
        <w:rPr>
          <w:lang w:val="lt-LT"/>
        </w:rPr>
      </w:pPr>
    </w:p>
    <w:p w:rsidR="00577007" w:rsidRDefault="00577007" w:rsidP="000B0E18">
      <w:pPr>
        <w:rPr>
          <w:lang w:val="lt-LT"/>
        </w:rPr>
      </w:pPr>
    </w:p>
    <w:p w:rsidR="00577007" w:rsidRDefault="00577007" w:rsidP="000B0E18">
      <w:pPr>
        <w:rPr>
          <w:lang w:val="lt-LT"/>
        </w:rPr>
      </w:pPr>
    </w:p>
    <w:sectPr w:rsidR="00577007" w:rsidSect="003E6C25">
      <w:headerReference w:type="even" r:id="rId10"/>
      <w:headerReference w:type="default" r:id="rId11"/>
      <w:footerReference w:type="first" r:id="rId12"/>
      <w:type w:val="continuous"/>
      <w:pgSz w:w="11906" w:h="16838"/>
      <w:pgMar w:top="851" w:right="566" w:bottom="170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CF" w:rsidRDefault="00E73CCF">
      <w:r>
        <w:separator/>
      </w:r>
    </w:p>
  </w:endnote>
  <w:endnote w:type="continuationSeparator" w:id="0">
    <w:p w:rsidR="00E73CCF" w:rsidRDefault="00E7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>
    <w:pPr>
      <w:pStyle w:val="Porat"/>
    </w:pPr>
  </w:p>
  <w:p w:rsidR="00DB4E78" w:rsidRDefault="00DB4E7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CF" w:rsidRDefault="00E73CCF">
      <w:r>
        <w:separator/>
      </w:r>
    </w:p>
  </w:footnote>
  <w:footnote w:type="continuationSeparator" w:id="0">
    <w:p w:rsidR="00E73CCF" w:rsidRDefault="00E7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4E78" w:rsidRDefault="00DB4E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78" w:rsidRDefault="00DB4E78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53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B4E78" w:rsidRDefault="00DB4E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D1A08520"/>
    <w:lvl w:ilvl="0" w:tplc="9A08B454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295" w:hanging="360"/>
      </w:pPr>
    </w:lvl>
    <w:lvl w:ilvl="2" w:tplc="0427001B" w:tentative="1">
      <w:start w:val="1"/>
      <w:numFmt w:val="lowerRoman"/>
      <w:lvlText w:val="%3."/>
      <w:lvlJc w:val="right"/>
      <w:pPr>
        <w:ind w:left="4015" w:hanging="180"/>
      </w:pPr>
    </w:lvl>
    <w:lvl w:ilvl="3" w:tplc="0427000F" w:tentative="1">
      <w:start w:val="1"/>
      <w:numFmt w:val="decimal"/>
      <w:lvlText w:val="%4."/>
      <w:lvlJc w:val="left"/>
      <w:pPr>
        <w:ind w:left="4735" w:hanging="360"/>
      </w:pPr>
    </w:lvl>
    <w:lvl w:ilvl="4" w:tplc="04270019" w:tentative="1">
      <w:start w:val="1"/>
      <w:numFmt w:val="lowerLetter"/>
      <w:lvlText w:val="%5."/>
      <w:lvlJc w:val="left"/>
      <w:pPr>
        <w:ind w:left="5455" w:hanging="360"/>
      </w:pPr>
    </w:lvl>
    <w:lvl w:ilvl="5" w:tplc="0427001B" w:tentative="1">
      <w:start w:val="1"/>
      <w:numFmt w:val="lowerRoman"/>
      <w:lvlText w:val="%6."/>
      <w:lvlJc w:val="right"/>
      <w:pPr>
        <w:ind w:left="6175" w:hanging="180"/>
      </w:pPr>
    </w:lvl>
    <w:lvl w:ilvl="6" w:tplc="0427000F" w:tentative="1">
      <w:start w:val="1"/>
      <w:numFmt w:val="decimal"/>
      <w:lvlText w:val="%7."/>
      <w:lvlJc w:val="left"/>
      <w:pPr>
        <w:ind w:left="6895" w:hanging="360"/>
      </w:pPr>
    </w:lvl>
    <w:lvl w:ilvl="7" w:tplc="04270019" w:tentative="1">
      <w:start w:val="1"/>
      <w:numFmt w:val="lowerLetter"/>
      <w:lvlText w:val="%8."/>
      <w:lvlJc w:val="left"/>
      <w:pPr>
        <w:ind w:left="7615" w:hanging="360"/>
      </w:pPr>
    </w:lvl>
    <w:lvl w:ilvl="8" w:tplc="0427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">
    <w:nsid w:val="0E2561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744D39"/>
    <w:multiLevelType w:val="hybridMultilevel"/>
    <w:tmpl w:val="32FECB94"/>
    <w:lvl w:ilvl="0" w:tplc="610457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3D9C3EDA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ACD5248"/>
    <w:multiLevelType w:val="multilevel"/>
    <w:tmpl w:val="9200754C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>
    <w:nsid w:val="6B3D56A8"/>
    <w:multiLevelType w:val="multilevel"/>
    <w:tmpl w:val="0CD4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33D29B9"/>
    <w:multiLevelType w:val="multilevel"/>
    <w:tmpl w:val="0CD46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6311038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1298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AD"/>
    <w:rsid w:val="000458A3"/>
    <w:rsid w:val="000474D7"/>
    <w:rsid w:val="00055EDB"/>
    <w:rsid w:val="000617CD"/>
    <w:rsid w:val="00064824"/>
    <w:rsid w:val="00066E5B"/>
    <w:rsid w:val="000673CA"/>
    <w:rsid w:val="000745C2"/>
    <w:rsid w:val="00086AB7"/>
    <w:rsid w:val="000A0FC0"/>
    <w:rsid w:val="000A14D1"/>
    <w:rsid w:val="000B0E18"/>
    <w:rsid w:val="000B1E95"/>
    <w:rsid w:val="000C2B80"/>
    <w:rsid w:val="000C354E"/>
    <w:rsid w:val="000D2061"/>
    <w:rsid w:val="000D5B47"/>
    <w:rsid w:val="000E1158"/>
    <w:rsid w:val="000E7DAC"/>
    <w:rsid w:val="00102EC8"/>
    <w:rsid w:val="00106FA7"/>
    <w:rsid w:val="00110FA5"/>
    <w:rsid w:val="001117F9"/>
    <w:rsid w:val="00132D81"/>
    <w:rsid w:val="0014073C"/>
    <w:rsid w:val="001524A9"/>
    <w:rsid w:val="001535F5"/>
    <w:rsid w:val="00167C16"/>
    <w:rsid w:val="00173BBF"/>
    <w:rsid w:val="001752CF"/>
    <w:rsid w:val="001C51B7"/>
    <w:rsid w:val="001D3452"/>
    <w:rsid w:val="001D7531"/>
    <w:rsid w:val="00202AB4"/>
    <w:rsid w:val="00203D80"/>
    <w:rsid w:val="00206BDE"/>
    <w:rsid w:val="002278FF"/>
    <w:rsid w:val="0023135B"/>
    <w:rsid w:val="00232C67"/>
    <w:rsid w:val="00235F0C"/>
    <w:rsid w:val="00240A8E"/>
    <w:rsid w:val="00240AEF"/>
    <w:rsid w:val="00241766"/>
    <w:rsid w:val="002507C7"/>
    <w:rsid w:val="002654AF"/>
    <w:rsid w:val="00285ED2"/>
    <w:rsid w:val="00291C4F"/>
    <w:rsid w:val="002A07D8"/>
    <w:rsid w:val="002A58F6"/>
    <w:rsid w:val="002C3872"/>
    <w:rsid w:val="002C3984"/>
    <w:rsid w:val="00323E7D"/>
    <w:rsid w:val="0033315F"/>
    <w:rsid w:val="00346406"/>
    <w:rsid w:val="00367CC6"/>
    <w:rsid w:val="00372173"/>
    <w:rsid w:val="00374326"/>
    <w:rsid w:val="003745BA"/>
    <w:rsid w:val="00381235"/>
    <w:rsid w:val="00383FF6"/>
    <w:rsid w:val="003D0BAD"/>
    <w:rsid w:val="003D57BE"/>
    <w:rsid w:val="003E6C25"/>
    <w:rsid w:val="003F679C"/>
    <w:rsid w:val="00406498"/>
    <w:rsid w:val="00407E28"/>
    <w:rsid w:val="0043605E"/>
    <w:rsid w:val="004377ED"/>
    <w:rsid w:val="0045153B"/>
    <w:rsid w:val="00461F0C"/>
    <w:rsid w:val="00473B71"/>
    <w:rsid w:val="00476E13"/>
    <w:rsid w:val="00477C98"/>
    <w:rsid w:val="00486219"/>
    <w:rsid w:val="004F70E6"/>
    <w:rsid w:val="0053006E"/>
    <w:rsid w:val="00536DCB"/>
    <w:rsid w:val="00545DDF"/>
    <w:rsid w:val="00557336"/>
    <w:rsid w:val="00566646"/>
    <w:rsid w:val="00576C15"/>
    <w:rsid w:val="00577007"/>
    <w:rsid w:val="005A544D"/>
    <w:rsid w:val="005B2873"/>
    <w:rsid w:val="005D0684"/>
    <w:rsid w:val="005D6FF5"/>
    <w:rsid w:val="005F6688"/>
    <w:rsid w:val="006019A6"/>
    <w:rsid w:val="006303C3"/>
    <w:rsid w:val="00641B46"/>
    <w:rsid w:val="00651408"/>
    <w:rsid w:val="00651FB9"/>
    <w:rsid w:val="006950BC"/>
    <w:rsid w:val="006A6BA7"/>
    <w:rsid w:val="006C7613"/>
    <w:rsid w:val="006D183B"/>
    <w:rsid w:val="006E7471"/>
    <w:rsid w:val="006F7593"/>
    <w:rsid w:val="00701244"/>
    <w:rsid w:val="007127FE"/>
    <w:rsid w:val="00722155"/>
    <w:rsid w:val="0072718E"/>
    <w:rsid w:val="007352AF"/>
    <w:rsid w:val="00735370"/>
    <w:rsid w:val="00736600"/>
    <w:rsid w:val="00740DFD"/>
    <w:rsid w:val="007802D8"/>
    <w:rsid w:val="007928A2"/>
    <w:rsid w:val="00794081"/>
    <w:rsid w:val="0079440E"/>
    <w:rsid w:val="00797DEF"/>
    <w:rsid w:val="007C31D6"/>
    <w:rsid w:val="007C49C6"/>
    <w:rsid w:val="007D4746"/>
    <w:rsid w:val="007E7D86"/>
    <w:rsid w:val="00807AD6"/>
    <w:rsid w:val="00835C54"/>
    <w:rsid w:val="00875736"/>
    <w:rsid w:val="00875F04"/>
    <w:rsid w:val="008773FC"/>
    <w:rsid w:val="00881151"/>
    <w:rsid w:val="00893967"/>
    <w:rsid w:val="008958FA"/>
    <w:rsid w:val="008A17C0"/>
    <w:rsid w:val="008C7221"/>
    <w:rsid w:val="008C7C0A"/>
    <w:rsid w:val="008D741F"/>
    <w:rsid w:val="008D77F8"/>
    <w:rsid w:val="008E4201"/>
    <w:rsid w:val="008E5BF9"/>
    <w:rsid w:val="00901154"/>
    <w:rsid w:val="00912EAE"/>
    <w:rsid w:val="00921E62"/>
    <w:rsid w:val="00952087"/>
    <w:rsid w:val="00954862"/>
    <w:rsid w:val="00957E7B"/>
    <w:rsid w:val="00981793"/>
    <w:rsid w:val="009825B4"/>
    <w:rsid w:val="00983898"/>
    <w:rsid w:val="009843C5"/>
    <w:rsid w:val="009B1BA7"/>
    <w:rsid w:val="009C22A3"/>
    <w:rsid w:val="009E1DB3"/>
    <w:rsid w:val="009F5048"/>
    <w:rsid w:val="00A1503D"/>
    <w:rsid w:val="00A1746A"/>
    <w:rsid w:val="00A174CA"/>
    <w:rsid w:val="00A20397"/>
    <w:rsid w:val="00A208CC"/>
    <w:rsid w:val="00A33C2F"/>
    <w:rsid w:val="00A40040"/>
    <w:rsid w:val="00A60B7E"/>
    <w:rsid w:val="00A70719"/>
    <w:rsid w:val="00A73024"/>
    <w:rsid w:val="00A76C7A"/>
    <w:rsid w:val="00A92BE8"/>
    <w:rsid w:val="00A93BDC"/>
    <w:rsid w:val="00A94D42"/>
    <w:rsid w:val="00AB0D24"/>
    <w:rsid w:val="00AD6BD5"/>
    <w:rsid w:val="00AE3C7B"/>
    <w:rsid w:val="00B366DC"/>
    <w:rsid w:val="00B733EB"/>
    <w:rsid w:val="00B80879"/>
    <w:rsid w:val="00B81D2A"/>
    <w:rsid w:val="00B83741"/>
    <w:rsid w:val="00B837E8"/>
    <w:rsid w:val="00B8720C"/>
    <w:rsid w:val="00B87663"/>
    <w:rsid w:val="00B9664D"/>
    <w:rsid w:val="00BB2A15"/>
    <w:rsid w:val="00BC7907"/>
    <w:rsid w:val="00BD2F2B"/>
    <w:rsid w:val="00BD6300"/>
    <w:rsid w:val="00C06413"/>
    <w:rsid w:val="00C11023"/>
    <w:rsid w:val="00C2154D"/>
    <w:rsid w:val="00C23B62"/>
    <w:rsid w:val="00C416F1"/>
    <w:rsid w:val="00C43756"/>
    <w:rsid w:val="00C43CB8"/>
    <w:rsid w:val="00C53338"/>
    <w:rsid w:val="00C6563D"/>
    <w:rsid w:val="00C67393"/>
    <w:rsid w:val="00C701E2"/>
    <w:rsid w:val="00C75BC9"/>
    <w:rsid w:val="00C76935"/>
    <w:rsid w:val="00C77C63"/>
    <w:rsid w:val="00C84BF1"/>
    <w:rsid w:val="00C87EB0"/>
    <w:rsid w:val="00C971A2"/>
    <w:rsid w:val="00CB4AFA"/>
    <w:rsid w:val="00CD6082"/>
    <w:rsid w:val="00CD7757"/>
    <w:rsid w:val="00CE679F"/>
    <w:rsid w:val="00CE771F"/>
    <w:rsid w:val="00D02AFA"/>
    <w:rsid w:val="00D03270"/>
    <w:rsid w:val="00D27485"/>
    <w:rsid w:val="00D43E86"/>
    <w:rsid w:val="00D4579D"/>
    <w:rsid w:val="00D50906"/>
    <w:rsid w:val="00D67987"/>
    <w:rsid w:val="00D761EC"/>
    <w:rsid w:val="00D9186D"/>
    <w:rsid w:val="00DA78AA"/>
    <w:rsid w:val="00DB4E78"/>
    <w:rsid w:val="00DB50E7"/>
    <w:rsid w:val="00DC3C4E"/>
    <w:rsid w:val="00DC4169"/>
    <w:rsid w:val="00DE43BE"/>
    <w:rsid w:val="00DF0DF1"/>
    <w:rsid w:val="00DF275E"/>
    <w:rsid w:val="00E05908"/>
    <w:rsid w:val="00E17E91"/>
    <w:rsid w:val="00E27BF1"/>
    <w:rsid w:val="00E519E6"/>
    <w:rsid w:val="00E575B2"/>
    <w:rsid w:val="00E6068B"/>
    <w:rsid w:val="00E73CCF"/>
    <w:rsid w:val="00E73F33"/>
    <w:rsid w:val="00E741B5"/>
    <w:rsid w:val="00EA4CC6"/>
    <w:rsid w:val="00EA6ECA"/>
    <w:rsid w:val="00EB1B5C"/>
    <w:rsid w:val="00EC0A8A"/>
    <w:rsid w:val="00EE3CDF"/>
    <w:rsid w:val="00F31320"/>
    <w:rsid w:val="00F443B1"/>
    <w:rsid w:val="00F47AC6"/>
    <w:rsid w:val="00F54BC4"/>
    <w:rsid w:val="00F56D66"/>
    <w:rsid w:val="00F81274"/>
    <w:rsid w:val="00F91453"/>
    <w:rsid w:val="00F93874"/>
    <w:rsid w:val="00F94265"/>
    <w:rsid w:val="00FB5397"/>
    <w:rsid w:val="00FC7EFC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174C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12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127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1274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12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1274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EC0A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0A8A"/>
    <w:rPr>
      <w:rFonts w:ascii="TimesLT" w:eastAsia="Times New Roman" w:hAnsi="TimesLT"/>
      <w:lang w:val="en-GB" w:eastAsia="en-US"/>
    </w:rPr>
  </w:style>
  <w:style w:type="paragraph" w:styleId="Betarp">
    <w:name w:val="No Spacing"/>
    <w:uiPriority w:val="1"/>
    <w:qFormat/>
    <w:rsid w:val="00E73F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53338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53338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F8B03-5007-4DD2-8CE7-54603021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12</cp:revision>
  <cp:lastPrinted>2015-12-18T11:09:00Z</cp:lastPrinted>
  <dcterms:created xsi:type="dcterms:W3CDTF">2016-04-29T09:49:00Z</dcterms:created>
  <dcterms:modified xsi:type="dcterms:W3CDTF">2017-06-07T10:50:00Z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-47620055</vt:i4>
  </property>
  <property fmtid="{D5CDD505-2E9C-101B-9397-08002B2CF9AE}" pid="4" name="_EmailSubject">
    <vt:lpwstr>naujasis PIP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ReviewingToolsShownOnce">
    <vt:lpwstr/>
  </property>
</Properties>
</file>