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A979A" w14:textId="651AC8B0" w:rsidR="000220A7" w:rsidRPr="00521CBE" w:rsidRDefault="0066358A" w:rsidP="000220A7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20A7"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Forma patvirtinta </w:t>
      </w:r>
    </w:p>
    <w:p w14:paraId="2386E40F" w14:textId="77777777" w:rsidR="000220A7" w:rsidRPr="00521CBE" w:rsidRDefault="000220A7" w:rsidP="000220A7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finansų ministro </w:t>
      </w:r>
    </w:p>
    <w:p w14:paraId="08E7E99F" w14:textId="77777777" w:rsidR="000220A7" w:rsidRPr="00521CBE" w:rsidRDefault="000220A7" w:rsidP="000220A7">
      <w:pPr>
        <w:tabs>
          <w:tab w:val="left" w:pos="6237"/>
        </w:tabs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2014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27 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d. įsakymu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1K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199 (Lietuvos Respublikos finansų ministro                  2014 m. spalio 31 d. 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įsakym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1K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342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redakcija)</w:t>
      </w:r>
    </w:p>
    <w:p w14:paraId="43FA27E4" w14:textId="77777777" w:rsidR="000220A7" w:rsidRPr="00521CBE" w:rsidRDefault="000220A7" w:rsidP="000220A7">
      <w:pPr>
        <w:tabs>
          <w:tab w:val="left" w:pos="6237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D93955" w14:textId="77777777" w:rsidR="000220A7" w:rsidRPr="00521CBE" w:rsidRDefault="000220A7" w:rsidP="000220A7">
      <w:pPr>
        <w:tabs>
          <w:tab w:val="left" w:pos="0"/>
          <w:tab w:val="left" w:pos="623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E79541D" w14:textId="77777777" w:rsidR="000220A7" w:rsidRPr="00A75327" w:rsidRDefault="000220A7" w:rsidP="000220A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</w:pPr>
      <w:r w:rsidRPr="00A75327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>Lietuvos Respublikos sveikatos apsaugos ministerija</w:t>
      </w:r>
    </w:p>
    <w:p w14:paraId="2F9C951B" w14:textId="77777777" w:rsidR="000220A7" w:rsidRPr="00521CBE" w:rsidRDefault="000220A7" w:rsidP="000220A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(institucijos pavadinimas)</w:t>
      </w:r>
    </w:p>
    <w:p w14:paraId="25110BF8" w14:textId="77777777" w:rsidR="000220A7" w:rsidRPr="00521CBE" w:rsidRDefault="000220A7" w:rsidP="000220A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A04F6CC" w14:textId="77777777" w:rsidR="000220A7" w:rsidRPr="00521CBE" w:rsidRDefault="000220A7" w:rsidP="000220A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B7CB172" w14:textId="77777777" w:rsidR="000220A7" w:rsidRPr="00521CBE" w:rsidRDefault="000220A7" w:rsidP="000220A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2014–2020 M. EUROPOS SĄJUNGOS FONDŲ INVESTICIJŲ VEIKSMŲ PROGRAMOS PRIORITETO ĮGYVENDINIMO </w:t>
      </w:r>
      <w:r w:rsidRPr="00521CBE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Priemonių įgyvendinimo planas</w:t>
      </w:r>
    </w:p>
    <w:p w14:paraId="09B04B3E" w14:textId="77777777" w:rsidR="000220A7" w:rsidRPr="00521CBE" w:rsidRDefault="000220A7" w:rsidP="000220A7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453980A2" w14:textId="77777777" w:rsidR="000220A7" w:rsidRPr="00521CBE" w:rsidRDefault="000220A7" w:rsidP="000220A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 SKYRIUS </w:t>
      </w:r>
    </w:p>
    <w:p w14:paraId="4A08935A" w14:textId="77777777" w:rsidR="000220A7" w:rsidRDefault="000220A7" w:rsidP="000220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2014–2020 M. EURO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POS SĄJUNGOS FONDŲ INVESTICIJŲ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VEIKSMŲ PROGRAMOS (TOLIAU – VEIKSMŲ PROGRAMA)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8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PRIORITETO</w:t>
      </w:r>
      <w:r>
        <w:rPr>
          <w:rFonts w:ascii="Times New Roman" w:hAnsi="Times New Roman"/>
          <w:b/>
          <w:sz w:val="24"/>
          <w:szCs w:val="24"/>
          <w:lang w:val="en-US"/>
        </w:rPr>
        <w:t>,,SOCIALIN</w:t>
      </w:r>
      <w:r>
        <w:rPr>
          <w:rFonts w:ascii="Times New Roman" w:hAnsi="Times New Roman"/>
          <w:b/>
          <w:sz w:val="24"/>
          <w:szCs w:val="24"/>
        </w:rPr>
        <w:t xml:space="preserve">ĖS ĮTRAUKTIES DIDINIMAS IR PARAMA KOVAI SU SKURDU“ </w:t>
      </w:r>
    </w:p>
    <w:p w14:paraId="4609CEFE" w14:textId="77777777" w:rsidR="000220A7" w:rsidRPr="00521CBE" w:rsidRDefault="000220A7" w:rsidP="000220A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ĮGYVENDINIMO PRIEMONĖS</w:t>
      </w:r>
      <w:r w:rsidRPr="00521C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521CB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(TOLIAU – PRIEMONĖ)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41"/>
      </w:tblGrid>
      <w:tr w:rsidR="000220A7" w:rsidRPr="008E4D9D" w14:paraId="5B7ABB89" w14:textId="77777777" w:rsidTr="00F31030">
        <w:trPr>
          <w:trHeight w:val="109"/>
        </w:trPr>
        <w:tc>
          <w:tcPr>
            <w:tcW w:w="9541" w:type="dxa"/>
          </w:tcPr>
          <w:p w14:paraId="0156C450" w14:textId="77777777" w:rsidR="000220A7" w:rsidRDefault="000220A7" w:rsidP="00F31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78B5E2F6" w14:textId="77777777" w:rsidR="000220A7" w:rsidRDefault="000220A7" w:rsidP="00F31030">
            <w:pPr>
              <w:tabs>
                <w:tab w:val="left" w:pos="19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ab/>
            </w:r>
          </w:p>
          <w:p w14:paraId="74D0F685" w14:textId="77777777" w:rsidR="000220A7" w:rsidRDefault="000220A7" w:rsidP="00F31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0F8E3B23" w14:textId="77777777" w:rsidR="000220A7" w:rsidRDefault="000220A7" w:rsidP="00F31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DEVINTASIS SKIRSNIS</w:t>
            </w:r>
          </w:p>
          <w:p w14:paraId="5E7F7A11" w14:textId="77777777" w:rsidR="000220A7" w:rsidRPr="008E4D9D" w:rsidRDefault="000220A7" w:rsidP="00F31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PRIEMONĖ</w:t>
            </w:r>
            <w:r w:rsidRPr="00C243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  <w:r w:rsidRPr="00C243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bookmarkStart w:id="1" w:name="_Hlk484422933"/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4</w:t>
            </w:r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2</w:t>
            </w:r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 xml:space="preserve">ESFA-V-621 </w:t>
            </w:r>
            <w:bookmarkEnd w:id="1"/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PRIKLAUSOMYBĖS LIGŲ PROFILAKTIKOS, DIAGNOSTIKOS IR GYDYMO PASLAUGŲ KOKYBĖS IR PRIEINAMUMO GERINIMAS</w:t>
            </w:r>
            <w:r w:rsidRPr="00C243AB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“</w:t>
            </w:r>
          </w:p>
        </w:tc>
      </w:tr>
    </w:tbl>
    <w:p w14:paraId="4ACAC86C" w14:textId="77777777" w:rsidR="00795928" w:rsidRDefault="00795928" w:rsidP="002F7327">
      <w:pPr>
        <w:tabs>
          <w:tab w:val="left" w:pos="0"/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3686DAFE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p w14:paraId="6E8C0F13" w14:textId="4C357210" w:rsidR="00BE1018" w:rsidRDefault="00BE1018" w:rsidP="00BE1018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1. Priemonės aprašymas.</w:t>
      </w:r>
      <w:r w:rsidR="005711E5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11"/>
      </w:tblGrid>
      <w:tr w:rsidR="00BE1018" w14:paraId="18A7375F" w14:textId="77777777" w:rsidTr="005711E5">
        <w:tc>
          <w:tcPr>
            <w:tcW w:w="9961" w:type="dxa"/>
          </w:tcPr>
          <w:p w14:paraId="0E2B2CB7" w14:textId="77777777" w:rsidR="00BE1018" w:rsidRDefault="00BE1018" w:rsidP="00BE1018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socialinio fondo lėšomis.</w:t>
            </w:r>
          </w:p>
          <w:p w14:paraId="295F0FAB" w14:textId="77777777" w:rsidR="00BE1018" w:rsidRPr="00545B8B" w:rsidRDefault="00BE1018" w:rsidP="00BE1018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</w:t>
            </w:r>
            <w:r w:rsidRPr="00E274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Sumažinti sveikatos netolygumus, gerinant sveikatos priežiūros kokybę ir prieinamumą tikslinėms gyventojų grupėms ir skatinti </w:t>
            </w:r>
            <w:r w:rsidRPr="00545B8B">
              <w:rPr>
                <w:rFonts w:ascii="Times New Roman" w:hAnsi="Times New Roman" w:cs="Times New Roman"/>
                <w:bCs/>
                <w:sz w:val="24"/>
                <w:szCs w:val="24"/>
              </w:rPr>
              <w:t>sveiką senėjimą“ įgyvendinimo.</w:t>
            </w:r>
          </w:p>
          <w:p w14:paraId="3EE8ECE3" w14:textId="77777777" w:rsidR="00BE1018" w:rsidRDefault="00BE1018" w:rsidP="005711E5">
            <w:pPr>
              <w:tabs>
                <w:tab w:val="left" w:pos="-142"/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5B8B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Remiamos </w:t>
            </w:r>
            <w:r w:rsidR="00E82904" w:rsidRPr="00A40EFF">
              <w:rPr>
                <w:rFonts w:ascii="Times New Roman" w:hAnsi="Times New Roman" w:cs="Times New Roman"/>
                <w:bCs/>
                <w:sz w:val="24"/>
                <w:szCs w:val="24"/>
              </w:rPr>
              <w:t>veiklos</w:t>
            </w:r>
            <w:r w:rsidRPr="00A40EFF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08D48B2C" w14:textId="2C57A599" w:rsidR="00CE5092" w:rsidRDefault="00BE1018" w:rsidP="00BE1018">
            <w:pPr>
              <w:pStyle w:val="Sraopastraipa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9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840C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5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D29">
              <w:rPr>
                <w:rFonts w:ascii="Times New Roman" w:hAnsi="Times New Roman" w:cs="Times New Roman"/>
                <w:sz w:val="24"/>
                <w:szCs w:val="24"/>
              </w:rPr>
              <w:t xml:space="preserve">tvarkos aprašų, metodikų ir pan. dokumentų, susijusių su integruotos ankstyvosios intervencijos, priklausomybių gydymo, socialinės integracijos ir žemo slenksčio paslaugų  teikimo sistemos Lietuvoje įgyvendinimu, parengimas, tobulinimas, </w:t>
            </w:r>
            <w:r w:rsidR="00553F2E">
              <w:rPr>
                <w:rFonts w:ascii="Times New Roman" w:hAnsi="Times New Roman" w:cs="Times New Roman"/>
                <w:sz w:val="24"/>
                <w:szCs w:val="24"/>
              </w:rPr>
              <w:t xml:space="preserve">išleidimas, </w:t>
            </w:r>
            <w:r w:rsidR="00CE2D29">
              <w:rPr>
                <w:rFonts w:ascii="Times New Roman" w:hAnsi="Times New Roman" w:cs="Times New Roman"/>
                <w:sz w:val="24"/>
                <w:szCs w:val="24"/>
              </w:rPr>
              <w:t xml:space="preserve">įdiegimas į praktiką ir įgyvendinimas, </w:t>
            </w:r>
            <w:r w:rsidR="00E105A9">
              <w:rPr>
                <w:rFonts w:ascii="Times New Roman" w:hAnsi="Times New Roman" w:cs="Times New Roman"/>
                <w:sz w:val="24"/>
                <w:szCs w:val="24"/>
              </w:rPr>
              <w:t>kokybinio kompleksinio tyrimo atlikimas,</w:t>
            </w:r>
            <w:r w:rsidR="00E105A9" w:rsidRPr="00357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092">
              <w:rPr>
                <w:rFonts w:ascii="Times New Roman" w:hAnsi="Times New Roman" w:cs="Times New Roman"/>
                <w:sz w:val="24"/>
                <w:szCs w:val="24"/>
              </w:rPr>
              <w:t>sveikatos priežiūros ir kitų įstaigųspecialist</w:t>
            </w:r>
            <w:r w:rsidR="00EA64B5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7F07EC">
              <w:rPr>
                <w:rFonts w:ascii="Times New Roman" w:hAnsi="Times New Roman" w:cs="Times New Roman"/>
                <w:sz w:val="24"/>
                <w:szCs w:val="24"/>
              </w:rPr>
              <w:t>, dirbančių su socialinės rizikos grupių asmenimis</w:t>
            </w:r>
            <w:r w:rsidR="00CE5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4B5">
              <w:rPr>
                <w:rFonts w:ascii="Times New Roman" w:hAnsi="Times New Roman" w:cs="Times New Roman"/>
                <w:sz w:val="24"/>
                <w:szCs w:val="24"/>
              </w:rPr>
              <w:t>mokymai</w:t>
            </w:r>
            <w:r w:rsidR="00E06746">
              <w:rPr>
                <w:rFonts w:ascii="Times New Roman" w:hAnsi="Times New Roman" w:cs="Times New Roman"/>
                <w:sz w:val="24"/>
                <w:szCs w:val="24"/>
              </w:rPr>
              <w:t>, visuomenės informavimo veiksmai apie kuriam</w:t>
            </w:r>
            <w:r w:rsidR="00CE2D29">
              <w:rPr>
                <w:rFonts w:ascii="Times New Roman" w:hAnsi="Times New Roman" w:cs="Times New Roman"/>
                <w:sz w:val="24"/>
                <w:szCs w:val="24"/>
              </w:rPr>
              <w:t xml:space="preserve">ų ir taikomų </w:t>
            </w:r>
            <w:r w:rsidR="007F07EC">
              <w:rPr>
                <w:rFonts w:ascii="Times New Roman" w:hAnsi="Times New Roman" w:cs="Times New Roman"/>
                <w:sz w:val="24"/>
                <w:szCs w:val="24"/>
              </w:rPr>
              <w:t xml:space="preserve">integruotų </w:t>
            </w:r>
            <w:r w:rsidR="00CE2D29">
              <w:rPr>
                <w:rFonts w:ascii="Times New Roman" w:hAnsi="Times New Roman" w:cs="Times New Roman"/>
                <w:sz w:val="24"/>
                <w:szCs w:val="24"/>
              </w:rPr>
              <w:t>paslaugų teikimą</w:t>
            </w:r>
            <w:r w:rsidR="007F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11E" w:rsidRPr="000A4025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77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4B8FB8" w14:textId="06272641" w:rsidR="007F07EC" w:rsidRDefault="00CE5092" w:rsidP="00A32553">
            <w:pPr>
              <w:pStyle w:val="Sraopastraipa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1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840C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7967" w:rsidRPr="003D6C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E45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5468D3" w:rsidRPr="003D6C1E">
              <w:rPr>
                <w:rFonts w:ascii="Times New Roman" w:hAnsi="Times New Roman" w:cs="Times New Roman"/>
                <w:sz w:val="24"/>
                <w:szCs w:val="24"/>
              </w:rPr>
              <w:t xml:space="preserve">okymo </w:t>
            </w:r>
            <w:r w:rsidR="00DB7463" w:rsidRPr="003D6C1E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="00DB7463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5468D3" w:rsidRPr="003D6C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7463" w:rsidRPr="00DB7463">
              <w:rPr>
                <w:rFonts w:ascii="Times New Roman" w:hAnsi="Times New Roman" w:cs="Times New Roman"/>
                <w:sz w:val="24"/>
                <w:szCs w:val="24"/>
              </w:rPr>
              <w:t xml:space="preserve">skirtų </w:t>
            </w:r>
            <w:r w:rsidR="007F07EC">
              <w:rPr>
                <w:rFonts w:ascii="Times New Roman" w:hAnsi="Times New Roman" w:cs="Times New Roman"/>
                <w:sz w:val="24"/>
                <w:szCs w:val="24"/>
              </w:rPr>
              <w:t xml:space="preserve"> su socialinės rizikos grupių asmenimis dirbančių</w:t>
            </w:r>
            <w:r w:rsidR="005468D3" w:rsidRPr="00DB7463">
              <w:rPr>
                <w:rFonts w:ascii="Times New Roman" w:hAnsi="Times New Roman" w:cs="Times New Roman"/>
                <w:sz w:val="24"/>
                <w:szCs w:val="24"/>
              </w:rPr>
              <w:t xml:space="preserve"> specialistų kvalifikacijai tobulinti, parengimas</w:t>
            </w:r>
            <w:r w:rsidR="00087287" w:rsidRPr="003573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>su socialinės rizikos grupių asmenimis dirbančių</w:t>
            </w:r>
            <w:r w:rsidR="007F07EC" w:rsidRPr="007F07EC" w:rsidDel="007F0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287" w:rsidRPr="003D6C1E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="00087287">
              <w:rPr>
                <w:rFonts w:ascii="Times New Roman" w:hAnsi="Times New Roman" w:cs="Times New Roman"/>
                <w:sz w:val="24"/>
                <w:szCs w:val="24"/>
              </w:rPr>
              <w:t xml:space="preserve">istų kvalifikacijos tobulinimas, </w:t>
            </w:r>
            <w:r w:rsidR="001F4077" w:rsidRPr="003D6C1E">
              <w:rPr>
                <w:rFonts w:ascii="Times New Roman" w:hAnsi="Times New Roman" w:cs="Times New Roman"/>
                <w:sz w:val="24"/>
                <w:szCs w:val="24"/>
              </w:rPr>
              <w:t xml:space="preserve">priklausomybės ligų ankstyvos diagnostikos ir ambulatorinio gydymo </w:t>
            </w:r>
            <w:r w:rsidR="00DB7463">
              <w:rPr>
                <w:rFonts w:ascii="Times New Roman" w:hAnsi="Times New Roman" w:cs="Times New Roman"/>
                <w:sz w:val="24"/>
                <w:szCs w:val="24"/>
              </w:rPr>
              <w:t>metodikų</w:t>
            </w:r>
            <w:r w:rsidR="00DB2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2553">
              <w:rPr>
                <w:rFonts w:ascii="Times New Roman" w:hAnsi="Times New Roman" w:cs="Times New Roman"/>
                <w:sz w:val="24"/>
                <w:szCs w:val="24"/>
              </w:rPr>
              <w:t>parengimas</w:t>
            </w:r>
            <w:r w:rsidR="00376536">
              <w:rPr>
                <w:rFonts w:ascii="Times New Roman" w:hAnsi="Times New Roman" w:cs="Times New Roman"/>
                <w:sz w:val="24"/>
                <w:szCs w:val="24"/>
              </w:rPr>
              <w:t xml:space="preserve"> ir įgyvendinimas</w:t>
            </w:r>
            <w:r w:rsidR="007F07E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EBCE21" w14:textId="26F33B1F" w:rsidR="008D657D" w:rsidRDefault="007F07EC" w:rsidP="00A32553">
            <w:pPr>
              <w:pStyle w:val="Sraopastraipa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1.3.3. </w:t>
            </w:r>
            <w:r w:rsidR="0085004D">
              <w:rPr>
                <w:rFonts w:ascii="Times New Roman" w:hAnsi="Times New Roman" w:cs="Times New Roman"/>
                <w:sz w:val="24"/>
                <w:szCs w:val="24"/>
              </w:rPr>
              <w:t xml:space="preserve">priemonių, skirtų žemo slenksčio paslaugų kokybės ir prieinamumo asmenims, </w:t>
            </w:r>
            <w:r w:rsidR="0085004D" w:rsidRPr="0085004D">
              <w:rPr>
                <w:rFonts w:ascii="Times New Roman" w:hAnsi="Times New Roman" w:cs="Times New Roman"/>
                <w:sz w:val="24"/>
                <w:szCs w:val="24"/>
              </w:rPr>
              <w:t>piktnaudžiaujantiems psichoaktyviosiomis medžiagomis ir priklausomiems nuo jų</w:t>
            </w:r>
            <w:r w:rsidR="0085004D">
              <w:rPr>
                <w:rFonts w:ascii="Times New Roman" w:hAnsi="Times New Roman" w:cs="Times New Roman"/>
                <w:sz w:val="24"/>
                <w:szCs w:val="24"/>
              </w:rPr>
              <w:t>, įgyvendinimas.</w:t>
            </w:r>
          </w:p>
          <w:p w14:paraId="56F3E62A" w14:textId="77777777" w:rsidR="00E92D84" w:rsidRPr="00010B3F" w:rsidRDefault="00CE5092" w:rsidP="00CE5092">
            <w:pPr>
              <w:tabs>
                <w:tab w:val="left" w:pos="0"/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0B3F">
              <w:rPr>
                <w:rFonts w:ascii="Times New Roman" w:hAnsi="Times New Roman" w:cs="Times New Roman"/>
                <w:sz w:val="24"/>
                <w:szCs w:val="24"/>
              </w:rPr>
              <w:t>1.4. Galimi pareiškėjai:</w:t>
            </w:r>
          </w:p>
          <w:p w14:paraId="2ADC19B2" w14:textId="74D95773" w:rsidR="007F07EC" w:rsidRPr="00E7043C" w:rsidRDefault="00BE1018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0B3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  <w:r w:rsidRPr="00E704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7A62" w:rsidRPr="00E7043C">
              <w:rPr>
                <w:rFonts w:ascii="Times New Roman" w:hAnsi="Times New Roman" w:cs="Times New Roman"/>
                <w:sz w:val="24"/>
                <w:szCs w:val="24"/>
              </w:rPr>
              <w:t xml:space="preserve">BĮ </w:t>
            </w:r>
            <w:r w:rsidR="00E46EDC" w:rsidRPr="00E7043C">
              <w:rPr>
                <w:rFonts w:ascii="Times New Roman" w:hAnsi="Times New Roman" w:cs="Times New Roman"/>
                <w:sz w:val="24"/>
                <w:szCs w:val="24"/>
              </w:rPr>
              <w:t>Vilniaus priklausomybės ligų centras</w:t>
            </w:r>
            <w:r w:rsidR="00E7043C" w:rsidRPr="00E7043C">
              <w:rPr>
                <w:rFonts w:ascii="Times New Roman" w:hAnsi="Times New Roman" w:cs="Times New Roman"/>
                <w:sz w:val="24"/>
                <w:szCs w:val="24"/>
              </w:rPr>
              <w:t xml:space="preserve"> (po reorganizavimo – Respublikinis priklausomybės ligų centras)</w:t>
            </w:r>
            <w:r w:rsidR="007F07EC" w:rsidRPr="00E704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BEC57E" w14:textId="6CF52C43" w:rsidR="007F07EC" w:rsidRPr="00E7043C" w:rsidRDefault="007F07EC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7043C">
              <w:rPr>
                <w:rFonts w:ascii="Times New Roman" w:hAnsi="Times New Roman" w:cs="Times New Roman"/>
                <w:sz w:val="24"/>
                <w:szCs w:val="24"/>
              </w:rPr>
              <w:t>1.4.2. priklausomybės ligų centrai</w:t>
            </w:r>
            <w:r w:rsidR="00E7043C" w:rsidRPr="00E7043C">
              <w:rPr>
                <w:rFonts w:ascii="Times New Roman" w:hAnsi="Times New Roman" w:cs="Times New Roman"/>
                <w:sz w:val="24"/>
                <w:szCs w:val="24"/>
              </w:rPr>
              <w:t xml:space="preserve"> (po reorganizavimo – Respublikinis priklausomybės ligų centras)</w:t>
            </w:r>
            <w:r w:rsidRPr="00E704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520383" w14:textId="77777777" w:rsidR="007F07EC" w:rsidRDefault="007F07EC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1.4.3. </w:t>
            </w:r>
            <w:r w:rsidRPr="007F07EC">
              <w:rPr>
                <w:rFonts w:ascii="Times New Roman" w:hAnsi="Times New Roman" w:cs="Times New Roman"/>
                <w:sz w:val="24"/>
                <w:szCs w:val="24"/>
              </w:rPr>
              <w:t>Vilniaus 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 savivaldybės administracija;</w:t>
            </w:r>
          </w:p>
          <w:p w14:paraId="7EA6308B" w14:textId="77777777" w:rsidR="007F07EC" w:rsidRDefault="007F07EC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1.4.4. </w:t>
            </w:r>
            <w:r w:rsidRPr="007F07EC">
              <w:rPr>
                <w:rFonts w:ascii="Times New Roman" w:hAnsi="Times New Roman" w:cs="Times New Roman"/>
                <w:sz w:val="24"/>
                <w:szCs w:val="24"/>
              </w:rPr>
              <w:t>Kauno 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 savivaldybės administracija;</w:t>
            </w:r>
          </w:p>
          <w:p w14:paraId="1353A551" w14:textId="77777777" w:rsidR="00851F88" w:rsidRDefault="007F07EC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1.4.5. </w:t>
            </w:r>
            <w:r w:rsidRPr="007F07EC">
              <w:rPr>
                <w:rFonts w:ascii="Times New Roman" w:hAnsi="Times New Roman" w:cs="Times New Roman"/>
                <w:sz w:val="24"/>
                <w:szCs w:val="24"/>
              </w:rPr>
              <w:t>Mažeikių raj</w:t>
            </w:r>
            <w:r w:rsidR="00851F88"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6A757E49" w14:textId="77777777" w:rsidR="00851F88" w:rsidRDefault="00851F88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1.4.6. 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>Klaipėdos 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 savivaldybės administracija;</w:t>
            </w:r>
          </w:p>
          <w:p w14:paraId="212A6F9D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1.4.7. 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>Šiaulių 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 savivaldybės administracija;</w:t>
            </w:r>
          </w:p>
          <w:p w14:paraId="2B40468A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1.4.8. 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>Kėdainių rajono savivaldybės admin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istracija;</w:t>
            </w:r>
          </w:p>
          <w:p w14:paraId="131E053F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1.4.9.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Alytaus 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 savivaldybės administracija;</w:t>
            </w:r>
          </w:p>
          <w:p w14:paraId="55C30FAB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1.4.10.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Visag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ino savivaldybės administracija;</w:t>
            </w:r>
          </w:p>
          <w:p w14:paraId="3EF63F9B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1.4.11. 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>Telšių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4EC61467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1.4.12.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Švenčionių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463A9BB2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1.4.13.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Ukmergės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07A2B855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1.4.14.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Jonavos rajono savivaldybės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administracija;</w:t>
            </w:r>
          </w:p>
          <w:p w14:paraId="4BE06BF7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1.4.15.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Molėtų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6517268D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1.4.16.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Palangos mie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 savivaldybės administracija;</w:t>
            </w:r>
          </w:p>
          <w:p w14:paraId="0A39E62B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1.4.17.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Tauragės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282A05D5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1.4.18.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Marijampolės mies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savivaldybės administracija;</w:t>
            </w:r>
          </w:p>
          <w:p w14:paraId="4EF2AC0E" w14:textId="77777777" w:rsidR="0085004D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1.4.19. 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>Varėnos raj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ono savivaldybės administracija;</w:t>
            </w:r>
          </w:p>
          <w:p w14:paraId="65D1B9D7" w14:textId="5C2FCDE1" w:rsidR="00E46EDC" w:rsidRDefault="0085004D" w:rsidP="00CE5092">
            <w:pPr>
              <w:tabs>
                <w:tab w:val="left" w:pos="0"/>
                <w:tab w:val="left" w:pos="102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1.4.20.</w:t>
            </w:r>
            <w:r w:rsidR="007F07EC" w:rsidRPr="007F07EC">
              <w:rPr>
                <w:rFonts w:ascii="Times New Roman" w:hAnsi="Times New Roman" w:cs="Times New Roman"/>
                <w:sz w:val="24"/>
                <w:szCs w:val="24"/>
              </w:rPr>
              <w:t xml:space="preserve"> Jurbarko rajono savivaldybės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2B546D" w14:textId="77777777" w:rsidR="00353FDE" w:rsidRDefault="00BE1018" w:rsidP="00353FDE">
            <w:pPr>
              <w:tabs>
                <w:tab w:val="left" w:pos="0"/>
                <w:tab w:val="left" w:pos="102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0B3F">
              <w:rPr>
                <w:rFonts w:ascii="Times New Roman" w:hAnsi="Times New Roman" w:cs="Times New Roman"/>
                <w:sz w:val="24"/>
                <w:szCs w:val="24"/>
              </w:rPr>
              <w:t>1.5. Galimi partneriai:</w:t>
            </w:r>
          </w:p>
          <w:p w14:paraId="164E1704" w14:textId="30FA24BB" w:rsidR="00597A62" w:rsidRDefault="00BE1018" w:rsidP="00591690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B3F">
              <w:rPr>
                <w:rFonts w:ascii="Times New Roman" w:hAnsi="Times New Roman" w:cs="Times New Roman"/>
                <w:sz w:val="24"/>
                <w:szCs w:val="24"/>
              </w:rPr>
              <w:t xml:space="preserve">1.5.1. </w:t>
            </w:r>
            <w:r w:rsidR="007A700D">
              <w:rPr>
                <w:rFonts w:ascii="Times New Roman" w:hAnsi="Times New Roman" w:cs="Times New Roman"/>
                <w:sz w:val="24"/>
                <w:szCs w:val="24"/>
              </w:rPr>
              <w:t>Valstybinis</w:t>
            </w:r>
            <w:r w:rsidR="002A794E">
              <w:rPr>
                <w:rFonts w:ascii="Times New Roman" w:hAnsi="Times New Roman" w:cs="Times New Roman"/>
                <w:sz w:val="24"/>
                <w:szCs w:val="24"/>
              </w:rPr>
              <w:t xml:space="preserve"> psichikos sveikatos </w:t>
            </w:r>
            <w:r w:rsidR="007A700D"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  <w:r w:rsidR="004E0147" w:rsidRPr="004E01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9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753" w:rsidRPr="00007753">
              <w:rPr>
                <w:rFonts w:ascii="Times New Roman" w:hAnsi="Times New Roman"/>
                <w:sz w:val="24"/>
                <w:szCs w:val="24"/>
              </w:rPr>
              <w:t>priklausomybės ligų centrai (po reorganizavimo – Respublikinis priklausomybės ligų centras)</w:t>
            </w:r>
            <w:r w:rsidR="0085004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97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04D">
              <w:rPr>
                <w:rFonts w:ascii="Times New Roman" w:hAnsi="Times New Roman" w:cs="Times New Roman"/>
                <w:sz w:val="24"/>
                <w:szCs w:val="24"/>
              </w:rPr>
              <w:t>psichikos sveikatos centrai</w:t>
            </w:r>
            <w:r w:rsidR="0085004D" w:rsidRPr="0085004D">
              <w:rPr>
                <w:rFonts w:ascii="Times New Roman" w:hAnsi="Times New Roman" w:cs="Times New Roman"/>
                <w:sz w:val="24"/>
                <w:szCs w:val="24"/>
              </w:rPr>
              <w:t>, NVO, so</w:t>
            </w:r>
            <w:r w:rsidR="0085004D">
              <w:rPr>
                <w:rFonts w:ascii="Times New Roman" w:hAnsi="Times New Roman" w:cs="Times New Roman"/>
                <w:sz w:val="24"/>
                <w:szCs w:val="24"/>
              </w:rPr>
              <w:t>cialines paslaugas teikiančios įstaigos ir kt.</w:t>
            </w:r>
          </w:p>
          <w:p w14:paraId="27FC6479" w14:textId="06F5947C" w:rsidR="00BE1018" w:rsidRDefault="00AE590C" w:rsidP="00591690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BE10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536A">
              <w:rPr>
                <w:rFonts w:ascii="Times New Roman" w:hAnsi="Times New Roman" w:cs="Times New Roman"/>
                <w:sz w:val="24"/>
                <w:szCs w:val="24"/>
              </w:rPr>
              <w:t>Netaikoma.</w:t>
            </w:r>
          </w:p>
        </w:tc>
      </w:tr>
    </w:tbl>
    <w:p w14:paraId="620400F1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5ACB53" w14:textId="77777777" w:rsidR="0008160D" w:rsidRDefault="0008160D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A4F7B0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Priemonės finansavimo forma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E1018" w14:paraId="20B545F4" w14:textId="77777777" w:rsidTr="00BE1018">
        <w:tc>
          <w:tcPr>
            <w:tcW w:w="9854" w:type="dxa"/>
          </w:tcPr>
          <w:p w14:paraId="29BF087C" w14:textId="77777777" w:rsidR="00BE1018" w:rsidRPr="00957090" w:rsidRDefault="0092536A" w:rsidP="00BE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BE1018">
              <w:rPr>
                <w:rFonts w:ascii="Times New Roman" w:hAnsi="Times New Roman" w:cs="Times New Roman"/>
                <w:sz w:val="24"/>
                <w:szCs w:val="24"/>
              </w:rPr>
              <w:t>Negrąžinamoji subsidija.</w:t>
            </w:r>
          </w:p>
        </w:tc>
      </w:tr>
    </w:tbl>
    <w:p w14:paraId="6549715D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D8EE0D0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Projektų atrankos būdas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E1018" w14:paraId="063771A2" w14:textId="77777777" w:rsidTr="00BE1018">
        <w:tc>
          <w:tcPr>
            <w:tcW w:w="9854" w:type="dxa"/>
          </w:tcPr>
          <w:p w14:paraId="7D537835" w14:textId="77777777" w:rsidR="00BE1018" w:rsidRPr="00957090" w:rsidRDefault="00BE1018" w:rsidP="00BE1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Valstybės projektų planavimas</w:t>
            </w:r>
          </w:p>
        </w:tc>
      </w:tr>
    </w:tbl>
    <w:p w14:paraId="180F0861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C13161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Atsakinga įgyvendinančioji institucija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E1018" w14:paraId="349A6315" w14:textId="77777777" w:rsidTr="00BE1018">
        <w:tc>
          <w:tcPr>
            <w:tcW w:w="9854" w:type="dxa"/>
          </w:tcPr>
          <w:p w14:paraId="75901C4B" w14:textId="77777777" w:rsidR="00BE1018" w:rsidRDefault="002C1AA0" w:rsidP="002C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Europos socialinio fondo agentūra</w:t>
            </w:r>
          </w:p>
        </w:tc>
      </w:tr>
    </w:tbl>
    <w:p w14:paraId="21D7DD98" w14:textId="7777777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5CD633" w14:textId="77777777" w:rsidR="00BE1018" w:rsidRDefault="00BE1018" w:rsidP="00BE1018">
      <w:p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375B">
        <w:rPr>
          <w:rFonts w:ascii="Times New Roman" w:hAnsi="Times New Roman" w:cs="Times New Roman"/>
          <w:b/>
          <w:color w:val="000000"/>
          <w:sz w:val="24"/>
          <w:szCs w:val="24"/>
        </w:rPr>
        <w:t>5. Reikalavimai, taikomi priemonei atskirti nuo kitų iš ES bei kitos tarptautinės finansinės paramos finansuojamų programų priemonių: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E1018" w14:paraId="35E2C8B4" w14:textId="77777777" w:rsidTr="00BE1018">
        <w:tc>
          <w:tcPr>
            <w:tcW w:w="9854" w:type="dxa"/>
          </w:tcPr>
          <w:p w14:paraId="11925565" w14:textId="1E65EE44" w:rsidR="00B31D83" w:rsidRPr="00B31D83" w:rsidRDefault="00B31D83" w:rsidP="00B31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42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D83">
              <w:rPr>
                <w:rFonts w:ascii="Times New Roman" w:hAnsi="Times New Roman" w:cs="Times New Roman"/>
                <w:sz w:val="24"/>
                <w:szCs w:val="24"/>
              </w:rPr>
              <w:t xml:space="preserve">Pagal Švietimo ir mokslo ministerijos 9.4.2 uždavinio „Sukurti sąlygas ir paskatas mokymuisi visą gyvenimą, užtikrinant veiksmingą pagalbą tobulinantis“ planuojamą priemonę „Viešųjų paslaugų darbuotojų kompetencijos ir kvalifikacijos tobulinimas“ konkrečios profesijos sveikatos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priežiūros specialistų mokymai </w:t>
            </w:r>
            <w:r w:rsidRPr="00B31D83">
              <w:rPr>
                <w:rFonts w:ascii="Times New Roman" w:hAnsi="Times New Roman" w:cs="Times New Roman"/>
                <w:sz w:val="24"/>
                <w:szCs w:val="24"/>
              </w:rPr>
              <w:t>nebus finansuojami pagal šios priemonės remiamą 1.3.2 veiklą.</w:t>
            </w:r>
          </w:p>
        </w:tc>
      </w:tr>
    </w:tbl>
    <w:p w14:paraId="583A6008" w14:textId="7A39CBAE" w:rsidR="00E82904" w:rsidRDefault="00CC15C0" w:rsidP="00E8290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82E70D" w14:textId="77777777" w:rsidR="00E82904" w:rsidRPr="00353FDE" w:rsidRDefault="00BE1018" w:rsidP="00E82904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 w:rsidRPr="00353FDE">
        <w:rPr>
          <w:rFonts w:ascii="Times New Roman" w:hAnsi="Times New Roman" w:cs="Times New Roman"/>
          <w:b/>
          <w:sz w:val="24"/>
          <w:szCs w:val="24"/>
          <w:lang w:eastAsia="lt-LT"/>
        </w:rPr>
        <w:t>6. P</w:t>
      </w:r>
      <w:r w:rsidRPr="00353FD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riemonės įgyvendinimo stebėsenos </w:t>
      </w:r>
      <w:r w:rsidR="00E82904" w:rsidRPr="00353FDE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rodikliai</w:t>
      </w:r>
    </w:p>
    <w:tbl>
      <w:tblPr>
        <w:tblpPr w:leftFromText="180" w:rightFromText="180" w:bottomFromText="200" w:vertAnchor="text" w:horzAnchor="margin" w:tblpY="4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969"/>
        <w:gridCol w:w="1418"/>
        <w:gridCol w:w="1559"/>
        <w:gridCol w:w="1559"/>
      </w:tblGrid>
      <w:tr w:rsidR="00305F91" w:rsidRPr="00C243AB" w14:paraId="027A4799" w14:textId="77777777" w:rsidTr="004660E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B6E4" w14:textId="77777777" w:rsidR="00305F91" w:rsidRPr="00A75C8A" w:rsidRDefault="00305F91" w:rsidP="004660E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75C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0225" w14:textId="77777777" w:rsidR="00305F91" w:rsidRPr="00A75C8A" w:rsidRDefault="00305F91" w:rsidP="004660E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75C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643EC" w14:textId="77777777" w:rsidR="00305F91" w:rsidRPr="00A75C8A" w:rsidRDefault="00305F91" w:rsidP="004660E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75C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9698" w14:textId="77777777" w:rsidR="00305F91" w:rsidRPr="00A75C8A" w:rsidRDefault="00305F91" w:rsidP="004660E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75C8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Tarpinė reikšmė 2018 m. gruodžio 31 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13C" w14:textId="77777777" w:rsidR="00305F91" w:rsidRPr="00A75C8A" w:rsidRDefault="00305F91" w:rsidP="004660E9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75C8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AC3170" w14:paraId="09869590" w14:textId="77777777" w:rsidTr="00DD7861">
        <w:trPr>
          <w:trHeight w:val="4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1011" w14:textId="7F846FCB" w:rsidR="00AC3170" w:rsidDel="0085004D" w:rsidRDefault="0043631D" w:rsidP="00353FD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31D">
              <w:rPr>
                <w:rFonts w:ascii="Times New Roman" w:hAnsi="Times New Roman" w:cs="Times New Roman"/>
                <w:sz w:val="24"/>
                <w:szCs w:val="24"/>
              </w:rPr>
              <w:t>R.N.683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457E" w14:textId="6564CEBF" w:rsidR="00AC3170" w:rsidDel="0085004D" w:rsidRDefault="0074168D" w:rsidP="00353F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4168D">
              <w:rPr>
                <w:rFonts w:ascii="Times New Roman" w:eastAsia="Calibri" w:hAnsi="Times New Roman" w:cs="Times New Roman"/>
                <w:sz w:val="24"/>
                <w:szCs w:val="24"/>
              </w:rPr>
              <w:t>„Savivaldybių, prisijungusių prie</w:t>
            </w:r>
            <w:r w:rsidRPr="0074168D">
              <w:rPr>
                <w:rFonts w:ascii="Calibri" w:eastAsia="Calibri" w:hAnsi="Calibri" w:cs="Times New Roman"/>
              </w:rPr>
              <w:t xml:space="preserve"> </w:t>
            </w:r>
            <w:r w:rsidRPr="0074168D">
              <w:rPr>
                <w:rFonts w:ascii="Times New Roman" w:eastAsia="Calibri" w:hAnsi="Times New Roman" w:cs="Times New Roman"/>
                <w:sz w:val="24"/>
                <w:szCs w:val="24"/>
              </w:rPr>
              <w:t>integruotos ankstyvosios intervencijos, priklausomybių gydymo, socialinės integracijos ir žemo slenksčio paslaugų  teikimo sistemos dalis“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E62" w14:textId="5F2F3266" w:rsidR="00AC3170" w:rsidDel="0085004D" w:rsidRDefault="00D16F28" w:rsidP="00353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47F" w14:textId="366CB554" w:rsidR="00AC3170" w:rsidDel="0085004D" w:rsidRDefault="0043631D" w:rsidP="00353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69C" w14:textId="27A43E2F" w:rsidR="00AC3170" w:rsidDel="0085004D" w:rsidRDefault="00A55F57" w:rsidP="00353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</w:tr>
      <w:tr w:rsidR="00AC3170" w14:paraId="15FD5B2B" w14:textId="77777777" w:rsidTr="00DD7861">
        <w:trPr>
          <w:trHeight w:val="4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85F9" w14:textId="1EC3FCC5" w:rsidR="00AC3170" w:rsidDel="0085004D" w:rsidRDefault="0043631D" w:rsidP="00353FDE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3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R.N.682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778C" w14:textId="634E680F" w:rsidR="00AC3170" w:rsidDel="0085004D" w:rsidRDefault="0074168D" w:rsidP="00353FDE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4168D">
              <w:rPr>
                <w:rFonts w:ascii="Times New Roman" w:eastAsia="Calibri" w:hAnsi="Times New Roman" w:cs="Times New Roman"/>
                <w:sz w:val="24"/>
                <w:szCs w:val="24"/>
              </w:rPr>
              <w:t>„Žemo slenksčio paslaugų gavėjų apsilankymų žemo slenksčio paslaugų kabinetuose skaičiaus padidėjimas“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2ABF" w14:textId="79A68B7A" w:rsidR="00AC3170" w:rsidDel="0085004D" w:rsidRDefault="00AC3170" w:rsidP="00353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Procentai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904" w14:textId="7CF9ED56" w:rsidR="00AC3170" w:rsidDel="0085004D" w:rsidRDefault="00966F63" w:rsidP="00353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A06" w14:textId="1B130A4F" w:rsidR="00AC3170" w:rsidDel="0085004D" w:rsidRDefault="00966F63" w:rsidP="00353FD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02010E" w14:paraId="5230E697" w14:textId="77777777" w:rsidTr="004660E9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79A" w14:textId="77777777" w:rsidR="0002010E" w:rsidRPr="0002010E" w:rsidRDefault="0002010E" w:rsidP="004660E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2010E">
              <w:rPr>
                <w:rFonts w:ascii="Times New Roman" w:hAnsi="Times New Roman" w:cs="Times New Roman"/>
                <w:sz w:val="24"/>
                <w:szCs w:val="24"/>
              </w:rPr>
              <w:t>P.N.602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BE11" w14:textId="77777777" w:rsidR="0002010E" w:rsidRPr="00CB6A51" w:rsidRDefault="00630146" w:rsidP="004660E9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2B514E" w:rsidRPr="002B514E">
              <w:rPr>
                <w:rFonts w:ascii="Times New Roman" w:hAnsi="Times New Roman" w:cs="Times New Roman"/>
                <w:sz w:val="24"/>
                <w:szCs w:val="24"/>
              </w:rPr>
              <w:t>Mokymuose dalyvavę sveikatos priežiūros ir kiti specialistai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3F7" w14:textId="77777777" w:rsidR="0002010E" w:rsidRDefault="00501B0B" w:rsidP="004660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02010E">
              <w:rPr>
                <w:rFonts w:ascii="Times New Roman" w:hAnsi="Times New Roman" w:cs="Times New Roman"/>
                <w:sz w:val="24"/>
                <w:szCs w:val="24"/>
              </w:rPr>
              <w:t>smenys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0A3" w14:textId="2D5F9F2D" w:rsidR="0002010E" w:rsidRDefault="005A512D" w:rsidP="0046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891C" w14:textId="77777777" w:rsidR="0002010E" w:rsidRDefault="0002010E" w:rsidP="004660E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170</w:t>
            </w:r>
          </w:p>
        </w:tc>
      </w:tr>
      <w:tr w:rsidR="0043631D" w14:paraId="2785B323" w14:textId="77777777" w:rsidTr="004660E9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836" w14:textId="1CE0CB55" w:rsidR="0043631D" w:rsidRPr="0002010E" w:rsidRDefault="0043631D" w:rsidP="0043631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P.N.603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B43E" w14:textId="76E52B28" w:rsidR="0043631D" w:rsidRDefault="0043631D" w:rsidP="0043631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„Parengtos ir patvirtintos metodikos, tvarkos aprašai ir kiti dokumentai“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AC8E" w14:textId="50B58EF9" w:rsidR="0043631D" w:rsidRDefault="0043631D" w:rsidP="0043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8B25" w14:textId="603AC098" w:rsidR="0043631D" w:rsidRPr="00962DBC" w:rsidDel="005A512D" w:rsidRDefault="0043631D" w:rsidP="004363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FD4" w14:textId="48FB74C4" w:rsidR="0043631D" w:rsidRDefault="0043631D" w:rsidP="004363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</w:tr>
      <w:tr w:rsidR="0043631D" w14:paraId="38B2FCEC" w14:textId="77777777" w:rsidTr="004660E9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74E" w14:textId="71BB4C1B" w:rsidR="0043631D" w:rsidRPr="0002010E" w:rsidRDefault="0043631D" w:rsidP="0043631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P.N.672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DE5" w14:textId="77777777" w:rsidR="0043631D" w:rsidRDefault="0043631D" w:rsidP="0043631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„Atlikti tyrimai“</w:t>
            </w:r>
          </w:p>
          <w:p w14:paraId="2D1206E6" w14:textId="77777777" w:rsidR="0043631D" w:rsidRDefault="0043631D" w:rsidP="0043631D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E0C" w14:textId="3DAD3E39" w:rsidR="0043631D" w:rsidRDefault="0043631D" w:rsidP="004363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9B1" w14:textId="3A38D6FE" w:rsidR="0043631D" w:rsidRPr="00962DBC" w:rsidDel="005A512D" w:rsidRDefault="0043631D" w:rsidP="004363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224" w14:textId="319C9049" w:rsidR="0043631D" w:rsidRDefault="0043631D" w:rsidP="0043631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AC3170" w14:paraId="547C8039" w14:textId="77777777" w:rsidTr="004660E9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35E" w14:textId="35312978" w:rsidR="00AC3170" w:rsidRPr="0002010E" w:rsidRDefault="0043631D" w:rsidP="00AC317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31D">
              <w:rPr>
                <w:rFonts w:ascii="Times New Roman" w:hAnsi="Times New Roman" w:cs="Times New Roman"/>
                <w:sz w:val="24"/>
                <w:szCs w:val="24"/>
              </w:rPr>
              <w:t>P.N. 684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2D40" w14:textId="16ECE6A1" w:rsidR="00AC3170" w:rsidRDefault="0074168D" w:rsidP="00AC317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4168D">
              <w:rPr>
                <w:rFonts w:ascii="Times New Roman" w:eastAsia="Calibri" w:hAnsi="Times New Roman" w:cs="Times New Roman"/>
                <w:sz w:val="24"/>
                <w:szCs w:val="24"/>
              </w:rPr>
              <w:t>„Išduotų sterilių švirkštų žemo slenksčio paslaugų kabinetuose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A64" w14:textId="4C745C0D" w:rsidR="00AC3170" w:rsidRDefault="0043631D" w:rsidP="00AC3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BCBB" w14:textId="4EE246C4" w:rsidR="00AC3170" w:rsidRPr="00962DBC" w:rsidRDefault="00966F63" w:rsidP="00AC31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240 061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3C42" w14:textId="3B788514" w:rsidR="00AC3170" w:rsidRDefault="00966F63" w:rsidP="00AC31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252 064</w:t>
            </w:r>
          </w:p>
        </w:tc>
      </w:tr>
      <w:tr w:rsidR="00AC3170" w14:paraId="0A3055C3" w14:textId="77777777" w:rsidTr="004660E9">
        <w:trPr>
          <w:trHeight w:val="55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FDF3" w14:textId="5470FA73" w:rsidR="00AC3170" w:rsidRPr="0002010E" w:rsidRDefault="0043631D" w:rsidP="00286F54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631D">
              <w:rPr>
                <w:rFonts w:ascii="Times New Roman" w:hAnsi="Times New Roman" w:cs="Times New Roman"/>
                <w:sz w:val="24"/>
                <w:szCs w:val="24"/>
              </w:rPr>
              <w:t>P.N.685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184A" w14:textId="43B7B00C" w:rsidR="0043631D" w:rsidRDefault="0074168D" w:rsidP="00AC3170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74168D">
              <w:rPr>
                <w:rFonts w:ascii="Times New Roman" w:eastAsia="Calibri" w:hAnsi="Times New Roman" w:cs="Times New Roman"/>
                <w:sz w:val="24"/>
                <w:szCs w:val="24"/>
              </w:rPr>
              <w:t>„Žemo slenksčio paslaugų gavėjų apsilankymų žemo slenksčio paslaugų kabinetuose, skaičius“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8D87" w14:textId="3CD932B5" w:rsidR="00AC3170" w:rsidRDefault="0043631D" w:rsidP="00AC31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1D2" w14:textId="6C8A0A79" w:rsidR="00AC3170" w:rsidRPr="00962DBC" w:rsidRDefault="00966F63" w:rsidP="00AC31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46 238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74D0" w14:textId="34885FFF" w:rsidR="00AC3170" w:rsidRDefault="00966F63" w:rsidP="00AC317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48 549</w:t>
            </w:r>
          </w:p>
        </w:tc>
      </w:tr>
    </w:tbl>
    <w:p w14:paraId="0ECFB023" w14:textId="63A129E7" w:rsidR="00DF5470" w:rsidRDefault="00DF5470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D17363" w14:textId="77777777" w:rsidR="00FF146C" w:rsidRDefault="00FF146C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2A933D" w14:textId="14334AF7" w:rsidR="00BE1018" w:rsidRDefault="00BE1018" w:rsidP="00BE10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Priemonės finansavimo šaltiniai: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418"/>
        <w:gridCol w:w="1417"/>
        <w:gridCol w:w="1417"/>
        <w:gridCol w:w="1418"/>
        <w:gridCol w:w="1419"/>
        <w:gridCol w:w="1559"/>
      </w:tblGrid>
      <w:tr w:rsidR="00BE1018" w:rsidRPr="00C243AB" w14:paraId="0C74CAD2" w14:textId="77777777" w:rsidTr="00BE1018">
        <w:trPr>
          <w:trHeight w:val="454"/>
          <w:tblHeader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4FCC" w14:textId="77777777" w:rsidR="00BE1018" w:rsidRPr="00C243AB" w:rsidRDefault="00BE1018" w:rsidP="00BE101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745" w14:textId="77777777" w:rsidR="00BE1018" w:rsidRPr="00C243AB" w:rsidRDefault="00BE1018" w:rsidP="00BE101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E1018" w:rsidRPr="00C243AB" w14:paraId="069A4D2C" w14:textId="77777777" w:rsidTr="00BE1018">
        <w:trPr>
          <w:trHeight w:val="454"/>
          <w:tblHeader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58B37" w14:textId="77777777" w:rsidR="00BE1018" w:rsidRPr="00C243AB" w:rsidRDefault="00BE1018" w:rsidP="00BE101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3F0AAE46" w14:textId="77777777" w:rsidR="00BE1018" w:rsidRPr="00C243AB" w:rsidRDefault="00BE1018" w:rsidP="00BE101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17CC7F7C" w14:textId="77777777" w:rsidR="00BE1018" w:rsidRPr="00C243AB" w:rsidRDefault="00BE1018" w:rsidP="00BE1018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6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37989" w14:textId="77777777" w:rsidR="00BE1018" w:rsidRPr="00C243AB" w:rsidRDefault="00BE1018" w:rsidP="00BE1018">
            <w:pPr>
              <w:tabs>
                <w:tab w:val="left" w:pos="0"/>
                <w:tab w:val="left" w:pos="142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E1018" w:rsidRPr="00C243AB" w14:paraId="298BC537" w14:textId="77777777" w:rsidTr="00BE1018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8F40A3" w14:textId="77777777" w:rsidR="00BE1018" w:rsidRPr="00C243AB" w:rsidRDefault="00BE1018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55C1" w14:textId="77777777" w:rsidR="00364306" w:rsidRDefault="00BE1018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</w:t>
            </w:r>
          </w:p>
          <w:p w14:paraId="020FF450" w14:textId="0910B378" w:rsidR="00364306" w:rsidRDefault="00BE1018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biudžeto</w:t>
            </w:r>
          </w:p>
          <w:p w14:paraId="10934768" w14:textId="77777777" w:rsidR="00364306" w:rsidRDefault="00364306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77416B32" w14:textId="77777777" w:rsidR="00364306" w:rsidRDefault="00364306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23BA5A99" w14:textId="77777777" w:rsidR="00364306" w:rsidRDefault="00364306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AAF9B22" w14:textId="391C5FC8" w:rsidR="00BE1018" w:rsidRPr="00C243AB" w:rsidRDefault="00BE1018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lėšos – iki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31A" w14:textId="77777777" w:rsidR="00BE1018" w:rsidRPr="00C243AB" w:rsidRDefault="00BE1018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60C1BAB7" w14:textId="77777777" w:rsidR="00BE1018" w:rsidRDefault="00BE1018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  <w:p w14:paraId="1B83C791" w14:textId="77777777" w:rsidR="00364306" w:rsidRPr="00C243AB" w:rsidRDefault="00364306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</w:tr>
      <w:tr w:rsidR="00BE1018" w:rsidRPr="00C243AB" w14:paraId="719BDD83" w14:textId="77777777" w:rsidTr="00BE1018">
        <w:trPr>
          <w:cantSplit/>
          <w:trHeight w:val="1020"/>
          <w:tblHeader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AA04" w14:textId="77777777" w:rsidR="00BE1018" w:rsidRPr="00C243AB" w:rsidRDefault="00BE1018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4FE4" w14:textId="77777777" w:rsidR="00BE1018" w:rsidRPr="00C243AB" w:rsidRDefault="00BE1018" w:rsidP="00BE101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228" w14:textId="77777777" w:rsidR="00BE1018" w:rsidRPr="00C243AB" w:rsidRDefault="00BE1018" w:rsidP="00BE1018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5AB0" w14:textId="77777777" w:rsidR="00BE1018" w:rsidRPr="00C243AB" w:rsidRDefault="00BE1018" w:rsidP="00BE1018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E9D5" w14:textId="77777777" w:rsidR="00BE1018" w:rsidRPr="00C243AB" w:rsidRDefault="00BE1018" w:rsidP="00BE1018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74D04653" w14:textId="77777777" w:rsidR="00BE1018" w:rsidRPr="00C243AB" w:rsidRDefault="00BE1018" w:rsidP="00BE1018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D5F6" w14:textId="77777777" w:rsidR="00BE1018" w:rsidRPr="00C243AB" w:rsidRDefault="00BE1018" w:rsidP="00BE1018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294A" w14:textId="77777777" w:rsidR="00BE1018" w:rsidRPr="00C243AB" w:rsidRDefault="00BE1018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BE1018" w:rsidRPr="00C243AB" w14:paraId="749DD4B3" w14:textId="77777777" w:rsidTr="00BE1018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DE82" w14:textId="77777777" w:rsidR="00BE1018" w:rsidRPr="00C243AB" w:rsidRDefault="00BE1018" w:rsidP="00BE1018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BE1018" w:rsidRPr="00C243AB" w14:paraId="28F50639" w14:textId="77777777" w:rsidTr="00BE101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CF0F" w14:textId="77777777" w:rsidR="00BE1018" w:rsidRPr="00C243AB" w:rsidRDefault="00FB0EA5" w:rsidP="00962D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1 7</w:t>
            </w:r>
            <w:r w:rsidR="00962DB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24 606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725B" w14:textId="77777777" w:rsidR="00BE1018" w:rsidRPr="00C243AB" w:rsidRDefault="00FB0EA5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304</w:t>
            </w:r>
            <w:r w:rsidR="00962DB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C2DC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3570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B00E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BC90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C8FA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E1018" w:rsidRPr="00C243AB" w14:paraId="24A06CC7" w14:textId="77777777" w:rsidTr="00BE1018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85A8" w14:textId="77777777" w:rsidR="00BE1018" w:rsidRPr="00C243AB" w:rsidRDefault="00BE1018" w:rsidP="00BE1018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243AB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E1018" w:rsidRPr="00C243AB" w14:paraId="5BCBA143" w14:textId="77777777" w:rsidTr="00BE101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D39A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9576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9387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7CB6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D5A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381F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A93F" w14:textId="77777777" w:rsidR="00BE1018" w:rsidRPr="00C243AB" w:rsidRDefault="00A02899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E1018" w:rsidRPr="00C243AB" w14:paraId="642E0303" w14:textId="77777777" w:rsidTr="00BE1018">
        <w:trPr>
          <w:trHeight w:val="249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7D34" w14:textId="77777777" w:rsidR="00BE1018" w:rsidRPr="00C243AB" w:rsidRDefault="00962DBC" w:rsidP="00816206">
            <w:pPr>
              <w:tabs>
                <w:tab w:val="left" w:pos="0"/>
              </w:tabs>
              <w:ind w:left="720" w:hanging="360"/>
              <w:contextualSpacing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3. Iš viso: </w:t>
            </w:r>
          </w:p>
        </w:tc>
      </w:tr>
      <w:tr w:rsidR="00BE1018" w:rsidRPr="00C243AB" w14:paraId="5826CE5F" w14:textId="77777777" w:rsidTr="00BE1018">
        <w:trPr>
          <w:trHeight w:val="24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8319" w14:textId="77777777" w:rsidR="00BE1018" w:rsidRPr="00C243AB" w:rsidRDefault="00FB0EA5" w:rsidP="00962DBC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1 7</w:t>
            </w:r>
            <w:r w:rsidR="00962DBC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24 606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D55" w14:textId="77777777" w:rsidR="00BE1018" w:rsidRPr="00C243AB" w:rsidRDefault="00FB0EA5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304 342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B43" w14:textId="77777777" w:rsidR="00BE1018" w:rsidRPr="00C243AB" w:rsidRDefault="0086091A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399" w14:textId="77777777" w:rsidR="00BE1018" w:rsidRPr="00C243AB" w:rsidRDefault="0086091A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F82" w14:textId="77777777" w:rsidR="00BE1018" w:rsidRPr="00C243AB" w:rsidRDefault="0086091A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106C" w14:textId="77777777" w:rsidR="00BE1018" w:rsidRPr="00C243AB" w:rsidRDefault="0086091A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E30A" w14:textId="77777777" w:rsidR="00BE1018" w:rsidRPr="00C243AB" w:rsidRDefault="0086091A" w:rsidP="00BE10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0BCAFBF1" w14:textId="77777777" w:rsidR="00521CBE" w:rsidRPr="00521CBE" w:rsidRDefault="00521CBE" w:rsidP="00521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21CBE" w:rsidRPr="00521CBE" w:rsidSect="002F7327">
      <w:pgSz w:w="11906" w:h="16838" w:code="9"/>
      <w:pgMar w:top="964" w:right="567" w:bottom="964" w:left="1418" w:header="561" w:footer="686" w:gutter="0"/>
      <w:pgNumType w:start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C540B" w14:textId="77777777" w:rsidR="00474A35" w:rsidRDefault="00474A35">
      <w:pPr>
        <w:spacing w:after="0" w:line="240" w:lineRule="auto"/>
      </w:pPr>
      <w:r>
        <w:separator/>
      </w:r>
    </w:p>
  </w:endnote>
  <w:endnote w:type="continuationSeparator" w:id="0">
    <w:p w14:paraId="5944F223" w14:textId="77777777" w:rsidR="00474A35" w:rsidRDefault="0047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FFAD5" w14:textId="77777777" w:rsidR="00474A35" w:rsidRDefault="00474A35">
      <w:pPr>
        <w:spacing w:after="0" w:line="240" w:lineRule="auto"/>
      </w:pPr>
      <w:r>
        <w:separator/>
      </w:r>
    </w:p>
  </w:footnote>
  <w:footnote w:type="continuationSeparator" w:id="0">
    <w:p w14:paraId="6210CB78" w14:textId="77777777" w:rsidR="00474A35" w:rsidRDefault="0047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E20BE0"/>
    <w:multiLevelType w:val="multilevel"/>
    <w:tmpl w:val="714CC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" w15:restartNumberingAfterBreak="0">
    <w:nsid w:val="14D30D10"/>
    <w:multiLevelType w:val="hybridMultilevel"/>
    <w:tmpl w:val="2118E4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8F"/>
    <w:rsid w:val="00000C04"/>
    <w:rsid w:val="000059E9"/>
    <w:rsid w:val="00007753"/>
    <w:rsid w:val="00010B3F"/>
    <w:rsid w:val="0002010E"/>
    <w:rsid w:val="000220A7"/>
    <w:rsid w:val="0002275D"/>
    <w:rsid w:val="00034175"/>
    <w:rsid w:val="0005670A"/>
    <w:rsid w:val="00057709"/>
    <w:rsid w:val="000658E6"/>
    <w:rsid w:val="00070970"/>
    <w:rsid w:val="0008160D"/>
    <w:rsid w:val="00087287"/>
    <w:rsid w:val="00091E6C"/>
    <w:rsid w:val="0009583B"/>
    <w:rsid w:val="00095B30"/>
    <w:rsid w:val="000A4025"/>
    <w:rsid w:val="000A4730"/>
    <w:rsid w:val="000A5CA5"/>
    <w:rsid w:val="000B1083"/>
    <w:rsid w:val="000D0412"/>
    <w:rsid w:val="000D2B8F"/>
    <w:rsid w:val="000D3715"/>
    <w:rsid w:val="000D469D"/>
    <w:rsid w:val="000D744A"/>
    <w:rsid w:val="000E3180"/>
    <w:rsid w:val="000E542D"/>
    <w:rsid w:val="00107585"/>
    <w:rsid w:val="001173D6"/>
    <w:rsid w:val="00120E51"/>
    <w:rsid w:val="00124F3B"/>
    <w:rsid w:val="00136ECF"/>
    <w:rsid w:val="00143276"/>
    <w:rsid w:val="00152E61"/>
    <w:rsid w:val="0016102A"/>
    <w:rsid w:val="0016454A"/>
    <w:rsid w:val="001826F6"/>
    <w:rsid w:val="00183241"/>
    <w:rsid w:val="00184AD9"/>
    <w:rsid w:val="001864CC"/>
    <w:rsid w:val="001A1C5C"/>
    <w:rsid w:val="001B4714"/>
    <w:rsid w:val="001B70CF"/>
    <w:rsid w:val="001B79F8"/>
    <w:rsid w:val="001C3B56"/>
    <w:rsid w:val="001C4C66"/>
    <w:rsid w:val="001C6791"/>
    <w:rsid w:val="001C73C6"/>
    <w:rsid w:val="001D4259"/>
    <w:rsid w:val="001E1C10"/>
    <w:rsid w:val="001E37B5"/>
    <w:rsid w:val="001E5FDC"/>
    <w:rsid w:val="001E6E41"/>
    <w:rsid w:val="001F067F"/>
    <w:rsid w:val="001F4077"/>
    <w:rsid w:val="001F6FEA"/>
    <w:rsid w:val="001F7896"/>
    <w:rsid w:val="002004E5"/>
    <w:rsid w:val="002050AF"/>
    <w:rsid w:val="00205225"/>
    <w:rsid w:val="00221B99"/>
    <w:rsid w:val="002259A6"/>
    <w:rsid w:val="00237967"/>
    <w:rsid w:val="00240918"/>
    <w:rsid w:val="00252EBD"/>
    <w:rsid w:val="00252F76"/>
    <w:rsid w:val="00255415"/>
    <w:rsid w:val="00265688"/>
    <w:rsid w:val="002850D2"/>
    <w:rsid w:val="00285A72"/>
    <w:rsid w:val="0028671E"/>
    <w:rsid w:val="00286F54"/>
    <w:rsid w:val="0029487C"/>
    <w:rsid w:val="0029673E"/>
    <w:rsid w:val="00297E85"/>
    <w:rsid w:val="002A011E"/>
    <w:rsid w:val="002A4BED"/>
    <w:rsid w:val="002A794E"/>
    <w:rsid w:val="002B514E"/>
    <w:rsid w:val="002C1AA0"/>
    <w:rsid w:val="002C4E3B"/>
    <w:rsid w:val="002E195A"/>
    <w:rsid w:val="002F01B5"/>
    <w:rsid w:val="002F0255"/>
    <w:rsid w:val="002F17C4"/>
    <w:rsid w:val="002F7327"/>
    <w:rsid w:val="0030057E"/>
    <w:rsid w:val="00305F91"/>
    <w:rsid w:val="00312E66"/>
    <w:rsid w:val="00315D2E"/>
    <w:rsid w:val="00325001"/>
    <w:rsid w:val="00335A76"/>
    <w:rsid w:val="0034648F"/>
    <w:rsid w:val="003500BE"/>
    <w:rsid w:val="00353FDE"/>
    <w:rsid w:val="00354BD5"/>
    <w:rsid w:val="00356830"/>
    <w:rsid w:val="0035731B"/>
    <w:rsid w:val="00364306"/>
    <w:rsid w:val="00365666"/>
    <w:rsid w:val="00374A81"/>
    <w:rsid w:val="00376536"/>
    <w:rsid w:val="00393934"/>
    <w:rsid w:val="003A1AB6"/>
    <w:rsid w:val="003A1E25"/>
    <w:rsid w:val="003B0D35"/>
    <w:rsid w:val="003B3E8F"/>
    <w:rsid w:val="003B54E1"/>
    <w:rsid w:val="003D6C1E"/>
    <w:rsid w:val="003E0078"/>
    <w:rsid w:val="003E4445"/>
    <w:rsid w:val="003F3F30"/>
    <w:rsid w:val="003F624A"/>
    <w:rsid w:val="003F77BC"/>
    <w:rsid w:val="00407C0D"/>
    <w:rsid w:val="00415FF4"/>
    <w:rsid w:val="00423AD2"/>
    <w:rsid w:val="0042584C"/>
    <w:rsid w:val="00427FA4"/>
    <w:rsid w:val="004321C6"/>
    <w:rsid w:val="0043631D"/>
    <w:rsid w:val="00451EBE"/>
    <w:rsid w:val="004602AA"/>
    <w:rsid w:val="004610E3"/>
    <w:rsid w:val="004660E9"/>
    <w:rsid w:val="004724E5"/>
    <w:rsid w:val="00474A35"/>
    <w:rsid w:val="00476840"/>
    <w:rsid w:val="0047700D"/>
    <w:rsid w:val="00484B5D"/>
    <w:rsid w:val="0049641A"/>
    <w:rsid w:val="00496671"/>
    <w:rsid w:val="004A30B0"/>
    <w:rsid w:val="004B22A6"/>
    <w:rsid w:val="004B33F9"/>
    <w:rsid w:val="004C506F"/>
    <w:rsid w:val="004E0147"/>
    <w:rsid w:val="004E0AAE"/>
    <w:rsid w:val="004E1FD6"/>
    <w:rsid w:val="004E37AC"/>
    <w:rsid w:val="004E3912"/>
    <w:rsid w:val="004E6608"/>
    <w:rsid w:val="004E723F"/>
    <w:rsid w:val="00501B0B"/>
    <w:rsid w:val="005044D6"/>
    <w:rsid w:val="00513DEA"/>
    <w:rsid w:val="005158FC"/>
    <w:rsid w:val="00516822"/>
    <w:rsid w:val="00521CBE"/>
    <w:rsid w:val="00531723"/>
    <w:rsid w:val="00532C83"/>
    <w:rsid w:val="00542450"/>
    <w:rsid w:val="0054338D"/>
    <w:rsid w:val="005468D3"/>
    <w:rsid w:val="00553F2E"/>
    <w:rsid w:val="0057091D"/>
    <w:rsid w:val="005711E5"/>
    <w:rsid w:val="00571BEE"/>
    <w:rsid w:val="00571C38"/>
    <w:rsid w:val="00574577"/>
    <w:rsid w:val="005754F6"/>
    <w:rsid w:val="0058581A"/>
    <w:rsid w:val="005862DB"/>
    <w:rsid w:val="00591690"/>
    <w:rsid w:val="00597A62"/>
    <w:rsid w:val="005A512D"/>
    <w:rsid w:val="005A5953"/>
    <w:rsid w:val="005A6888"/>
    <w:rsid w:val="005B2D30"/>
    <w:rsid w:val="005B4393"/>
    <w:rsid w:val="005C07A1"/>
    <w:rsid w:val="005C2C3B"/>
    <w:rsid w:val="005E1ABE"/>
    <w:rsid w:val="005E2DF8"/>
    <w:rsid w:val="005E4A77"/>
    <w:rsid w:val="005F7272"/>
    <w:rsid w:val="00600917"/>
    <w:rsid w:val="00612BD6"/>
    <w:rsid w:val="00612DC8"/>
    <w:rsid w:val="00617BED"/>
    <w:rsid w:val="00630146"/>
    <w:rsid w:val="00636664"/>
    <w:rsid w:val="006366B6"/>
    <w:rsid w:val="0064106D"/>
    <w:rsid w:val="006428F9"/>
    <w:rsid w:val="0065465F"/>
    <w:rsid w:val="0066358A"/>
    <w:rsid w:val="00677549"/>
    <w:rsid w:val="00681D88"/>
    <w:rsid w:val="00681ECE"/>
    <w:rsid w:val="0069347D"/>
    <w:rsid w:val="00694B44"/>
    <w:rsid w:val="006B08F0"/>
    <w:rsid w:val="006B13FC"/>
    <w:rsid w:val="006B576E"/>
    <w:rsid w:val="006B628B"/>
    <w:rsid w:val="006B698E"/>
    <w:rsid w:val="006B740B"/>
    <w:rsid w:val="006C4C46"/>
    <w:rsid w:val="006E482E"/>
    <w:rsid w:val="006E56F5"/>
    <w:rsid w:val="006F55F6"/>
    <w:rsid w:val="00715D24"/>
    <w:rsid w:val="00723AAE"/>
    <w:rsid w:val="00736476"/>
    <w:rsid w:val="00737966"/>
    <w:rsid w:val="0074168D"/>
    <w:rsid w:val="00751077"/>
    <w:rsid w:val="007541B5"/>
    <w:rsid w:val="0075477E"/>
    <w:rsid w:val="00763759"/>
    <w:rsid w:val="007642A5"/>
    <w:rsid w:val="007673E8"/>
    <w:rsid w:val="00774451"/>
    <w:rsid w:val="00774661"/>
    <w:rsid w:val="00775FE7"/>
    <w:rsid w:val="0078054B"/>
    <w:rsid w:val="007862E0"/>
    <w:rsid w:val="00787DE7"/>
    <w:rsid w:val="00795928"/>
    <w:rsid w:val="007A4E0C"/>
    <w:rsid w:val="007A700D"/>
    <w:rsid w:val="007B40A1"/>
    <w:rsid w:val="007B47C2"/>
    <w:rsid w:val="007C04FF"/>
    <w:rsid w:val="007C2CD2"/>
    <w:rsid w:val="007C5A20"/>
    <w:rsid w:val="007C6801"/>
    <w:rsid w:val="007D02A8"/>
    <w:rsid w:val="007D549C"/>
    <w:rsid w:val="007D6914"/>
    <w:rsid w:val="007E27E4"/>
    <w:rsid w:val="007F07EC"/>
    <w:rsid w:val="008073C9"/>
    <w:rsid w:val="00810271"/>
    <w:rsid w:val="00814FB8"/>
    <w:rsid w:val="00816206"/>
    <w:rsid w:val="008208D3"/>
    <w:rsid w:val="00824595"/>
    <w:rsid w:val="00827E9C"/>
    <w:rsid w:val="00832C0F"/>
    <w:rsid w:val="00836167"/>
    <w:rsid w:val="00840C71"/>
    <w:rsid w:val="00844589"/>
    <w:rsid w:val="00847305"/>
    <w:rsid w:val="0085004D"/>
    <w:rsid w:val="00851F88"/>
    <w:rsid w:val="008521FD"/>
    <w:rsid w:val="0086091A"/>
    <w:rsid w:val="00867462"/>
    <w:rsid w:val="0088342E"/>
    <w:rsid w:val="00883F62"/>
    <w:rsid w:val="0088441A"/>
    <w:rsid w:val="00886F39"/>
    <w:rsid w:val="008A5890"/>
    <w:rsid w:val="008A6BB4"/>
    <w:rsid w:val="008B1B07"/>
    <w:rsid w:val="008C5B45"/>
    <w:rsid w:val="008C7143"/>
    <w:rsid w:val="008D657D"/>
    <w:rsid w:val="008D740B"/>
    <w:rsid w:val="008F4898"/>
    <w:rsid w:val="008F5812"/>
    <w:rsid w:val="00902B4C"/>
    <w:rsid w:val="00903C0D"/>
    <w:rsid w:val="00904A89"/>
    <w:rsid w:val="00916C61"/>
    <w:rsid w:val="0092536A"/>
    <w:rsid w:val="00925655"/>
    <w:rsid w:val="009348DA"/>
    <w:rsid w:val="00941B12"/>
    <w:rsid w:val="0094494D"/>
    <w:rsid w:val="009453B0"/>
    <w:rsid w:val="00946B3B"/>
    <w:rsid w:val="0095227B"/>
    <w:rsid w:val="00954FA4"/>
    <w:rsid w:val="00955BCF"/>
    <w:rsid w:val="00961B24"/>
    <w:rsid w:val="00962DBC"/>
    <w:rsid w:val="009639B6"/>
    <w:rsid w:val="00963CC3"/>
    <w:rsid w:val="00966F63"/>
    <w:rsid w:val="00974860"/>
    <w:rsid w:val="00976B3A"/>
    <w:rsid w:val="009A1DB7"/>
    <w:rsid w:val="009B456C"/>
    <w:rsid w:val="009B7A0A"/>
    <w:rsid w:val="009C1ECA"/>
    <w:rsid w:val="009C7729"/>
    <w:rsid w:val="009F3274"/>
    <w:rsid w:val="00A02899"/>
    <w:rsid w:val="00A0292A"/>
    <w:rsid w:val="00A071F5"/>
    <w:rsid w:val="00A2457D"/>
    <w:rsid w:val="00A25D66"/>
    <w:rsid w:val="00A303EA"/>
    <w:rsid w:val="00A32553"/>
    <w:rsid w:val="00A34102"/>
    <w:rsid w:val="00A4085F"/>
    <w:rsid w:val="00A40EFF"/>
    <w:rsid w:val="00A45686"/>
    <w:rsid w:val="00A55F57"/>
    <w:rsid w:val="00A577D1"/>
    <w:rsid w:val="00A7471E"/>
    <w:rsid w:val="00A75327"/>
    <w:rsid w:val="00A75C8A"/>
    <w:rsid w:val="00A83B4E"/>
    <w:rsid w:val="00A932EE"/>
    <w:rsid w:val="00AA1772"/>
    <w:rsid w:val="00AA2180"/>
    <w:rsid w:val="00AB54F0"/>
    <w:rsid w:val="00AC3170"/>
    <w:rsid w:val="00AC790B"/>
    <w:rsid w:val="00AD3046"/>
    <w:rsid w:val="00AD5B4D"/>
    <w:rsid w:val="00AE0B78"/>
    <w:rsid w:val="00AE590C"/>
    <w:rsid w:val="00AF35CE"/>
    <w:rsid w:val="00AF7374"/>
    <w:rsid w:val="00B146CB"/>
    <w:rsid w:val="00B26570"/>
    <w:rsid w:val="00B31D83"/>
    <w:rsid w:val="00B32FAC"/>
    <w:rsid w:val="00B37A38"/>
    <w:rsid w:val="00B41261"/>
    <w:rsid w:val="00B420E1"/>
    <w:rsid w:val="00B4621F"/>
    <w:rsid w:val="00B46423"/>
    <w:rsid w:val="00B465FC"/>
    <w:rsid w:val="00B46CDD"/>
    <w:rsid w:val="00B53E94"/>
    <w:rsid w:val="00B54775"/>
    <w:rsid w:val="00B555D4"/>
    <w:rsid w:val="00B97889"/>
    <w:rsid w:val="00BC0726"/>
    <w:rsid w:val="00BE002C"/>
    <w:rsid w:val="00BE1018"/>
    <w:rsid w:val="00BE4253"/>
    <w:rsid w:val="00BE646A"/>
    <w:rsid w:val="00BE667D"/>
    <w:rsid w:val="00BF3B44"/>
    <w:rsid w:val="00C07BC7"/>
    <w:rsid w:val="00C10316"/>
    <w:rsid w:val="00C12143"/>
    <w:rsid w:val="00C12979"/>
    <w:rsid w:val="00C151F9"/>
    <w:rsid w:val="00C20463"/>
    <w:rsid w:val="00C351DF"/>
    <w:rsid w:val="00C37B47"/>
    <w:rsid w:val="00C41291"/>
    <w:rsid w:val="00C47DEC"/>
    <w:rsid w:val="00C521A6"/>
    <w:rsid w:val="00C61022"/>
    <w:rsid w:val="00C70B08"/>
    <w:rsid w:val="00C72AD7"/>
    <w:rsid w:val="00C843B4"/>
    <w:rsid w:val="00C91175"/>
    <w:rsid w:val="00C92B15"/>
    <w:rsid w:val="00C92D0D"/>
    <w:rsid w:val="00CA622F"/>
    <w:rsid w:val="00CB6A51"/>
    <w:rsid w:val="00CB785E"/>
    <w:rsid w:val="00CC15C0"/>
    <w:rsid w:val="00CC1F7A"/>
    <w:rsid w:val="00CD0BD1"/>
    <w:rsid w:val="00CD41CE"/>
    <w:rsid w:val="00CE0484"/>
    <w:rsid w:val="00CE199B"/>
    <w:rsid w:val="00CE2D26"/>
    <w:rsid w:val="00CE2D29"/>
    <w:rsid w:val="00CE478F"/>
    <w:rsid w:val="00CE4C88"/>
    <w:rsid w:val="00CE5092"/>
    <w:rsid w:val="00CF5C95"/>
    <w:rsid w:val="00D064E8"/>
    <w:rsid w:val="00D0707A"/>
    <w:rsid w:val="00D15C03"/>
    <w:rsid w:val="00D16F28"/>
    <w:rsid w:val="00D17545"/>
    <w:rsid w:val="00D2383B"/>
    <w:rsid w:val="00D26EB7"/>
    <w:rsid w:val="00D8188A"/>
    <w:rsid w:val="00D84375"/>
    <w:rsid w:val="00D873B4"/>
    <w:rsid w:val="00D87E65"/>
    <w:rsid w:val="00D97F7C"/>
    <w:rsid w:val="00DA10BA"/>
    <w:rsid w:val="00DA4FDF"/>
    <w:rsid w:val="00DB23E3"/>
    <w:rsid w:val="00DB6B19"/>
    <w:rsid w:val="00DB7463"/>
    <w:rsid w:val="00DC0594"/>
    <w:rsid w:val="00DD7861"/>
    <w:rsid w:val="00DE45E6"/>
    <w:rsid w:val="00DF31FA"/>
    <w:rsid w:val="00DF3DE6"/>
    <w:rsid w:val="00DF5470"/>
    <w:rsid w:val="00DF5916"/>
    <w:rsid w:val="00DF7553"/>
    <w:rsid w:val="00E06746"/>
    <w:rsid w:val="00E105A9"/>
    <w:rsid w:val="00E14673"/>
    <w:rsid w:val="00E14C22"/>
    <w:rsid w:val="00E1558E"/>
    <w:rsid w:val="00E231FD"/>
    <w:rsid w:val="00E36C43"/>
    <w:rsid w:val="00E44D93"/>
    <w:rsid w:val="00E46EDC"/>
    <w:rsid w:val="00E51093"/>
    <w:rsid w:val="00E52350"/>
    <w:rsid w:val="00E65254"/>
    <w:rsid w:val="00E7043C"/>
    <w:rsid w:val="00E72D5A"/>
    <w:rsid w:val="00E82904"/>
    <w:rsid w:val="00E909F3"/>
    <w:rsid w:val="00E92D84"/>
    <w:rsid w:val="00E96A48"/>
    <w:rsid w:val="00E96F38"/>
    <w:rsid w:val="00EA3F3C"/>
    <w:rsid w:val="00EA64B5"/>
    <w:rsid w:val="00EB1A74"/>
    <w:rsid w:val="00EB5A25"/>
    <w:rsid w:val="00EC1405"/>
    <w:rsid w:val="00EC3F56"/>
    <w:rsid w:val="00EE0CE5"/>
    <w:rsid w:val="00F11E16"/>
    <w:rsid w:val="00F15888"/>
    <w:rsid w:val="00F162CF"/>
    <w:rsid w:val="00F17940"/>
    <w:rsid w:val="00F24129"/>
    <w:rsid w:val="00F3241D"/>
    <w:rsid w:val="00F36351"/>
    <w:rsid w:val="00F4018B"/>
    <w:rsid w:val="00F45940"/>
    <w:rsid w:val="00F51B25"/>
    <w:rsid w:val="00F54474"/>
    <w:rsid w:val="00F70301"/>
    <w:rsid w:val="00F7385F"/>
    <w:rsid w:val="00F74908"/>
    <w:rsid w:val="00F7787B"/>
    <w:rsid w:val="00F80616"/>
    <w:rsid w:val="00F95DDD"/>
    <w:rsid w:val="00F97837"/>
    <w:rsid w:val="00FB0EA5"/>
    <w:rsid w:val="00FB23F7"/>
    <w:rsid w:val="00FB4FC6"/>
    <w:rsid w:val="00FC1E0E"/>
    <w:rsid w:val="00FC47EA"/>
    <w:rsid w:val="00FC4A6F"/>
    <w:rsid w:val="00FC588B"/>
    <w:rsid w:val="00FD2668"/>
    <w:rsid w:val="00FD28B2"/>
    <w:rsid w:val="00FE6E41"/>
    <w:rsid w:val="00FF146C"/>
    <w:rsid w:val="00FF5306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F588"/>
  <w15:docId w15:val="{5CC7D8FD-9112-4662-BE50-A1F3CD2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8D740B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902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902B4C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Default">
    <w:name w:val="Default"/>
    <w:rsid w:val="00265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raopastraipa1">
    <w:name w:val="Sąrašo pastraipa1"/>
    <w:basedOn w:val="prastasis"/>
    <w:uiPriority w:val="99"/>
    <w:qFormat/>
    <w:rsid w:val="00BE1018"/>
    <w:pPr>
      <w:ind w:left="720"/>
    </w:pPr>
    <w:rPr>
      <w:rFonts w:ascii="Calibri" w:eastAsia="Calibri" w:hAnsi="Calibri" w:cs="Calibri"/>
    </w:rPr>
  </w:style>
  <w:style w:type="character" w:styleId="Hipersaitas">
    <w:name w:val="Hyperlink"/>
    <w:basedOn w:val="Numatytasispastraiposriftas"/>
    <w:uiPriority w:val="99"/>
    <w:unhideWhenUsed/>
    <w:rsid w:val="004E723F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EE0CE5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EE0CE5"/>
    <w:rPr>
      <w:rFonts w:ascii="Calibri" w:hAnsi="Calibri"/>
      <w:szCs w:val="21"/>
    </w:rPr>
  </w:style>
  <w:style w:type="paragraph" w:styleId="Betarp">
    <w:name w:val="No Spacing"/>
    <w:uiPriority w:val="1"/>
    <w:qFormat/>
    <w:rsid w:val="00107585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4E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7B623-0AB2-446F-99A6-45EFCFAF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3784</Words>
  <Characters>2158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Sandra Jarašiūnienė</cp:lastModifiedBy>
  <cp:revision>2</cp:revision>
  <cp:lastPrinted>2016-07-19T13:05:00Z</cp:lastPrinted>
  <dcterms:created xsi:type="dcterms:W3CDTF">2017-06-23T11:21:00Z</dcterms:created>
  <dcterms:modified xsi:type="dcterms:W3CDTF">2017-06-23T11:21:00Z</dcterms:modified>
</cp:coreProperties>
</file>