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DE" w:rsidRDefault="000158DE">
      <w:pPr>
        <w:spacing w:after="60"/>
        <w:jc w:val="center"/>
        <w:rPr>
          <w:b/>
          <w:bCs/>
        </w:rPr>
      </w:pPr>
    </w:p>
    <w:p w:rsidR="00D00D1F" w:rsidRDefault="00456518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D00D1F" w:rsidRDefault="00F27C75">
      <w:pPr>
        <w:jc w:val="center"/>
        <w:rPr>
          <w:b/>
        </w:rPr>
      </w:pPr>
      <w:r>
        <w:rPr>
          <w:b/>
        </w:rPr>
        <w:t xml:space="preserve">DĖL LIETUVOS RESPUBLIKOS APLINKOS MINISTRO 2014 M. GRUODŽIO 19 D. ĮSAKYMO NR. D1-1050 „DĖL </w:t>
      </w:r>
      <w:r w:rsidRPr="005A0025">
        <w:rPr>
          <w:b/>
        </w:rPr>
        <w:t>20</w:t>
      </w:r>
      <w:r>
        <w:rPr>
          <w:b/>
        </w:rPr>
        <w:t>14</w:t>
      </w:r>
      <w:r w:rsidRPr="005A0025">
        <w:rPr>
          <w:b/>
        </w:rPr>
        <w:t>–20</w:t>
      </w:r>
      <w:r>
        <w:rPr>
          <w:b/>
        </w:rPr>
        <w:t>20</w:t>
      </w:r>
      <w:r w:rsidRPr="005A0025">
        <w:rPr>
          <w:b/>
        </w:rPr>
        <w:t xml:space="preserve"> </w:t>
      </w:r>
      <w:r>
        <w:rPr>
          <w:b/>
        </w:rPr>
        <w:t>METŲ</w:t>
      </w:r>
      <w:r w:rsidRPr="005A0025">
        <w:rPr>
          <w:b/>
        </w:rPr>
        <w:t xml:space="preserve"> EUROPOS SĄJUNGOS </w:t>
      </w:r>
      <w:r>
        <w:rPr>
          <w:b/>
        </w:rPr>
        <w:t>FONDŲ INVESTICIJŲ VEIKSMŲ PROGRAMOS PRIORITETO ĮGYVENDINIMO PRIEMONIŲ</w:t>
      </w:r>
      <w:r w:rsidRPr="00461766">
        <w:rPr>
          <w:b/>
        </w:rPr>
        <w:t xml:space="preserve"> ĮGYVENDINIMO </w:t>
      </w:r>
      <w:r>
        <w:rPr>
          <w:b/>
          <w:caps/>
        </w:rPr>
        <w:t>PLANO IR NACIONALINIŲ STEBĖSENOS RODIKLIŲ SKAIČIAVIMO APRAŠO PATVIRTINIMO“ PAKEITIMO</w:t>
      </w:r>
    </w:p>
    <w:p w:rsidR="00D00D1F" w:rsidRDefault="00D00D1F">
      <w:pPr>
        <w:jc w:val="center"/>
        <w:rPr>
          <w:b/>
        </w:rPr>
      </w:pPr>
    </w:p>
    <w:p w:rsidR="0002414D" w:rsidRDefault="0002414D">
      <w:pPr>
        <w:jc w:val="center"/>
        <w:rPr>
          <w:b/>
        </w:rPr>
      </w:pPr>
    </w:p>
    <w:p w:rsidR="002B1D2A" w:rsidRDefault="002B1D2A" w:rsidP="002B1D2A">
      <w:pPr>
        <w:jc w:val="center"/>
      </w:pPr>
      <w:r>
        <w:t>2017 m.</w:t>
      </w:r>
      <w:r w:rsidR="00E25DD2">
        <w:t xml:space="preserve"> </w:t>
      </w:r>
      <w:r w:rsidR="00C869CD">
        <w:t>liepos</w:t>
      </w:r>
      <w:r>
        <w:t xml:space="preserve">    d. Nr. D1-</w:t>
      </w:r>
    </w:p>
    <w:p w:rsidR="00D00D1F" w:rsidRDefault="00D00D1F">
      <w:pPr>
        <w:jc w:val="center"/>
      </w:pPr>
      <w:r>
        <w:t>Vilnius</w:t>
      </w:r>
      <w:r>
        <w:br/>
      </w:r>
    </w:p>
    <w:p w:rsidR="0002414D" w:rsidRDefault="0002414D">
      <w:pPr>
        <w:jc w:val="center"/>
      </w:pPr>
    </w:p>
    <w:p w:rsidR="00F87A6A" w:rsidRDefault="005E504B" w:rsidP="005E504B">
      <w:pPr>
        <w:pStyle w:val="ListParagraph"/>
        <w:keepLines/>
        <w:ind w:left="0" w:firstLine="426"/>
        <w:jc w:val="both"/>
        <w:textAlignment w:val="center"/>
      </w:pPr>
      <w:r>
        <w:t xml:space="preserve">P a k e i č i u  </w:t>
      </w:r>
      <w:r w:rsidR="00F87A6A" w:rsidRPr="00F87A6A">
        <w:t xml:space="preserve">Lietuvos Respublikos aplinkos ministro 2014 m. gruodžio 19 d. įsakymą </w:t>
      </w:r>
      <w:r w:rsidR="00C869CD">
        <w:t xml:space="preserve">      </w:t>
      </w:r>
      <w:r w:rsidR="00F87A6A" w:rsidRPr="00F87A6A">
        <w:t>Nr. D1-1050 „Dėl 2014–2020 metų Europos Sąjungos fondų investicijų veiksmų programos prioriteto įgyvendinimo priemonių įgyvendinimo plano ir nacionalinių stebėsenos rodiklių skaičiavimo aprašo patvirtinimo“:</w:t>
      </w:r>
    </w:p>
    <w:p w:rsidR="00AE0E2C" w:rsidRDefault="00F63481" w:rsidP="00AB4B22">
      <w:pPr>
        <w:pStyle w:val="ListParagraph"/>
        <w:keepLines/>
        <w:numPr>
          <w:ilvl w:val="0"/>
          <w:numId w:val="23"/>
        </w:numPr>
        <w:ind w:left="0" w:firstLine="426"/>
        <w:jc w:val="both"/>
        <w:textAlignment w:val="center"/>
      </w:pPr>
      <w:r>
        <w:t>p</w:t>
      </w:r>
      <w:r w:rsidR="00F87A6A">
        <w:t xml:space="preserve">akeičiu </w:t>
      </w:r>
      <w:r w:rsidR="005E504B" w:rsidRPr="0068756B">
        <w:t>2014–2020 metų Europos Sąjungos fondų investicijų veiksmų programos prioriteto įgyvendinimo priemonių įgyvendinimo plan</w:t>
      </w:r>
      <w:r w:rsidR="00AE0E2C">
        <w:t>o</w:t>
      </w:r>
      <w:r w:rsidR="0030053F">
        <w:t xml:space="preserve"> </w:t>
      </w:r>
      <w:r w:rsidR="005E504B" w:rsidRPr="0068756B">
        <w:t>I</w:t>
      </w:r>
      <w:r w:rsidR="00AE2CBA">
        <w:t>I</w:t>
      </w:r>
      <w:r w:rsidR="005E504B" w:rsidRPr="0068756B">
        <w:t xml:space="preserve"> skyri</w:t>
      </w:r>
      <w:r w:rsidR="00AE0E2C">
        <w:t>ų</w:t>
      </w:r>
      <w:r w:rsidR="005E504B" w:rsidRPr="0068756B">
        <w:t xml:space="preserve"> „2014–2020 metų Europos Sąjungos fondų investicijų veiksmų programos </w:t>
      </w:r>
      <w:r w:rsidR="00AE2CBA">
        <w:t>5</w:t>
      </w:r>
      <w:r w:rsidR="005E504B" w:rsidRPr="0068756B">
        <w:t xml:space="preserve"> prioriteto „</w:t>
      </w:r>
      <w:r w:rsidR="00AE2CBA">
        <w:t>Aplinkosauga, gamtos išteklių darnus naudojimas ir prisitaikymas prie klimato kaitos</w:t>
      </w:r>
      <w:r w:rsidR="005E504B" w:rsidRPr="0068756B">
        <w:t>“ įgyvendinimo priemonės</w:t>
      </w:r>
      <w:r w:rsidR="005E504B">
        <w:t>“</w:t>
      </w:r>
      <w:r w:rsidR="0030053F">
        <w:t>:</w:t>
      </w:r>
    </w:p>
    <w:p w:rsidR="00CE674F" w:rsidRPr="00CE674F" w:rsidRDefault="00CE674F" w:rsidP="00AB4B22">
      <w:pPr>
        <w:pStyle w:val="ListParagraph"/>
        <w:keepLines/>
        <w:numPr>
          <w:ilvl w:val="1"/>
          <w:numId w:val="23"/>
        </w:numPr>
        <w:ind w:left="0" w:firstLine="426"/>
        <w:jc w:val="both"/>
        <w:textAlignment w:val="center"/>
      </w:pPr>
      <w:r>
        <w:t>pakeičiu trečiąjį skirsnį</w:t>
      </w:r>
      <w:r w:rsidRPr="0068756B">
        <w:t xml:space="preserve"> </w:t>
      </w:r>
      <w:r>
        <w:t xml:space="preserve">„Veiksmų programos prioriteto įgyvendinimo priemonė </w:t>
      </w:r>
      <w:r w:rsidRPr="00AE0E2C">
        <w:rPr>
          <w:szCs w:val="24"/>
        </w:rPr>
        <w:t>Nr. 05.1.1-APVA-</w:t>
      </w:r>
      <w:r w:rsidRPr="009A2A88">
        <w:rPr>
          <w:szCs w:val="24"/>
        </w:rPr>
        <w:t>R</w:t>
      </w:r>
      <w:r w:rsidRPr="00AE0E2C">
        <w:rPr>
          <w:szCs w:val="24"/>
        </w:rPr>
        <w:t>-007 „Paviršinių nuotekų sistemų tvarkymas“:</w:t>
      </w:r>
    </w:p>
    <w:p w:rsidR="00CE674F" w:rsidRDefault="00AE0E2C" w:rsidP="00AB4B22">
      <w:pPr>
        <w:pStyle w:val="ListParagraph"/>
        <w:keepLines/>
        <w:ind w:left="426"/>
        <w:jc w:val="both"/>
        <w:textAlignment w:val="center"/>
        <w:rPr>
          <w:szCs w:val="24"/>
        </w:rPr>
      </w:pPr>
      <w:r>
        <w:t>1.1.1.</w:t>
      </w:r>
      <w:r w:rsidR="00CE674F">
        <w:t xml:space="preserve"> pakeičiu </w:t>
      </w:r>
      <w:r w:rsidR="00CE674F" w:rsidRPr="0068756B">
        <w:t>6 punkt</w:t>
      </w:r>
      <w:r w:rsidR="00CE674F">
        <w:t>ą</w:t>
      </w:r>
      <w:r w:rsidR="00CE674F" w:rsidRPr="0068756B">
        <w:t xml:space="preserve"> ir j</w:t>
      </w:r>
      <w:r w:rsidR="00CE674F">
        <w:t>į</w:t>
      </w:r>
      <w:r w:rsidR="00CE674F" w:rsidRPr="0068756B">
        <w:t xml:space="preserve"> išdėstau taip:</w:t>
      </w:r>
      <w:r w:rsidR="00CE674F" w:rsidRPr="00CE674F">
        <w:rPr>
          <w:szCs w:val="24"/>
        </w:rPr>
        <w:t xml:space="preserve"> </w:t>
      </w:r>
    </w:p>
    <w:p w:rsidR="00CE674F" w:rsidRPr="00AE0E2C" w:rsidRDefault="00CE674F" w:rsidP="00CE674F">
      <w:pPr>
        <w:pStyle w:val="ListParagraph"/>
        <w:keepLines/>
        <w:tabs>
          <w:tab w:val="left" w:pos="993"/>
        </w:tabs>
        <w:ind w:left="426"/>
        <w:jc w:val="both"/>
        <w:textAlignment w:val="center"/>
      </w:pPr>
      <w:r w:rsidRPr="00AE0E2C">
        <w:rPr>
          <w:szCs w:val="24"/>
        </w:rPr>
        <w:t>„6. P</w:t>
      </w:r>
      <w:r w:rsidRPr="00AE0E2C">
        <w:rPr>
          <w:bCs/>
          <w:szCs w:val="24"/>
        </w:rPr>
        <w:t>riemonės įgyvendinimo stebėsenos rodikliai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126"/>
        <w:gridCol w:w="1593"/>
        <w:gridCol w:w="1843"/>
        <w:gridCol w:w="1843"/>
      </w:tblGrid>
      <w:tr w:rsidR="00CE674F" w:rsidRPr="00AE0E2C" w:rsidTr="00AC0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284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284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Stebėsenos rodiklio pavadinimas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  <w:tab w:val="left" w:pos="216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Galutinė reikšmė 2023 m. gruodžio 31 d.</w:t>
            </w:r>
          </w:p>
        </w:tc>
      </w:tr>
      <w:tr w:rsidR="00CE674F" w:rsidRPr="00AE0E2C" w:rsidTr="00AC02CC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R.N.029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„Be valymo išleistų paviršinių nuotekų kiekio sumažėjimas“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procentai</w:t>
            </w:r>
          </w:p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86</w:t>
            </w:r>
          </w:p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79</w:t>
            </w:r>
          </w:p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</w:tr>
      <w:tr w:rsidR="00CE674F" w:rsidRPr="00AE0E2C" w:rsidTr="00AC02CC">
        <w:trPr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P.S.328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„Lietaus nuotėkio plotas, iš kurio surenkamam paviršiniam (lietaus) vandeniui tvarkyti, įrengta ir (ar) rekonstruota infrastruktūra“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 xml:space="preserve">hektarai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AE0E2C">
              <w:rPr>
                <w:strike/>
                <w:szCs w:val="24"/>
              </w:rPr>
              <w:t>5000</w:t>
            </w:r>
          </w:p>
          <w:p w:rsidR="00AE0E2C" w:rsidRPr="00AE0E2C" w:rsidRDefault="00AE0E2C" w:rsidP="00AC02CC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AE0E2C">
              <w:rPr>
                <w:b/>
                <w:szCs w:val="24"/>
              </w:rPr>
              <w:t>5500</w:t>
            </w:r>
          </w:p>
        </w:tc>
      </w:tr>
      <w:tr w:rsidR="00CE674F" w:rsidTr="00AC02CC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P.N.028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 xml:space="preserve">„Inventorizuota neapskaityto paviršinių nuotekų </w:t>
            </w:r>
            <w:proofErr w:type="spellStart"/>
            <w:r w:rsidRPr="00AE0E2C">
              <w:rPr>
                <w:szCs w:val="24"/>
              </w:rPr>
              <w:t>nuotakyno</w:t>
            </w:r>
            <w:proofErr w:type="spellEnd"/>
            <w:r w:rsidRPr="00AE0E2C">
              <w:rPr>
                <w:szCs w:val="24"/>
              </w:rPr>
              <w:t xml:space="preserve"> dalis“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procentai</w:t>
            </w:r>
          </w:p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AE0E2C">
              <w:rPr>
                <w:szCs w:val="24"/>
              </w:rPr>
              <w:t>20“</w:t>
            </w:r>
          </w:p>
        </w:tc>
      </w:tr>
    </w:tbl>
    <w:p w:rsidR="00AE0E2C" w:rsidRDefault="00AE0E2C" w:rsidP="00AE0E2C">
      <w:pPr>
        <w:pStyle w:val="ListParagraph"/>
        <w:keepLines/>
        <w:tabs>
          <w:tab w:val="left" w:pos="993"/>
        </w:tabs>
        <w:ind w:left="360"/>
        <w:jc w:val="both"/>
        <w:textAlignment w:val="center"/>
      </w:pPr>
    </w:p>
    <w:p w:rsidR="00AE0E2C" w:rsidRDefault="00AE0E2C">
      <w:pPr>
        <w:suppressAutoHyphens w:val="0"/>
      </w:pPr>
      <w:r>
        <w:br w:type="page"/>
      </w:r>
    </w:p>
    <w:p w:rsidR="00CE674F" w:rsidRDefault="00AE0E2C" w:rsidP="00AE0E2C">
      <w:pPr>
        <w:pStyle w:val="ListParagraph"/>
        <w:keepLines/>
        <w:tabs>
          <w:tab w:val="left" w:pos="993"/>
        </w:tabs>
        <w:ind w:left="360"/>
        <w:jc w:val="both"/>
        <w:textAlignment w:val="center"/>
        <w:rPr>
          <w:szCs w:val="24"/>
        </w:rPr>
      </w:pPr>
      <w:r>
        <w:lastRenderedPageBreak/>
        <w:t xml:space="preserve">1.1.2. </w:t>
      </w:r>
      <w:r w:rsidR="00CE674F">
        <w:t xml:space="preserve">pakeičiu 7 </w:t>
      </w:r>
      <w:r w:rsidR="00CE674F" w:rsidRPr="0068756B">
        <w:t>punkt</w:t>
      </w:r>
      <w:r w:rsidR="00CE674F">
        <w:t>ą</w:t>
      </w:r>
      <w:r w:rsidR="00CE674F" w:rsidRPr="0068756B">
        <w:t xml:space="preserve"> ir j</w:t>
      </w:r>
      <w:r w:rsidR="00CE674F">
        <w:t>į</w:t>
      </w:r>
      <w:r w:rsidR="00CE674F" w:rsidRPr="0068756B">
        <w:t xml:space="preserve"> išdėstau taip:</w:t>
      </w:r>
      <w:r w:rsidR="00CE674F" w:rsidRPr="00CE674F">
        <w:rPr>
          <w:szCs w:val="24"/>
        </w:rPr>
        <w:t xml:space="preserve"> </w:t>
      </w:r>
    </w:p>
    <w:p w:rsidR="00CE674F" w:rsidRPr="00CE674F" w:rsidRDefault="00CE674F" w:rsidP="00CE674F">
      <w:pPr>
        <w:pStyle w:val="ListParagraph"/>
        <w:tabs>
          <w:tab w:val="left" w:pos="0"/>
          <w:tab w:val="left" w:pos="567"/>
        </w:tabs>
        <w:ind w:left="360"/>
        <w:jc w:val="both"/>
        <w:rPr>
          <w:szCs w:val="24"/>
        </w:rPr>
      </w:pPr>
      <w:r>
        <w:rPr>
          <w:szCs w:val="24"/>
        </w:rPr>
        <w:t>„</w:t>
      </w:r>
      <w:r w:rsidRPr="00CE674F">
        <w:rPr>
          <w:szCs w:val="24"/>
        </w:rPr>
        <w:t xml:space="preserve">7. </w:t>
      </w:r>
      <w:r w:rsidRPr="00CE674F">
        <w:rPr>
          <w:bCs/>
          <w:szCs w:val="24"/>
        </w:rPr>
        <w:t>Priemonės finansavimo šaltiniai</w:t>
      </w:r>
    </w:p>
    <w:p w:rsidR="00CE674F" w:rsidRPr="00CE674F" w:rsidRDefault="00AE0E2C" w:rsidP="00AE0E2C">
      <w:pPr>
        <w:pStyle w:val="ListParagraph"/>
        <w:tabs>
          <w:tab w:val="left" w:pos="0"/>
          <w:tab w:val="left" w:pos="142"/>
          <w:tab w:val="left" w:pos="7655"/>
        </w:tabs>
        <w:ind w:left="360" w:right="-2"/>
        <w:jc w:val="center"/>
        <w:rPr>
          <w:b/>
          <w:bCs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CE674F" w:rsidRPr="00CE674F">
        <w:rPr>
          <w:szCs w:val="24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CE674F" w:rsidTr="00AC02C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CE674F" w:rsidTr="00AC02C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jc w:val="center"/>
              <w:rPr>
                <w:bCs/>
                <w:szCs w:val="24"/>
              </w:rPr>
            </w:pPr>
          </w:p>
          <w:p w:rsidR="00CE674F" w:rsidRDefault="00CE674F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:rsidR="00CE674F" w:rsidRDefault="00CE674F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CE674F" w:rsidTr="00AC02C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CE674F" w:rsidTr="00AC02CC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Priva-čios</w:t>
            </w:r>
            <w:proofErr w:type="spellEnd"/>
            <w:r>
              <w:rPr>
                <w:bCs/>
                <w:szCs w:val="24"/>
              </w:rPr>
              <w:t xml:space="preserve"> lėšos</w:t>
            </w:r>
          </w:p>
        </w:tc>
      </w:tr>
      <w:tr w:rsidR="00CE674F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CE674F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2C" w:rsidRPr="00AE0E2C" w:rsidRDefault="00AE0E2C" w:rsidP="00AE0E2C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AE0E2C">
              <w:rPr>
                <w:bCs/>
                <w:strike/>
                <w:szCs w:val="24"/>
              </w:rPr>
              <w:t>72.405.005</w:t>
            </w:r>
          </w:p>
          <w:p w:rsidR="00CE674F" w:rsidRDefault="00AE0E2C" w:rsidP="00AE0E2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79.605.005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2C" w:rsidRPr="00AE0E2C" w:rsidRDefault="00AE0E2C" w:rsidP="00AE0E2C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AE0E2C">
              <w:rPr>
                <w:strike/>
                <w:szCs w:val="24"/>
              </w:rPr>
              <w:t>12.777.354</w:t>
            </w:r>
          </w:p>
          <w:p w:rsidR="00CE674F" w:rsidRDefault="00AE0E2C" w:rsidP="00AE0E2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14.047.942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2C" w:rsidRPr="00AE0E2C" w:rsidRDefault="00AE0E2C" w:rsidP="00AE0E2C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AE0E2C">
              <w:rPr>
                <w:strike/>
                <w:szCs w:val="24"/>
              </w:rPr>
              <w:t>12.777.354</w:t>
            </w:r>
          </w:p>
          <w:p w:rsidR="00CE674F" w:rsidRDefault="00AE0E2C" w:rsidP="00AE0E2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14.047.942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E674F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4F" w:rsidRDefault="00CE674F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2. Veiklos lėšų rezervas ir jam finansuoti skiriamos nacionalinės lėšos</w:t>
            </w:r>
          </w:p>
        </w:tc>
      </w:tr>
      <w:tr w:rsidR="00CE674F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E674F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3. Iš viso</w:t>
            </w:r>
          </w:p>
        </w:tc>
      </w:tr>
      <w:tr w:rsidR="00CE674F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AE0E2C">
              <w:rPr>
                <w:b/>
                <w:bCs/>
                <w:strike/>
                <w:szCs w:val="24"/>
              </w:rPr>
              <w:t>72.405.005</w:t>
            </w:r>
          </w:p>
          <w:p w:rsidR="00AE0E2C" w:rsidRDefault="00AE0E2C" w:rsidP="00AC02CC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79.605.005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Pr="00AE0E2C" w:rsidRDefault="00CE674F" w:rsidP="00AC02CC">
            <w:pPr>
              <w:tabs>
                <w:tab w:val="left" w:pos="0"/>
              </w:tabs>
              <w:jc w:val="center"/>
              <w:rPr>
                <w:b/>
                <w:strike/>
                <w:szCs w:val="24"/>
              </w:rPr>
            </w:pPr>
            <w:r w:rsidRPr="00AE0E2C">
              <w:rPr>
                <w:b/>
                <w:strike/>
                <w:szCs w:val="24"/>
              </w:rPr>
              <w:t>12.777.354</w:t>
            </w:r>
          </w:p>
          <w:p w:rsidR="00AE0E2C" w:rsidRDefault="00AE0E2C" w:rsidP="00AC02CC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14.047.942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2C" w:rsidRPr="00AE0E2C" w:rsidRDefault="00AE0E2C" w:rsidP="00AE0E2C">
            <w:pPr>
              <w:tabs>
                <w:tab w:val="left" w:pos="0"/>
              </w:tabs>
              <w:jc w:val="center"/>
              <w:rPr>
                <w:b/>
                <w:strike/>
                <w:szCs w:val="24"/>
              </w:rPr>
            </w:pPr>
            <w:r w:rsidRPr="00AE0E2C">
              <w:rPr>
                <w:b/>
                <w:strike/>
                <w:szCs w:val="24"/>
              </w:rPr>
              <w:t>12.777.354</w:t>
            </w:r>
          </w:p>
          <w:p w:rsidR="00CE674F" w:rsidRDefault="00AE0E2C" w:rsidP="00AE0E2C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14.047.942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F" w:rsidRDefault="00CE674F" w:rsidP="00AC02CC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AB4B22">
              <w:rPr>
                <w:b/>
                <w:szCs w:val="24"/>
              </w:rPr>
              <w:t>“</w:t>
            </w:r>
          </w:p>
        </w:tc>
      </w:tr>
    </w:tbl>
    <w:p w:rsidR="00CE674F" w:rsidRDefault="00CE674F" w:rsidP="00AE0E2C">
      <w:pPr>
        <w:keepLines/>
        <w:tabs>
          <w:tab w:val="left" w:pos="0"/>
          <w:tab w:val="left" w:pos="709"/>
          <w:tab w:val="left" w:pos="1276"/>
        </w:tabs>
        <w:jc w:val="both"/>
        <w:textAlignment w:val="center"/>
      </w:pPr>
    </w:p>
    <w:p w:rsidR="00A305E3" w:rsidRPr="00CE674F" w:rsidRDefault="00A305E3" w:rsidP="00654D22">
      <w:pPr>
        <w:pStyle w:val="ListParagraph"/>
        <w:keepLines/>
        <w:numPr>
          <w:ilvl w:val="1"/>
          <w:numId w:val="23"/>
        </w:numPr>
        <w:ind w:left="0" w:firstLine="284"/>
        <w:jc w:val="both"/>
        <w:textAlignment w:val="center"/>
      </w:pPr>
      <w:r>
        <w:t>pakeičiu dešimtąjį skirsnį</w:t>
      </w:r>
      <w:r w:rsidRPr="0068756B">
        <w:t xml:space="preserve"> </w:t>
      </w:r>
      <w:r>
        <w:t xml:space="preserve">„Veiksmų programos prioriteto įgyvendinimo priemonė </w:t>
      </w:r>
      <w:r w:rsidRPr="00A305E3">
        <w:rPr>
          <w:szCs w:val="24"/>
        </w:rPr>
        <w:t>Nr. 05.6.1-APVA-</w:t>
      </w:r>
      <w:r w:rsidRPr="009A2A88">
        <w:rPr>
          <w:szCs w:val="24"/>
        </w:rPr>
        <w:t>V</w:t>
      </w:r>
      <w:r w:rsidRPr="00A305E3">
        <w:rPr>
          <w:szCs w:val="24"/>
        </w:rPr>
        <w:t>-021 „Aplinkos oro kokybės gerinimas“:</w:t>
      </w:r>
    </w:p>
    <w:p w:rsidR="00A305E3" w:rsidRPr="002A31D5" w:rsidRDefault="00A305E3" w:rsidP="00654D22">
      <w:pPr>
        <w:keepLines/>
        <w:tabs>
          <w:tab w:val="left" w:pos="993"/>
        </w:tabs>
        <w:ind w:firstLine="284"/>
        <w:jc w:val="both"/>
        <w:textAlignment w:val="center"/>
        <w:rPr>
          <w:szCs w:val="24"/>
        </w:rPr>
      </w:pPr>
      <w:r>
        <w:t xml:space="preserve">1.2.1. pakeičiu 7 </w:t>
      </w:r>
      <w:r w:rsidRPr="0068756B">
        <w:t>punkt</w:t>
      </w:r>
      <w:r>
        <w:t>ą</w:t>
      </w:r>
      <w:r w:rsidRPr="0068756B">
        <w:t xml:space="preserve"> ir j</w:t>
      </w:r>
      <w:r>
        <w:t>į</w:t>
      </w:r>
      <w:r w:rsidRPr="0068756B">
        <w:t xml:space="preserve"> išdėstau taip:</w:t>
      </w:r>
      <w:r w:rsidRPr="002A31D5">
        <w:rPr>
          <w:szCs w:val="24"/>
        </w:rPr>
        <w:t xml:space="preserve"> </w:t>
      </w:r>
    </w:p>
    <w:p w:rsidR="00A305E3" w:rsidRPr="00A305E3" w:rsidRDefault="00A305E3" w:rsidP="00A305E3">
      <w:pPr>
        <w:pStyle w:val="ListParagraph"/>
        <w:tabs>
          <w:tab w:val="left" w:pos="0"/>
          <w:tab w:val="left" w:pos="567"/>
        </w:tabs>
        <w:jc w:val="both"/>
        <w:rPr>
          <w:szCs w:val="24"/>
        </w:rPr>
      </w:pPr>
      <w:r>
        <w:rPr>
          <w:szCs w:val="24"/>
        </w:rPr>
        <w:t>„</w:t>
      </w:r>
      <w:r w:rsidRPr="00A305E3">
        <w:rPr>
          <w:szCs w:val="24"/>
        </w:rPr>
        <w:t xml:space="preserve">7. </w:t>
      </w:r>
      <w:r w:rsidRPr="00A305E3">
        <w:rPr>
          <w:bCs/>
          <w:szCs w:val="24"/>
        </w:rPr>
        <w:t>Priemonės finansavimo šaltiniai</w:t>
      </w:r>
    </w:p>
    <w:p w:rsidR="00A305E3" w:rsidRPr="00A305E3" w:rsidRDefault="00A305E3" w:rsidP="00A305E3">
      <w:pPr>
        <w:pStyle w:val="ListParagraph"/>
        <w:tabs>
          <w:tab w:val="left" w:pos="0"/>
          <w:tab w:val="left" w:pos="142"/>
          <w:tab w:val="left" w:pos="7938"/>
        </w:tabs>
        <w:ind w:right="281"/>
        <w:rPr>
          <w:b/>
          <w:bCs/>
          <w:szCs w:val="24"/>
        </w:rPr>
      </w:pPr>
      <w:r>
        <w:rPr>
          <w:szCs w:val="24"/>
        </w:rPr>
        <w:tab/>
      </w:r>
      <w:r w:rsidRPr="00A305E3">
        <w:rPr>
          <w:szCs w:val="24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A305E3" w:rsidTr="00AC02C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A305E3" w:rsidTr="00AC02C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:rsidR="00A305E3" w:rsidRDefault="00A305E3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A305E3" w:rsidTr="00AC02C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A305E3" w:rsidTr="00AC02CC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Priva-čios</w:t>
            </w:r>
            <w:proofErr w:type="spellEnd"/>
            <w:r>
              <w:rPr>
                <w:bCs/>
                <w:szCs w:val="24"/>
              </w:rPr>
              <w:t xml:space="preserve"> lėšos</w:t>
            </w:r>
          </w:p>
        </w:tc>
      </w:tr>
      <w:tr w:rsidR="00A305E3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A305E3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Cs/>
                <w:strike/>
                <w:szCs w:val="24"/>
              </w:rPr>
            </w:pPr>
            <w:r w:rsidRPr="00A305E3">
              <w:rPr>
                <w:bCs/>
                <w:strike/>
                <w:szCs w:val="24"/>
              </w:rPr>
              <w:t>8.109.361</w:t>
            </w:r>
          </w:p>
          <w:p w:rsid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7.309.361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Cs/>
                <w:strike/>
                <w:szCs w:val="24"/>
              </w:rPr>
            </w:pPr>
            <w:r w:rsidRPr="00A305E3">
              <w:rPr>
                <w:bCs/>
                <w:strike/>
                <w:szCs w:val="24"/>
              </w:rPr>
              <w:t>1.431.063</w:t>
            </w:r>
          </w:p>
          <w:p w:rsid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1.289.886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Cs/>
                <w:strike/>
                <w:szCs w:val="24"/>
              </w:rPr>
            </w:pPr>
            <w:r w:rsidRPr="00A305E3">
              <w:rPr>
                <w:bCs/>
                <w:strike/>
                <w:szCs w:val="24"/>
              </w:rPr>
              <w:t>1.431.063</w:t>
            </w:r>
          </w:p>
          <w:p w:rsid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1.289.886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305E3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E3" w:rsidRDefault="00A305E3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2. Veiklos lėšų rezervas ir jam finansuoti skiriamos nacionalinės lėšos</w:t>
            </w:r>
          </w:p>
        </w:tc>
      </w:tr>
      <w:tr w:rsidR="00A305E3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305E3" w:rsidTr="00AC02CC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E3" w:rsidRDefault="00A305E3" w:rsidP="00AC02CC">
            <w:pPr>
              <w:tabs>
                <w:tab w:val="left" w:pos="0"/>
              </w:tabs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3. Iš viso</w:t>
            </w:r>
          </w:p>
        </w:tc>
      </w:tr>
      <w:tr w:rsidR="00A305E3" w:rsidTr="00AC02C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trike/>
                <w:szCs w:val="24"/>
              </w:rPr>
            </w:pPr>
            <w:r w:rsidRPr="00A305E3">
              <w:rPr>
                <w:b/>
                <w:bCs/>
                <w:strike/>
                <w:szCs w:val="24"/>
              </w:rPr>
              <w:t>8.109.361</w:t>
            </w:r>
          </w:p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7.309.361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trike/>
                <w:szCs w:val="24"/>
              </w:rPr>
            </w:pPr>
            <w:r w:rsidRPr="00A305E3">
              <w:rPr>
                <w:b/>
                <w:bCs/>
                <w:strike/>
                <w:szCs w:val="24"/>
              </w:rPr>
              <w:t>1.431.063</w:t>
            </w:r>
          </w:p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1.289.886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P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trike/>
                <w:szCs w:val="24"/>
              </w:rPr>
            </w:pPr>
            <w:r w:rsidRPr="00A305E3">
              <w:rPr>
                <w:b/>
                <w:bCs/>
                <w:strike/>
                <w:szCs w:val="24"/>
              </w:rPr>
              <w:t>1.431.063</w:t>
            </w:r>
          </w:p>
          <w:p w:rsidR="00A305E3" w:rsidRDefault="00A305E3" w:rsidP="00A305E3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1.289.886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3" w:rsidRDefault="00A305E3" w:rsidP="00AC02CC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</w:tbl>
    <w:p w:rsidR="00A305E3" w:rsidRDefault="00A305E3" w:rsidP="00654D22">
      <w:pPr>
        <w:pStyle w:val="ListParagraph"/>
      </w:pPr>
    </w:p>
    <w:p w:rsidR="00F87A6A" w:rsidRDefault="0030053F" w:rsidP="00AE0E2C">
      <w:pPr>
        <w:pStyle w:val="ListParagraph"/>
        <w:keepLines/>
        <w:numPr>
          <w:ilvl w:val="1"/>
          <w:numId w:val="23"/>
        </w:numPr>
        <w:tabs>
          <w:tab w:val="left" w:pos="993"/>
        </w:tabs>
        <w:ind w:left="0" w:firstLine="360"/>
        <w:jc w:val="both"/>
        <w:textAlignment w:val="center"/>
      </w:pPr>
      <w:r>
        <w:t xml:space="preserve">pakeičiu </w:t>
      </w:r>
      <w:r w:rsidR="00AE2CBA">
        <w:t>tryliktąjį</w:t>
      </w:r>
      <w:r w:rsidR="005E504B">
        <w:t xml:space="preserve"> skirsnį</w:t>
      </w:r>
      <w:r w:rsidR="005E504B" w:rsidRPr="0068756B">
        <w:t xml:space="preserve"> </w:t>
      </w:r>
      <w:r w:rsidR="005E504B">
        <w:t>„Veiksmų programos prioriteto įgyvendinimo priemonė Nr. 0</w:t>
      </w:r>
      <w:r w:rsidR="00AE2CBA">
        <w:t>5</w:t>
      </w:r>
      <w:r w:rsidR="005E504B">
        <w:t>.3.1-</w:t>
      </w:r>
      <w:r w:rsidR="00AE2CBA">
        <w:t>APVA</w:t>
      </w:r>
      <w:r w:rsidR="005E504B">
        <w:t>-</w:t>
      </w:r>
      <w:r w:rsidR="00AE2CBA">
        <w:t>V</w:t>
      </w:r>
      <w:r w:rsidR="005E504B">
        <w:t>-0</w:t>
      </w:r>
      <w:r w:rsidR="00AE2CBA">
        <w:t>11</w:t>
      </w:r>
      <w:r w:rsidR="005E504B">
        <w:t xml:space="preserve"> „</w:t>
      </w:r>
      <w:r w:rsidR="00AE2CBA">
        <w:t>Vandens išteklių valdymas ir apsauga</w:t>
      </w:r>
      <w:r w:rsidR="005E504B">
        <w:t>“:</w:t>
      </w:r>
    </w:p>
    <w:p w:rsidR="00AE2CBA" w:rsidRDefault="0030053F" w:rsidP="00AE0E2C">
      <w:pPr>
        <w:pStyle w:val="ListParagraph"/>
        <w:keepLines/>
        <w:numPr>
          <w:ilvl w:val="2"/>
          <w:numId w:val="23"/>
        </w:numPr>
        <w:tabs>
          <w:tab w:val="left" w:pos="993"/>
          <w:tab w:val="left" w:pos="1276"/>
        </w:tabs>
        <w:jc w:val="both"/>
        <w:textAlignment w:val="center"/>
      </w:pPr>
      <w:r>
        <w:lastRenderedPageBreak/>
        <w:t>p</w:t>
      </w:r>
      <w:r w:rsidR="00AE2CBA">
        <w:t>akeičiu 1.3 papunktį ir jį išdėstau taip:</w:t>
      </w:r>
    </w:p>
    <w:p w:rsidR="00AE2CBA" w:rsidRPr="00AE2CBA" w:rsidRDefault="00AE2CBA" w:rsidP="0030053F">
      <w:pPr>
        <w:keepLines/>
        <w:tabs>
          <w:tab w:val="left" w:pos="426"/>
        </w:tabs>
        <w:ind w:firstLine="426"/>
        <w:jc w:val="both"/>
        <w:textAlignment w:val="center"/>
      </w:pPr>
      <w:r>
        <w:t xml:space="preserve">„1.3. </w:t>
      </w:r>
      <w:r w:rsidRPr="00AE2CBA">
        <w:t>remiamos veiklos: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>1.3.1. įrangos ir priemonių, reikalingų jūriniams ir vidaus vandenų būklės tyrimams atlikti,</w:t>
      </w:r>
      <w:r>
        <w:t xml:space="preserve"> </w:t>
      </w:r>
      <w:r w:rsidRPr="00AE2CBA">
        <w:t>įsigijimas;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>1.3.2. jūros ir vidaus vandenų aplinkos būklės tyrimai ir vertinimai;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>1.3.3. taršos incidentų Baltijos jūroje likvidavimo sistemos tobulinimas;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>1.3.4. priemonių, reikalingų Baltijos jūros biologinei įvairovei išsaugoti, įgyvendinimas;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 xml:space="preserve">1.3.5. vandens telkinių būklės valdymo </w:t>
      </w:r>
      <w:r w:rsidRPr="00AE2CBA">
        <w:rPr>
          <w:b/>
        </w:rPr>
        <w:t>ir apsaugos nuo neigiamo poveikio</w:t>
      </w:r>
      <w:r w:rsidRPr="00AE2CBA">
        <w:t xml:space="preserve"> </w:t>
      </w:r>
      <w:r>
        <w:t xml:space="preserve">dokumentų </w:t>
      </w:r>
      <w:r w:rsidRPr="00AE2CBA">
        <w:t>rengimas;</w:t>
      </w:r>
    </w:p>
    <w:p w:rsidR="0030053F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AE2CBA">
        <w:t>1.3.6. požeminio vandens būklės monitoringo sistemos stiprinimas;</w:t>
      </w:r>
    </w:p>
    <w:p w:rsidR="00AE2CBA" w:rsidRDefault="00AE2CBA" w:rsidP="0030053F">
      <w:pPr>
        <w:pStyle w:val="ListParagraph"/>
        <w:keepLines/>
        <w:tabs>
          <w:tab w:val="left" w:pos="0"/>
        </w:tabs>
        <w:ind w:left="0" w:firstLine="426"/>
        <w:jc w:val="both"/>
        <w:textAlignment w:val="center"/>
      </w:pPr>
      <w:r w:rsidRPr="0030053F">
        <w:rPr>
          <w:b/>
        </w:rPr>
        <w:t>1.3.7. individualių nuotekų tvarkymo sistemų</w:t>
      </w:r>
      <w:r w:rsidRPr="00AE2CBA">
        <w:t xml:space="preserve"> </w:t>
      </w:r>
      <w:r w:rsidRPr="0030053F">
        <w:rPr>
          <w:b/>
        </w:rPr>
        <w:t>inventorizacija</w:t>
      </w:r>
      <w:r w:rsidRPr="00AE2CBA">
        <w:t>.</w:t>
      </w:r>
      <w:r>
        <w:t>“</w:t>
      </w:r>
      <w:r w:rsidR="00F63481">
        <w:t>;</w:t>
      </w:r>
    </w:p>
    <w:p w:rsidR="00A97941" w:rsidRDefault="0030053F" w:rsidP="00AE0E2C">
      <w:pPr>
        <w:pStyle w:val="ListParagraph"/>
        <w:keepLines/>
        <w:numPr>
          <w:ilvl w:val="2"/>
          <w:numId w:val="23"/>
        </w:numPr>
        <w:tabs>
          <w:tab w:val="left" w:pos="0"/>
          <w:tab w:val="left" w:pos="993"/>
          <w:tab w:val="left" w:pos="1276"/>
        </w:tabs>
        <w:jc w:val="both"/>
        <w:textAlignment w:val="center"/>
      </w:pPr>
      <w:r>
        <w:t>p</w:t>
      </w:r>
      <w:r w:rsidR="00A97941">
        <w:t>akeičiu 1.</w:t>
      </w:r>
      <w:r w:rsidR="00AE2CBA">
        <w:t>4</w:t>
      </w:r>
      <w:r w:rsidR="00A97941">
        <w:t xml:space="preserve"> papunktį ir jį išdėstau taip:</w:t>
      </w:r>
    </w:p>
    <w:p w:rsidR="0030053F" w:rsidRDefault="00A97941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>
        <w:t xml:space="preserve">„1.4. </w:t>
      </w:r>
      <w:r w:rsidR="00ED52E2" w:rsidRPr="00ED52E2">
        <w:t>galimi pareiškėjai: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ED52E2">
        <w:t>1.4.1. Aplinkos apsaugos agentūra;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ED52E2">
        <w:t>1.4.2. Lietuvos geologijos tarnyba;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ED52E2">
        <w:t>1.4.3. Lietuvos jūrų muziejus;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ED52E2">
        <w:t>1.4.4. Lietuvos kariuomenė;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ED52E2">
        <w:t xml:space="preserve">1.4.5. </w:t>
      </w:r>
      <w:r w:rsidRPr="0030053F">
        <w:rPr>
          <w:strike/>
        </w:rPr>
        <w:t>Valstybinė aplinkos apsaugos tarnyba</w:t>
      </w:r>
      <w:r>
        <w:t xml:space="preserve"> </w:t>
      </w:r>
      <w:r w:rsidRPr="0030053F">
        <w:rPr>
          <w:b/>
        </w:rPr>
        <w:t>Aplinkos ministerija</w:t>
      </w:r>
      <w:r w:rsidRPr="00ED52E2">
        <w:t>.</w:t>
      </w:r>
      <w:r w:rsidR="00A97941">
        <w:t>“</w:t>
      </w:r>
      <w:r w:rsidR="00F63481">
        <w:t>;</w:t>
      </w:r>
    </w:p>
    <w:p w:rsidR="0030053F" w:rsidRDefault="00AE0E2C" w:rsidP="00F87A6A">
      <w:pPr>
        <w:keepLines/>
        <w:tabs>
          <w:tab w:val="left" w:pos="0"/>
          <w:tab w:val="left" w:pos="426"/>
        </w:tabs>
        <w:ind w:firstLine="426"/>
        <w:textAlignment w:val="center"/>
      </w:pPr>
      <w:r>
        <w:t>1.</w:t>
      </w:r>
      <w:r w:rsidR="00654D22">
        <w:t>3</w:t>
      </w:r>
      <w:r w:rsidR="00F87A6A">
        <w:t xml:space="preserve">.3. </w:t>
      </w:r>
      <w:r w:rsidR="0030053F">
        <w:t>p</w:t>
      </w:r>
      <w:r w:rsidR="00ED52E2">
        <w:t>apildau 1.5 punktu:</w:t>
      </w:r>
    </w:p>
    <w:p w:rsid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>
        <w:t>„</w:t>
      </w:r>
      <w:r w:rsidRPr="00234716">
        <w:rPr>
          <w:b/>
        </w:rPr>
        <w:t>1.5. galimi partneriai:</w:t>
      </w:r>
    </w:p>
    <w:p w:rsidR="00ED52E2" w:rsidRPr="0030053F" w:rsidRDefault="00ED52E2" w:rsidP="0030053F">
      <w:pPr>
        <w:keepLines/>
        <w:tabs>
          <w:tab w:val="left" w:pos="0"/>
          <w:tab w:val="left" w:pos="426"/>
        </w:tabs>
        <w:ind w:firstLine="426"/>
        <w:textAlignment w:val="center"/>
      </w:pPr>
      <w:r w:rsidRPr="00234716">
        <w:rPr>
          <w:b/>
        </w:rPr>
        <w:t>1.5.1. Žemės ūkio ministerija;</w:t>
      </w:r>
    </w:p>
    <w:p w:rsidR="00ED52E2" w:rsidRDefault="00ED52E2" w:rsidP="0030053F">
      <w:pPr>
        <w:keepLines/>
        <w:tabs>
          <w:tab w:val="left" w:pos="0"/>
          <w:tab w:val="left" w:pos="993"/>
        </w:tabs>
        <w:ind w:firstLine="426"/>
        <w:jc w:val="both"/>
        <w:textAlignment w:val="center"/>
      </w:pPr>
      <w:r w:rsidRPr="00234716">
        <w:rPr>
          <w:b/>
        </w:rPr>
        <w:t>1.5.2. Lietuvos hidrometeorologijos tarnyba prie Aplinkos ministerijos.</w:t>
      </w:r>
      <w:r w:rsidR="00234716">
        <w:t>“</w:t>
      </w:r>
      <w:r w:rsidR="00F63481">
        <w:t>;</w:t>
      </w:r>
    </w:p>
    <w:p w:rsidR="00A97941" w:rsidRDefault="0030053F" w:rsidP="00654D22">
      <w:pPr>
        <w:pStyle w:val="ListParagraph"/>
        <w:keepLines/>
        <w:numPr>
          <w:ilvl w:val="2"/>
          <w:numId w:val="31"/>
        </w:numPr>
        <w:tabs>
          <w:tab w:val="left" w:pos="0"/>
          <w:tab w:val="left" w:pos="993"/>
        </w:tabs>
        <w:ind w:hanging="294"/>
        <w:jc w:val="both"/>
        <w:textAlignment w:val="center"/>
      </w:pPr>
      <w:r>
        <w:t>p</w:t>
      </w:r>
      <w:r w:rsidR="00A97941">
        <w:t xml:space="preserve">akeičiu </w:t>
      </w:r>
      <w:r w:rsidR="00A97941" w:rsidRPr="0068756B">
        <w:t>6 punkt</w:t>
      </w:r>
      <w:r w:rsidR="00A97941">
        <w:t>ą</w:t>
      </w:r>
      <w:r w:rsidR="00A97941" w:rsidRPr="0068756B">
        <w:t xml:space="preserve"> ir j</w:t>
      </w:r>
      <w:r w:rsidR="00A97941">
        <w:t>į</w:t>
      </w:r>
      <w:r w:rsidR="00A97941" w:rsidRPr="0068756B">
        <w:t xml:space="preserve"> išdėstau taip:</w:t>
      </w:r>
    </w:p>
    <w:p w:rsidR="00AB4B22" w:rsidRDefault="00AB4B22">
      <w:pPr>
        <w:suppressAutoHyphens w:val="0"/>
      </w:pPr>
      <w:r>
        <w:br w:type="page"/>
      </w:r>
    </w:p>
    <w:p w:rsidR="00A97941" w:rsidRPr="000158DE" w:rsidRDefault="00A97941" w:rsidP="00A97941">
      <w:pPr>
        <w:keepLines/>
        <w:ind w:firstLine="426"/>
        <w:jc w:val="both"/>
        <w:textAlignment w:val="center"/>
      </w:pPr>
      <w:r>
        <w:lastRenderedPageBreak/>
        <w:t xml:space="preserve">„6. </w:t>
      </w:r>
      <w:r w:rsidRPr="00F21F52">
        <w:rPr>
          <w:szCs w:val="24"/>
        </w:rPr>
        <w:t>P</w:t>
      </w:r>
      <w:r w:rsidRPr="00F21F52">
        <w:rPr>
          <w:bCs/>
          <w:szCs w:val="24"/>
        </w:rPr>
        <w:t>riemonės įgyvendinimo stebėsenos rodikliai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10"/>
        <w:gridCol w:w="1417"/>
        <w:gridCol w:w="1276"/>
        <w:gridCol w:w="1276"/>
      </w:tblGrid>
      <w:tr w:rsidR="00A97941" w:rsidTr="00FA7D83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41" w:rsidRDefault="00A97941" w:rsidP="004C2F45">
            <w:pPr>
              <w:tabs>
                <w:tab w:val="left" w:pos="284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41" w:rsidRDefault="00A97941" w:rsidP="004C2F45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41" w:rsidRDefault="00A97941" w:rsidP="004C2F45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41" w:rsidRDefault="00A97941" w:rsidP="004C2F45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41" w:rsidRDefault="00A97941" w:rsidP="004C2F45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234716" w:rsidTr="00FA7D83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tabs>
                <w:tab w:val="left" w:pos="0"/>
                <w:tab w:val="left" w:pos="567"/>
              </w:tabs>
              <w:contextualSpacing/>
              <w:jc w:val="center"/>
            </w:pPr>
            <w:r>
              <w:t>R.S.326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„Vidutinė bendra azoto koncentracija Lietuvos Baltijos jūros teritoriniuose vandenyse“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mg/l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0,25</w:t>
            </w:r>
          </w:p>
        </w:tc>
      </w:tr>
      <w:tr w:rsidR="00234716" w:rsidTr="00FA7D83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tabs>
                <w:tab w:val="left" w:pos="0"/>
                <w:tab w:val="left" w:pos="567"/>
              </w:tabs>
              <w:contextualSpacing/>
              <w:jc w:val="center"/>
            </w:pPr>
            <w:r>
              <w:t>P.N.040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„Įsigyti įrangos ir priemonių, reikalingų jūriniams ir vidaus vandenų tyrimams atlikti, komplektai“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234716">
            <w:pPr>
              <w:jc w:val="center"/>
              <w:rPr>
                <w:strike/>
              </w:rPr>
            </w:pPr>
            <w:r w:rsidRPr="00234716">
              <w:rPr>
                <w:strike/>
              </w:rPr>
              <w:t>3</w:t>
            </w:r>
          </w:p>
          <w:p w:rsidR="00234716" w:rsidRDefault="00234716" w:rsidP="0023471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10</w:t>
            </w:r>
          </w:p>
        </w:tc>
      </w:tr>
      <w:tr w:rsidR="00234716" w:rsidTr="00FA7D83">
        <w:trPr>
          <w:trHeight w:val="78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P.N.041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„Parengti jūros ir vidaus vandenų aplinkos būklės vertinimai“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Pr="00234716" w:rsidRDefault="00234716" w:rsidP="000F0CC7">
            <w:pPr>
              <w:jc w:val="center"/>
              <w:rPr>
                <w:strike/>
              </w:rPr>
            </w:pPr>
            <w:r w:rsidRPr="00234716">
              <w:rPr>
                <w:strike/>
              </w:rPr>
              <w:t>1</w:t>
            </w:r>
          </w:p>
          <w:p w:rsidR="00234716" w:rsidRDefault="00234716" w:rsidP="000F0CC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5</w:t>
            </w:r>
          </w:p>
        </w:tc>
      </w:tr>
      <w:tr w:rsidR="00234716" w:rsidTr="00FA7D83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P.N.042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„Įsigytos priemonės taršos incidentams Baltijos jūroje likviduoti“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6" w:rsidRDefault="00234716" w:rsidP="000F0CC7">
            <w:pPr>
              <w:jc w:val="center"/>
            </w:pPr>
            <w:r>
              <w:t>4</w:t>
            </w:r>
          </w:p>
        </w:tc>
      </w:tr>
      <w:tr w:rsidR="00234716" w:rsidTr="00FA7D83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P.N.043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 xml:space="preserve">„Parengti vandens telkinių būklės valdymo </w:t>
            </w:r>
            <w:r w:rsidRPr="00234716">
              <w:rPr>
                <w:b/>
              </w:rPr>
              <w:t>ir apsaugos</w:t>
            </w:r>
            <w:r>
              <w:t xml:space="preserve"> dokumentai“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strike/>
              </w:rPr>
            </w:pPr>
            <w:r w:rsidRPr="00234716">
              <w:rPr>
                <w:strike/>
              </w:rPr>
              <w:t>1</w:t>
            </w:r>
          </w:p>
          <w:p w:rsidR="00234716" w:rsidRDefault="00234716" w:rsidP="000F0CC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strike/>
              </w:rPr>
            </w:pPr>
            <w:r w:rsidRPr="00234716">
              <w:rPr>
                <w:strike/>
              </w:rPr>
              <w:t>6</w:t>
            </w:r>
          </w:p>
          <w:p w:rsidR="00234716" w:rsidRDefault="00234716" w:rsidP="000F0CC7">
            <w:pPr>
              <w:jc w:val="center"/>
            </w:pPr>
            <w:r>
              <w:t>14</w:t>
            </w:r>
          </w:p>
          <w:p w:rsidR="00234716" w:rsidRDefault="00234716" w:rsidP="000F0CC7">
            <w:pPr>
              <w:jc w:val="center"/>
            </w:pPr>
          </w:p>
        </w:tc>
      </w:tr>
      <w:tr w:rsidR="00234716" w:rsidTr="00FA7D83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P.N.044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„Įrengtas Baltijos jūros gyvūnų reabilitacijos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1</w:t>
            </w:r>
          </w:p>
        </w:tc>
      </w:tr>
      <w:tr w:rsidR="00234716" w:rsidTr="00FA7D83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P.N.045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„Įsigytos priemonės požeminio vandens būklės monitoringui ir laboratoriniams tyrimams vykdyti“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>
              <w:t>2</w:t>
            </w:r>
          </w:p>
        </w:tc>
      </w:tr>
      <w:tr w:rsidR="00234716" w:rsidTr="00FA7D83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b/>
              </w:rPr>
            </w:pPr>
            <w:r w:rsidRPr="00234716">
              <w:rPr>
                <w:b/>
              </w:rPr>
              <w:t>P.N.046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b/>
              </w:rPr>
            </w:pPr>
            <w:r w:rsidRPr="00234716">
              <w:rPr>
                <w:b/>
              </w:rPr>
              <w:t>„Aglomeracijos, kuriose atlikta individualių nuotekų tvarkymo sistemų inventorizacija“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b/>
              </w:rPr>
            </w:pPr>
            <w:r w:rsidRPr="00234716">
              <w:rPr>
                <w:b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Pr="00234716" w:rsidRDefault="00234716" w:rsidP="000F0CC7">
            <w:pPr>
              <w:jc w:val="center"/>
              <w:rPr>
                <w:b/>
              </w:rPr>
            </w:pPr>
            <w:r w:rsidRPr="00234716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6" w:rsidRDefault="00234716" w:rsidP="000F0CC7">
            <w:pPr>
              <w:jc w:val="center"/>
            </w:pPr>
            <w:r w:rsidRPr="00234716">
              <w:rPr>
                <w:b/>
              </w:rPr>
              <w:t>75</w:t>
            </w:r>
            <w:r>
              <w:t>“</w:t>
            </w:r>
          </w:p>
          <w:p w:rsidR="00234716" w:rsidRDefault="00234716" w:rsidP="000F0CC7">
            <w:pPr>
              <w:jc w:val="center"/>
            </w:pPr>
          </w:p>
        </w:tc>
      </w:tr>
    </w:tbl>
    <w:p w:rsidR="00FA7D83" w:rsidRDefault="00FA7D83" w:rsidP="00654D22">
      <w:pPr>
        <w:pStyle w:val="ListParagraph"/>
        <w:keepLines/>
        <w:numPr>
          <w:ilvl w:val="1"/>
          <w:numId w:val="31"/>
        </w:numPr>
        <w:tabs>
          <w:tab w:val="left" w:pos="993"/>
        </w:tabs>
        <w:ind w:left="0" w:firstLine="284"/>
        <w:jc w:val="both"/>
        <w:textAlignment w:val="center"/>
      </w:pPr>
      <w:r>
        <w:t>pakeičiu septynioliktąjį skirsnį</w:t>
      </w:r>
      <w:r w:rsidRPr="0068756B">
        <w:t xml:space="preserve"> </w:t>
      </w:r>
      <w:r>
        <w:t>„Veiksmų programos prioriteto įgyvendinimo priemonė Nr. 05.3.1-APVA-V-012 „Vandens telkinių būklės gerinimas“:</w:t>
      </w:r>
    </w:p>
    <w:p w:rsidR="00FA7D83" w:rsidRDefault="00FA7D83" w:rsidP="00654D22">
      <w:pPr>
        <w:pStyle w:val="ListParagraph"/>
        <w:keepLines/>
        <w:numPr>
          <w:ilvl w:val="2"/>
          <w:numId w:val="32"/>
        </w:numPr>
        <w:tabs>
          <w:tab w:val="left" w:pos="0"/>
          <w:tab w:val="left" w:pos="993"/>
          <w:tab w:val="left" w:pos="1276"/>
        </w:tabs>
        <w:ind w:left="0" w:firstLine="284"/>
        <w:jc w:val="both"/>
        <w:textAlignment w:val="center"/>
      </w:pPr>
      <w:r>
        <w:t>pakeičiu 1.3 papunktį ir jį išdėstau taip:</w:t>
      </w:r>
    </w:p>
    <w:p w:rsidR="00FA7D83" w:rsidRDefault="00FA7D83" w:rsidP="00654D22">
      <w:pPr>
        <w:keepLines/>
        <w:tabs>
          <w:tab w:val="left" w:pos="0"/>
          <w:tab w:val="left" w:pos="993"/>
          <w:tab w:val="left" w:pos="1276"/>
        </w:tabs>
        <w:ind w:firstLine="284"/>
        <w:jc w:val="both"/>
        <w:textAlignment w:val="center"/>
      </w:pPr>
      <w:r>
        <w:t>„</w:t>
      </w:r>
      <w:r w:rsidRPr="00FA7D83">
        <w:t xml:space="preserve">1.3. remiama veikla – vandens telkinių geros būklės atstatymo priemonių įgyvendinimas (žuvų pralaidų įrengimas arba rekonstravimas, migracijos kliūčių pašalinimas, </w:t>
      </w:r>
      <w:r w:rsidRPr="00FA7D83">
        <w:rPr>
          <w:b/>
        </w:rPr>
        <w:t>įskaitant upės vagos sutvarkymą,</w:t>
      </w:r>
      <w:r w:rsidRPr="00FA7D83">
        <w:t xml:space="preserve"> </w:t>
      </w:r>
      <w:proofErr w:type="spellStart"/>
      <w:r w:rsidRPr="00FA7D83">
        <w:t>įžuvinimas</w:t>
      </w:r>
      <w:proofErr w:type="spellEnd"/>
      <w:r w:rsidRPr="00FA7D83">
        <w:t xml:space="preserve"> plėšriosiomis ir </w:t>
      </w:r>
      <w:proofErr w:type="spellStart"/>
      <w:r w:rsidRPr="00FA7D83">
        <w:t>fitoplanktonu</w:t>
      </w:r>
      <w:proofErr w:type="spellEnd"/>
      <w:r w:rsidRPr="00FA7D83">
        <w:t xml:space="preserve"> mintančiomis žuvimis, </w:t>
      </w:r>
      <w:r w:rsidRPr="00FA7D83">
        <w:rPr>
          <w:b/>
        </w:rPr>
        <w:t xml:space="preserve">susmulkėjusių karpinių žuvų </w:t>
      </w:r>
      <w:proofErr w:type="spellStart"/>
      <w:r w:rsidRPr="00FA7D83">
        <w:rPr>
          <w:b/>
        </w:rPr>
        <w:t>išgaudymas</w:t>
      </w:r>
      <w:proofErr w:type="spellEnd"/>
      <w:r w:rsidRPr="00FA7D83">
        <w:rPr>
          <w:b/>
        </w:rPr>
        <w:t>,</w:t>
      </w:r>
      <w:r w:rsidRPr="00FA7D83">
        <w:t xml:space="preserve"> perteklinės </w:t>
      </w:r>
      <w:proofErr w:type="spellStart"/>
      <w:r w:rsidRPr="00FA7D83">
        <w:t>makrofitų</w:t>
      </w:r>
      <w:proofErr w:type="spellEnd"/>
      <w:r w:rsidRPr="00FA7D83">
        <w:t xml:space="preserve"> biomasės šalinimas, ežere susikaupusių nuosėdų šalinimas, ežero tvarkymas surišant ežero vandenyje ar dugno nuosėdose esantį perteklinį fosforą į stabilius cheminius junginius, vandens pralaidų rekonstravimas</w:t>
      </w:r>
      <w:r w:rsidRPr="00FA7D83">
        <w:rPr>
          <w:b/>
        </w:rPr>
        <w:t xml:space="preserve">, upių vagų </w:t>
      </w:r>
      <w:proofErr w:type="spellStart"/>
      <w:r w:rsidRPr="00FA7D83">
        <w:rPr>
          <w:b/>
        </w:rPr>
        <w:t>renatūralizavimas</w:t>
      </w:r>
      <w:proofErr w:type="spellEnd"/>
      <w:r w:rsidRPr="00FA7D83">
        <w:t xml:space="preserve"> arba kitų hidrologinio režimo </w:t>
      </w:r>
      <w:proofErr w:type="spellStart"/>
      <w:r w:rsidRPr="00FA7D83">
        <w:t>natūralizavimo</w:t>
      </w:r>
      <w:proofErr w:type="spellEnd"/>
      <w:r w:rsidRPr="00FA7D83">
        <w:t xml:space="preserve"> priemonių taikymas, vandens išsiliejimo galimybių Nemuno žemupio slėnyje didinimas siekiant nusėdinti </w:t>
      </w:r>
      <w:proofErr w:type="spellStart"/>
      <w:r w:rsidRPr="00FA7D83">
        <w:t>biogenines</w:t>
      </w:r>
      <w:proofErr w:type="spellEnd"/>
      <w:r w:rsidRPr="00FA7D83">
        <w:t xml:space="preserve"> medžiagas ir sumažinti jų patekimą į </w:t>
      </w:r>
      <w:r>
        <w:t>Kuršių marias ir Baltijos jūrą)</w:t>
      </w:r>
      <w:r w:rsidR="00EC4A7C">
        <w:t>.</w:t>
      </w:r>
      <w:r>
        <w:t>“</w:t>
      </w:r>
      <w:r w:rsidR="00F63481">
        <w:t>;</w:t>
      </w:r>
    </w:p>
    <w:p w:rsidR="00F5068A" w:rsidRDefault="00F5068A" w:rsidP="00654D22">
      <w:pPr>
        <w:pStyle w:val="ListParagraph"/>
        <w:keepLines/>
        <w:numPr>
          <w:ilvl w:val="2"/>
          <w:numId w:val="32"/>
        </w:numPr>
        <w:tabs>
          <w:tab w:val="left" w:pos="0"/>
          <w:tab w:val="left" w:pos="993"/>
          <w:tab w:val="left" w:pos="1276"/>
        </w:tabs>
        <w:ind w:left="0" w:firstLine="284"/>
        <w:jc w:val="both"/>
        <w:textAlignment w:val="center"/>
      </w:pPr>
      <w:r>
        <w:t>pakeičiu 1.</w:t>
      </w:r>
      <w:r w:rsidR="002D5E66">
        <w:t>5</w:t>
      </w:r>
      <w:bookmarkStart w:id="1" w:name="_GoBack"/>
      <w:bookmarkEnd w:id="1"/>
      <w:r>
        <w:t xml:space="preserve"> papunktį ir jį išdėstau taip:</w:t>
      </w:r>
    </w:p>
    <w:p w:rsidR="009E1D52" w:rsidRDefault="009E1D52" w:rsidP="009E1D52">
      <w:pPr>
        <w:tabs>
          <w:tab w:val="left" w:pos="426"/>
          <w:tab w:val="left" w:pos="1026"/>
        </w:tabs>
        <w:ind w:left="1168" w:hanging="884"/>
        <w:jc w:val="both"/>
        <w:rPr>
          <w:szCs w:val="24"/>
        </w:rPr>
      </w:pPr>
      <w:r>
        <w:t xml:space="preserve">„1.5. </w:t>
      </w:r>
      <w:r>
        <w:rPr>
          <w:szCs w:val="24"/>
        </w:rPr>
        <w:t xml:space="preserve">galimi partneriai: </w:t>
      </w:r>
    </w:p>
    <w:p w:rsidR="009E1D52" w:rsidRDefault="009E1D52" w:rsidP="009E1D52">
      <w:pPr>
        <w:pStyle w:val="ListParagraph"/>
        <w:keepLines/>
        <w:tabs>
          <w:tab w:val="left" w:pos="0"/>
          <w:tab w:val="left" w:pos="993"/>
          <w:tab w:val="left" w:pos="1276"/>
        </w:tabs>
        <w:ind w:left="851"/>
        <w:jc w:val="both"/>
        <w:textAlignment w:val="center"/>
        <w:rPr>
          <w:szCs w:val="24"/>
        </w:rPr>
      </w:pPr>
      <w:r>
        <w:rPr>
          <w:szCs w:val="24"/>
        </w:rPr>
        <w:t>1.5.1. Aplinkos apsaugos agentūra;</w:t>
      </w:r>
    </w:p>
    <w:p w:rsidR="009E1D52" w:rsidRPr="00025CC9" w:rsidRDefault="009E1D52" w:rsidP="009E1D52">
      <w:pPr>
        <w:pStyle w:val="ListParagraph"/>
        <w:keepLines/>
        <w:tabs>
          <w:tab w:val="left" w:pos="0"/>
          <w:tab w:val="left" w:pos="993"/>
          <w:tab w:val="left" w:pos="1276"/>
        </w:tabs>
        <w:ind w:left="851"/>
        <w:jc w:val="both"/>
        <w:textAlignment w:val="center"/>
        <w:rPr>
          <w:b/>
          <w:szCs w:val="24"/>
        </w:rPr>
      </w:pPr>
      <w:r w:rsidRPr="003C5F8D">
        <w:rPr>
          <w:szCs w:val="24"/>
        </w:rPr>
        <w:t>1.5.2. Žuvininkystės tarnyba prie Lietuvos Respublikos žemės ūkio ministerijos</w:t>
      </w:r>
      <w:r w:rsidRPr="00025CC9">
        <w:rPr>
          <w:b/>
          <w:szCs w:val="24"/>
        </w:rPr>
        <w:t>;</w:t>
      </w:r>
    </w:p>
    <w:p w:rsidR="00F5068A" w:rsidRDefault="009E1D52" w:rsidP="009E1D52">
      <w:pPr>
        <w:pStyle w:val="ListParagraph"/>
        <w:keepLines/>
        <w:tabs>
          <w:tab w:val="left" w:pos="0"/>
          <w:tab w:val="left" w:pos="993"/>
          <w:tab w:val="left" w:pos="1276"/>
        </w:tabs>
        <w:ind w:left="851"/>
        <w:jc w:val="both"/>
        <w:textAlignment w:val="center"/>
      </w:pPr>
      <w:r w:rsidRPr="00025CC9">
        <w:rPr>
          <w:b/>
          <w:szCs w:val="24"/>
        </w:rPr>
        <w:t>1.5.3. savivaldybių administracijos</w:t>
      </w:r>
      <w:r w:rsidRPr="00025CC9">
        <w:rPr>
          <w:szCs w:val="24"/>
        </w:rPr>
        <w:t>.</w:t>
      </w:r>
      <w:r>
        <w:rPr>
          <w:szCs w:val="24"/>
        </w:rPr>
        <w:t xml:space="preserve"> </w:t>
      </w:r>
    </w:p>
    <w:p w:rsidR="00EC4A7C" w:rsidRDefault="00EC4A7C" w:rsidP="00654D22">
      <w:pPr>
        <w:pStyle w:val="ListParagraph"/>
        <w:keepLines/>
        <w:numPr>
          <w:ilvl w:val="2"/>
          <w:numId w:val="32"/>
        </w:numPr>
        <w:tabs>
          <w:tab w:val="left" w:pos="0"/>
          <w:tab w:val="left" w:pos="993"/>
          <w:tab w:val="left" w:pos="1276"/>
        </w:tabs>
        <w:ind w:left="0" w:firstLine="284"/>
        <w:jc w:val="both"/>
        <w:textAlignment w:val="center"/>
      </w:pPr>
      <w:r>
        <w:t>pakeičiu 5 punktą ir jį išdėstau taip:</w:t>
      </w:r>
    </w:p>
    <w:p w:rsidR="008715B0" w:rsidRDefault="008715B0" w:rsidP="00654D22">
      <w:pPr>
        <w:keepLines/>
        <w:tabs>
          <w:tab w:val="left" w:pos="0"/>
          <w:tab w:val="left" w:pos="993"/>
          <w:tab w:val="left" w:pos="1276"/>
        </w:tabs>
        <w:ind w:firstLine="284"/>
        <w:jc w:val="both"/>
        <w:textAlignment w:val="center"/>
      </w:pPr>
      <w:r>
        <w:lastRenderedPageBreak/>
        <w:t>„</w:t>
      </w:r>
      <w:r w:rsidRPr="008715B0">
        <w:rPr>
          <w:strike/>
        </w:rPr>
        <w:t>Papildomi reikalavimai netaikomi</w:t>
      </w:r>
      <w:r>
        <w:t xml:space="preserve"> </w:t>
      </w:r>
      <w:r w:rsidRPr="008715B0">
        <w:rPr>
          <w:b/>
          <w:bCs/>
        </w:rPr>
        <w:t xml:space="preserve">Šios priemonės lėšomis finansuojami </w:t>
      </w:r>
      <w:r w:rsidRPr="008715B0">
        <w:rPr>
          <w:b/>
        </w:rPr>
        <w:t xml:space="preserve">Žuvininkystės tarnybos prie Lietuvos Respublikos žemės ūkio ministerijos įgyvendinami žuvų pralaidų įrengimo arba rekonstravimo </w:t>
      </w:r>
      <w:r w:rsidR="0046438B">
        <w:rPr>
          <w:b/>
        </w:rPr>
        <w:t>darbai objektuose</w:t>
      </w:r>
      <w:r w:rsidR="009A2A88">
        <w:rPr>
          <w:b/>
        </w:rPr>
        <w:t>,</w:t>
      </w:r>
      <w:r w:rsidRPr="008715B0">
        <w:rPr>
          <w:b/>
        </w:rPr>
        <w:t xml:space="preserve"> </w:t>
      </w:r>
      <w:r w:rsidR="009A2A88">
        <w:rPr>
          <w:b/>
        </w:rPr>
        <w:t>nurodytuose</w:t>
      </w:r>
      <w:r w:rsidRPr="008715B0">
        <w:rPr>
          <w:b/>
        </w:rPr>
        <w:t xml:space="preserve"> Vandenų srities plėtros 2017–2023 metų programos įgyvendinimo veiksmų plane, patvirtintame Lietuvos Respublikos aplinkos ministro ir Lietuvos Respublikos žemės ūkio ministro 2017 m. gegužės 5 d. įsakymu Nr. D1-375/3D-312</w:t>
      </w:r>
      <w:r w:rsidR="009A2A88">
        <w:rPr>
          <w:b/>
        </w:rPr>
        <w:t>,</w:t>
      </w:r>
      <w:r w:rsidR="009A2A88" w:rsidRPr="009A2A88">
        <w:rPr>
          <w:b/>
        </w:rPr>
        <w:t xml:space="preserve"> </w:t>
      </w:r>
      <w:r w:rsidR="009A2A88">
        <w:rPr>
          <w:b/>
        </w:rPr>
        <w:t xml:space="preserve">ir </w:t>
      </w:r>
      <w:r w:rsidR="009A2A88" w:rsidRPr="008715B0">
        <w:rPr>
          <w:b/>
        </w:rPr>
        <w:t>kurie</w:t>
      </w:r>
      <w:r w:rsidR="009A2A88">
        <w:rPr>
          <w:b/>
        </w:rPr>
        <w:t>ms</w:t>
      </w:r>
      <w:r w:rsidR="009A2A88" w:rsidRPr="008715B0">
        <w:rPr>
          <w:b/>
        </w:rPr>
        <w:t xml:space="preserve"> finans</w:t>
      </w:r>
      <w:r w:rsidR="009A2A88">
        <w:rPr>
          <w:b/>
        </w:rPr>
        <w:t>avimas nenumatomas</w:t>
      </w:r>
      <w:r w:rsidR="009A2A88" w:rsidRPr="008715B0">
        <w:rPr>
          <w:b/>
        </w:rPr>
        <w:t xml:space="preserve"> Europos jūrų reikalų ir žuvininkystės fondo lėšomis</w:t>
      </w:r>
      <w:r w:rsidR="009A2A88">
        <w:rPr>
          <w:b/>
        </w:rPr>
        <w:t>“;</w:t>
      </w:r>
    </w:p>
    <w:p w:rsidR="00886696" w:rsidRDefault="00886696" w:rsidP="00654D22">
      <w:pPr>
        <w:pStyle w:val="ListParagraph"/>
        <w:keepLines/>
        <w:numPr>
          <w:ilvl w:val="2"/>
          <w:numId w:val="32"/>
        </w:numPr>
        <w:tabs>
          <w:tab w:val="left" w:pos="0"/>
          <w:tab w:val="left" w:pos="993"/>
          <w:tab w:val="left" w:pos="1276"/>
        </w:tabs>
        <w:ind w:left="0" w:firstLine="284"/>
        <w:jc w:val="both"/>
        <w:textAlignment w:val="center"/>
      </w:pPr>
      <w:r>
        <w:t xml:space="preserve">pakeičiu </w:t>
      </w:r>
      <w:r w:rsidRPr="0068756B">
        <w:t>6 punkt</w:t>
      </w:r>
      <w:r>
        <w:t>ą</w:t>
      </w:r>
      <w:r w:rsidRPr="0068756B">
        <w:t xml:space="preserve"> ir j</w:t>
      </w:r>
      <w:r>
        <w:t>į</w:t>
      </w:r>
      <w:r w:rsidRPr="0068756B">
        <w:t xml:space="preserve"> išdėstau taip:</w:t>
      </w:r>
    </w:p>
    <w:p w:rsidR="00886696" w:rsidRPr="000158DE" w:rsidRDefault="00886696" w:rsidP="00886696">
      <w:pPr>
        <w:keepLines/>
        <w:ind w:firstLine="426"/>
        <w:jc w:val="both"/>
        <w:textAlignment w:val="center"/>
      </w:pPr>
      <w:r>
        <w:t xml:space="preserve">„6. </w:t>
      </w:r>
      <w:r w:rsidRPr="00F21F52">
        <w:rPr>
          <w:szCs w:val="24"/>
        </w:rPr>
        <w:t>P</w:t>
      </w:r>
      <w:r w:rsidRPr="00F21F52">
        <w:rPr>
          <w:bCs/>
          <w:szCs w:val="24"/>
        </w:rPr>
        <w:t>riemonės įgyvendinimo stebėsenos rodikliai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10"/>
        <w:gridCol w:w="1417"/>
        <w:gridCol w:w="1276"/>
        <w:gridCol w:w="1276"/>
      </w:tblGrid>
      <w:tr w:rsidR="00886696" w:rsidTr="000F0CC7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6" w:rsidRDefault="00886696" w:rsidP="000F0CC7">
            <w:pPr>
              <w:tabs>
                <w:tab w:val="left" w:pos="284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6" w:rsidRDefault="00886696" w:rsidP="000F0CC7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6" w:rsidRDefault="00886696" w:rsidP="000F0CC7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6" w:rsidRDefault="00886696" w:rsidP="000F0CC7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6" w:rsidRDefault="00886696" w:rsidP="000F0CC7">
            <w:pPr>
              <w:tabs>
                <w:tab w:val="left" w:pos="0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886696" w:rsidTr="00886696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263EF2">
            <w:pPr>
              <w:tabs>
                <w:tab w:val="left" w:pos="0"/>
              </w:tabs>
              <w:contextualSpacing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R.S. 327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rPr>
                <w:rFonts w:eastAsia="AngsanaUPC"/>
                <w:bCs/>
                <w:i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>„Geros būklės paviršinių vandens telkinių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 w:rsidR="00886696" w:rsidTr="00886696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263EF2">
            <w:pPr>
              <w:tabs>
                <w:tab w:val="left" w:pos="0"/>
              </w:tabs>
              <w:contextualSpacing/>
              <w:jc w:val="center"/>
              <w:rPr>
                <w:i/>
                <w:szCs w:val="24"/>
              </w:rPr>
            </w:pPr>
            <w:r>
              <w:rPr>
                <w:iCs/>
                <w:szCs w:val="24"/>
              </w:rPr>
              <w:t>P.S.332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rPr>
                <w:i/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„Vandens telkiniai, kuriems taikytos būklės gerinimo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96" w:rsidRPr="00886696" w:rsidRDefault="00886696" w:rsidP="000F0CC7">
            <w:pPr>
              <w:tabs>
                <w:tab w:val="left" w:pos="0"/>
              </w:tabs>
              <w:contextualSpacing/>
              <w:jc w:val="center"/>
              <w:rPr>
                <w:strike/>
                <w:szCs w:val="24"/>
              </w:rPr>
            </w:pPr>
            <w:r w:rsidRPr="00886696">
              <w:rPr>
                <w:strike/>
                <w:szCs w:val="24"/>
              </w:rPr>
              <w:t>20</w:t>
            </w:r>
          </w:p>
          <w:p w:rsidR="00886696" w:rsidRDefault="00886696" w:rsidP="00AB4B22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AB4B22">
              <w:t>“</w:t>
            </w:r>
          </w:p>
        </w:tc>
      </w:tr>
    </w:tbl>
    <w:p w:rsidR="00873223" w:rsidRPr="00CE674F" w:rsidRDefault="00873223" w:rsidP="00654D22">
      <w:pPr>
        <w:pStyle w:val="ListParagraph"/>
        <w:keepLines/>
        <w:numPr>
          <w:ilvl w:val="1"/>
          <w:numId w:val="32"/>
        </w:numPr>
        <w:ind w:left="0" w:firstLine="270"/>
        <w:jc w:val="both"/>
        <w:textAlignment w:val="center"/>
      </w:pPr>
      <w:r>
        <w:t>pakeičiu devynioliktąjį skirsnį</w:t>
      </w:r>
      <w:r w:rsidRPr="0068756B">
        <w:t xml:space="preserve"> </w:t>
      </w:r>
      <w:r>
        <w:t xml:space="preserve">„Veiksmų programos prioriteto įgyvendinimo priemonė </w:t>
      </w:r>
      <w:r w:rsidRPr="00654D22">
        <w:rPr>
          <w:szCs w:val="24"/>
        </w:rPr>
        <w:t>Nr. 05.2.1-APVA-</w:t>
      </w:r>
      <w:r w:rsidRPr="009A2A88">
        <w:rPr>
          <w:szCs w:val="24"/>
        </w:rPr>
        <w:t>V</w:t>
      </w:r>
      <w:r w:rsidRPr="00654D22">
        <w:rPr>
          <w:szCs w:val="24"/>
        </w:rPr>
        <w:t>-022 „</w:t>
      </w:r>
      <w:r w:rsidR="002A31D5" w:rsidRPr="00654D22">
        <w:rPr>
          <w:szCs w:val="24"/>
        </w:rPr>
        <w:t>Komunalinių atliekų deginimo pajėgumų plėtra</w:t>
      </w:r>
      <w:r w:rsidRPr="00654D22">
        <w:rPr>
          <w:szCs w:val="24"/>
        </w:rPr>
        <w:t>“:</w:t>
      </w:r>
    </w:p>
    <w:p w:rsidR="00873223" w:rsidRPr="002A31D5" w:rsidRDefault="00654D22" w:rsidP="002A31D5">
      <w:pPr>
        <w:keepLines/>
        <w:tabs>
          <w:tab w:val="left" w:pos="993"/>
        </w:tabs>
        <w:ind w:firstLine="284"/>
        <w:jc w:val="both"/>
        <w:textAlignment w:val="center"/>
        <w:rPr>
          <w:szCs w:val="24"/>
        </w:rPr>
      </w:pPr>
      <w:r>
        <w:t>1.5</w:t>
      </w:r>
      <w:r w:rsidR="002A31D5">
        <w:t>.1</w:t>
      </w:r>
      <w:r w:rsidR="00873223">
        <w:t xml:space="preserve">. pakeičiu 7 </w:t>
      </w:r>
      <w:r w:rsidR="00873223" w:rsidRPr="0068756B">
        <w:t>punkt</w:t>
      </w:r>
      <w:r w:rsidR="00873223">
        <w:t>ą</w:t>
      </w:r>
      <w:r w:rsidR="00873223" w:rsidRPr="0068756B">
        <w:t xml:space="preserve"> ir j</w:t>
      </w:r>
      <w:r w:rsidR="00873223">
        <w:t>į</w:t>
      </w:r>
      <w:r w:rsidR="00873223" w:rsidRPr="0068756B">
        <w:t xml:space="preserve"> išdėstau taip:</w:t>
      </w:r>
      <w:r w:rsidR="00873223" w:rsidRPr="002A31D5">
        <w:rPr>
          <w:szCs w:val="24"/>
        </w:rPr>
        <w:t xml:space="preserve"> </w:t>
      </w:r>
    </w:p>
    <w:p w:rsidR="00873223" w:rsidRPr="00CE674F" w:rsidRDefault="00873223" w:rsidP="00873223">
      <w:pPr>
        <w:pStyle w:val="ListParagraph"/>
        <w:tabs>
          <w:tab w:val="left" w:pos="0"/>
          <w:tab w:val="left" w:pos="567"/>
        </w:tabs>
        <w:ind w:left="360"/>
        <w:jc w:val="both"/>
        <w:rPr>
          <w:szCs w:val="24"/>
        </w:rPr>
      </w:pPr>
      <w:r>
        <w:rPr>
          <w:szCs w:val="24"/>
        </w:rPr>
        <w:t>„</w:t>
      </w:r>
      <w:r w:rsidRPr="00CE674F">
        <w:rPr>
          <w:szCs w:val="24"/>
        </w:rPr>
        <w:t xml:space="preserve">7. </w:t>
      </w:r>
      <w:r w:rsidRPr="00CE674F">
        <w:rPr>
          <w:bCs/>
          <w:szCs w:val="24"/>
        </w:rPr>
        <w:t>Priemonės finansavimo šaltiniai</w:t>
      </w:r>
    </w:p>
    <w:p w:rsidR="00873223" w:rsidRPr="00CE674F" w:rsidRDefault="00873223" w:rsidP="00873223">
      <w:pPr>
        <w:pStyle w:val="ListParagraph"/>
        <w:tabs>
          <w:tab w:val="left" w:pos="0"/>
          <w:tab w:val="left" w:pos="142"/>
          <w:tab w:val="left" w:pos="7655"/>
        </w:tabs>
        <w:ind w:left="360" w:right="-2"/>
        <w:jc w:val="center"/>
        <w:rPr>
          <w:b/>
          <w:bCs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CE674F">
        <w:rPr>
          <w:szCs w:val="24"/>
        </w:rPr>
        <w:t>(eurais)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7"/>
        <w:gridCol w:w="1418"/>
        <w:gridCol w:w="1417"/>
        <w:gridCol w:w="1134"/>
        <w:gridCol w:w="1725"/>
      </w:tblGrid>
      <w:tr w:rsidR="002A31D5" w:rsidTr="00AC02CC">
        <w:trPr>
          <w:trHeight w:val="454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2A31D5" w:rsidTr="00AC02CC">
        <w:trPr>
          <w:trHeight w:val="454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ES struktūrinių fondų </w:t>
            </w:r>
          </w:p>
          <w:p w:rsidR="002A31D5" w:rsidRDefault="002A31D5" w:rsidP="00AC02CC">
            <w:pPr>
              <w:ind w:left="-108"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2A31D5" w:rsidTr="00AC02CC">
        <w:trPr>
          <w:cantSplit/>
          <w:trHeight w:val="515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shd w:val="clear" w:color="000000" w:fill="C2D69B"/>
              <w:rPr>
                <w:rFonts w:eastAsia="Calibri"/>
                <w:bCs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2A31D5" w:rsidTr="00AC02CC">
        <w:trPr>
          <w:cantSplit/>
          <w:trHeight w:val="1020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shd w:val="clear" w:color="000000" w:fill="C2D69B"/>
              <w:rPr>
                <w:rFonts w:eastAsia="Calibri"/>
                <w:bCs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shd w:val="clear" w:color="000000" w:fill="C2D69B"/>
              <w:rPr>
                <w:rFonts w:eastAsia="Calibri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:rsidR="002A31D5" w:rsidRDefault="002A31D5" w:rsidP="00AC02CC">
            <w:pPr>
              <w:tabs>
                <w:tab w:val="left" w:pos="0"/>
              </w:tabs>
              <w:ind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right="-108"/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2A31D5" w:rsidTr="00AC02CC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firstLine="176"/>
              <w:contextualSpacing/>
              <w:rPr>
                <w:rFonts w:eastAsia="Calibri"/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2A31D5" w:rsidTr="00AC02CC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2A31D5" w:rsidRDefault="002A31D5" w:rsidP="002A31D5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2A31D5">
              <w:rPr>
                <w:bCs/>
                <w:strike/>
                <w:szCs w:val="24"/>
              </w:rPr>
              <w:t>67.400.000</w:t>
            </w:r>
          </w:p>
          <w:p w:rsidR="002A31D5" w:rsidRDefault="00A02B7A" w:rsidP="002A31D5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/>
                <w:bCs/>
                <w:szCs w:val="24"/>
              </w:rPr>
              <w:t>61.000</w:t>
            </w:r>
            <w:r w:rsidR="002A31D5">
              <w:rPr>
                <w:b/>
                <w:bCs/>
                <w:szCs w:val="24"/>
              </w:rPr>
              <w:t>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A02B7A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A02B7A">
              <w:rPr>
                <w:bCs/>
                <w:color w:val="FF0000"/>
                <w:szCs w:val="24"/>
              </w:rPr>
              <w:t>16.450.000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A02B7A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color w:val="FF0000"/>
                <w:szCs w:val="24"/>
              </w:rPr>
            </w:pPr>
            <w:r w:rsidRPr="00A02B7A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A02B7A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A02B7A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A02B7A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A02B7A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A02B7A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A02B7A">
              <w:rPr>
                <w:bCs/>
                <w:color w:val="FF0000"/>
                <w:szCs w:val="24"/>
              </w:rPr>
              <w:t>16.450.000</w:t>
            </w:r>
          </w:p>
        </w:tc>
      </w:tr>
      <w:tr w:rsidR="002A31D5" w:rsidTr="00AC02CC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left="34" w:firstLine="142"/>
              <w:contextualSpacing/>
              <w:rPr>
                <w:rFonts w:eastAsia="Calibri"/>
                <w:szCs w:val="24"/>
              </w:rPr>
            </w:pPr>
            <w:r>
              <w:rPr>
                <w:szCs w:val="24"/>
              </w:rPr>
              <w:t>2. Veiklos lėšų rezervas ir jam finansuoti skiriamos nacionalinės lėšos</w:t>
            </w:r>
          </w:p>
        </w:tc>
      </w:tr>
      <w:tr w:rsidR="002A31D5" w:rsidTr="00AC02CC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2A31D5" w:rsidTr="00AC02CC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D5" w:rsidRDefault="002A31D5" w:rsidP="00AC02CC">
            <w:pPr>
              <w:tabs>
                <w:tab w:val="left" w:pos="0"/>
              </w:tabs>
              <w:ind w:left="34" w:firstLine="142"/>
              <w:contextualSpacing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3. Iš viso </w:t>
            </w:r>
          </w:p>
        </w:tc>
      </w:tr>
      <w:tr w:rsidR="002A31D5" w:rsidTr="00AC02CC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Pr="002A31D5" w:rsidRDefault="002A31D5" w:rsidP="00AC02CC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2A31D5">
              <w:rPr>
                <w:b/>
                <w:bCs/>
                <w:strike/>
                <w:szCs w:val="24"/>
              </w:rPr>
              <w:t>67.400.000</w:t>
            </w:r>
          </w:p>
          <w:p w:rsidR="002A31D5" w:rsidRDefault="00A02B7A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61.000.000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szCs w:val="24"/>
              </w:rPr>
            </w:pPr>
            <w:r w:rsidRPr="00A02B7A">
              <w:rPr>
                <w:b/>
                <w:color w:val="FF0000"/>
                <w:szCs w:val="24"/>
              </w:rPr>
              <w:t>16.450.000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5" w:rsidRDefault="002A31D5" w:rsidP="00AC02CC">
            <w:pPr>
              <w:tabs>
                <w:tab w:val="left" w:pos="0"/>
              </w:tabs>
              <w:jc w:val="center"/>
              <w:rPr>
                <w:rFonts w:eastAsia="Calibri"/>
                <w:b/>
                <w:szCs w:val="24"/>
              </w:rPr>
            </w:pPr>
            <w:r w:rsidRPr="00A02B7A">
              <w:rPr>
                <w:b/>
                <w:color w:val="FF0000"/>
                <w:szCs w:val="24"/>
              </w:rPr>
              <w:t>16.450.000</w:t>
            </w:r>
          </w:p>
        </w:tc>
      </w:tr>
    </w:tbl>
    <w:p w:rsidR="002A31D5" w:rsidRDefault="002A31D5" w:rsidP="00873223">
      <w:pPr>
        <w:keepLines/>
        <w:tabs>
          <w:tab w:val="left" w:pos="0"/>
          <w:tab w:val="left" w:pos="709"/>
          <w:tab w:val="left" w:pos="1276"/>
        </w:tabs>
        <w:jc w:val="both"/>
        <w:textAlignment w:val="center"/>
      </w:pPr>
    </w:p>
    <w:p w:rsidR="00FA7D83" w:rsidRDefault="00AE0E2C" w:rsidP="00654D22">
      <w:pPr>
        <w:pStyle w:val="ListParagraph"/>
        <w:keepLines/>
        <w:numPr>
          <w:ilvl w:val="0"/>
          <w:numId w:val="32"/>
        </w:numPr>
        <w:tabs>
          <w:tab w:val="left" w:pos="0"/>
          <w:tab w:val="left" w:pos="709"/>
          <w:tab w:val="left" w:pos="1276"/>
        </w:tabs>
        <w:ind w:left="0" w:firstLine="426"/>
        <w:jc w:val="both"/>
        <w:textAlignment w:val="center"/>
      </w:pPr>
      <w:r>
        <w:t xml:space="preserve"> </w:t>
      </w:r>
      <w:r w:rsidR="00CB579F">
        <w:t>p</w:t>
      </w:r>
      <w:r w:rsidR="00062825" w:rsidRPr="00062825">
        <w:t>akeičiu Nacionalinių stebėsenos rodiklių skaičiavimo apraš</w:t>
      </w:r>
      <w:r w:rsidR="00D27CB9">
        <w:t>ą ir</w:t>
      </w:r>
      <w:r w:rsidR="00062825" w:rsidRPr="00062825">
        <w:t xml:space="preserve"> </w:t>
      </w:r>
      <w:r w:rsidR="00F87A6A">
        <w:t>14.4</w:t>
      </w:r>
      <w:r w:rsidR="00D27CB9">
        <w:t>,</w:t>
      </w:r>
      <w:r w:rsidR="00062825" w:rsidRPr="00062825">
        <w:t xml:space="preserve"> </w:t>
      </w:r>
      <w:r w:rsidR="00D27CB9">
        <w:t>14.7 ir 2.6 punktus</w:t>
      </w:r>
      <w:r w:rsidR="00D27CB9" w:rsidRPr="00062825">
        <w:t xml:space="preserve"> </w:t>
      </w:r>
      <w:r w:rsidR="00D27CB9">
        <w:t>išdėstau taip</w:t>
      </w:r>
      <w:r w:rsidR="00FD2F47">
        <w:t>:</w:t>
      </w:r>
    </w:p>
    <w:p w:rsidR="008A4E15" w:rsidRDefault="008A4E15">
      <w:pPr>
        <w:suppressAutoHyphens w:val="0"/>
      </w:pPr>
      <w:r>
        <w:br w:type="page"/>
      </w:r>
    </w:p>
    <w:p w:rsidR="008A4E15" w:rsidRDefault="008A4E15">
      <w:pPr>
        <w:suppressAutoHyphens w:val="0"/>
        <w:sectPr w:rsidR="008A4E15" w:rsidSect="002F222E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1814" w:right="708" w:bottom="1032" w:left="1701" w:header="1142" w:footer="919" w:gutter="0"/>
          <w:cols w:space="1296"/>
          <w:formProt w:val="0"/>
          <w:titlePg/>
          <w:docGrid w:linePitch="360"/>
        </w:sectPr>
      </w:pPr>
    </w:p>
    <w:tbl>
      <w:tblPr>
        <w:tblStyle w:val="TableGrid1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1129"/>
        <w:gridCol w:w="1696"/>
        <w:gridCol w:w="11"/>
        <w:gridCol w:w="1124"/>
        <w:gridCol w:w="9"/>
        <w:gridCol w:w="2958"/>
        <w:gridCol w:w="17"/>
        <w:gridCol w:w="1537"/>
        <w:gridCol w:w="21"/>
        <w:gridCol w:w="1675"/>
        <w:gridCol w:w="25"/>
        <w:gridCol w:w="1691"/>
        <w:gridCol w:w="9"/>
        <w:gridCol w:w="1700"/>
        <w:gridCol w:w="1418"/>
        <w:gridCol w:w="7"/>
      </w:tblGrid>
      <w:tr w:rsidR="008A4E15" w:rsidRPr="008A4E15" w:rsidTr="00A50F12">
        <w:trPr>
          <w:gridAfter w:val="1"/>
          <w:wAfter w:w="7" w:type="dxa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lastRenderedPageBreak/>
              <w:t>Eil. Nr.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Rodiklio kodas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Rodiklio pavadinimas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A4E15">
              <w:rPr>
                <w:b/>
                <w:bCs/>
                <w:szCs w:val="24"/>
              </w:rPr>
              <w:t>Matavi-mo</w:t>
            </w:r>
            <w:proofErr w:type="spellEnd"/>
            <w:r w:rsidRPr="008A4E15">
              <w:rPr>
                <w:b/>
                <w:bCs/>
                <w:szCs w:val="24"/>
              </w:rPr>
              <w:t xml:space="preserve"> vienetai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Sąvokų apibrėžtys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A4E15">
              <w:rPr>
                <w:b/>
                <w:bCs/>
                <w:szCs w:val="24"/>
              </w:rPr>
              <w:t>Apskaičia-vimo</w:t>
            </w:r>
            <w:proofErr w:type="spellEnd"/>
            <w:r w:rsidRPr="008A4E15">
              <w:rPr>
                <w:b/>
                <w:bCs/>
                <w:szCs w:val="24"/>
              </w:rPr>
              <w:t xml:space="preserve"> tipas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Skaičiavimo būdas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Duomenų šaltinis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suppressAutoHyphens w:val="0"/>
              <w:ind w:left="34"/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Pasiekimo</w:t>
            </w:r>
          </w:p>
          <w:p w:rsidR="008A4E15" w:rsidRPr="008A4E15" w:rsidRDefault="008A4E15" w:rsidP="008A4E15">
            <w:pPr>
              <w:ind w:left="34"/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momentas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15" w:rsidRPr="008A4E15" w:rsidRDefault="008A4E15" w:rsidP="008A4E15">
            <w:pPr>
              <w:jc w:val="center"/>
              <w:rPr>
                <w:b/>
                <w:bCs/>
                <w:szCs w:val="24"/>
              </w:rPr>
            </w:pPr>
            <w:r w:rsidRPr="008A4E15">
              <w:rPr>
                <w:b/>
                <w:bCs/>
                <w:szCs w:val="24"/>
              </w:rPr>
              <w:t>Institucija</w:t>
            </w:r>
          </w:p>
        </w:tc>
      </w:tr>
      <w:tr w:rsidR="00213A3F" w:rsidRPr="008A4E15" w:rsidTr="00A50F12">
        <w:trPr>
          <w:trHeight w:val="290"/>
        </w:trPr>
        <w:tc>
          <w:tcPr>
            <w:tcW w:w="850" w:type="dxa"/>
          </w:tcPr>
          <w:p w:rsidR="00213A3F" w:rsidRDefault="00213A3F">
            <w:pPr>
              <w:rPr>
                <w:szCs w:val="24"/>
              </w:rPr>
            </w:pPr>
            <w:r>
              <w:t>14.4.</w:t>
            </w:r>
          </w:p>
        </w:tc>
        <w:tc>
          <w:tcPr>
            <w:tcW w:w="1129" w:type="dxa"/>
          </w:tcPr>
          <w:p w:rsidR="00213A3F" w:rsidRDefault="00213A3F">
            <w:r>
              <w:t>P.N.</w:t>
            </w:r>
          </w:p>
          <w:p w:rsidR="00213A3F" w:rsidRDefault="00213A3F">
            <w:pPr>
              <w:rPr>
                <w:szCs w:val="24"/>
              </w:rPr>
            </w:pPr>
            <w:r>
              <w:t>043</w:t>
            </w:r>
          </w:p>
        </w:tc>
        <w:tc>
          <w:tcPr>
            <w:tcW w:w="1707" w:type="dxa"/>
            <w:gridSpan w:val="2"/>
          </w:tcPr>
          <w:p w:rsidR="00213A3F" w:rsidRDefault="00213A3F">
            <w:r>
              <w:t>„Parengti vandens telkinių būklės valdymo</w:t>
            </w:r>
            <w:r w:rsidR="000B51E0">
              <w:t xml:space="preserve"> </w:t>
            </w:r>
            <w:r w:rsidR="000B51E0" w:rsidRPr="000B51E0">
              <w:rPr>
                <w:b/>
              </w:rPr>
              <w:t>ir apsaugos</w:t>
            </w:r>
            <w:r>
              <w:t xml:space="preserve"> dokumentai“</w:t>
            </w:r>
          </w:p>
          <w:p w:rsidR="00213A3F" w:rsidRDefault="00213A3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33" w:type="dxa"/>
            <w:gridSpan w:val="2"/>
          </w:tcPr>
          <w:p w:rsidR="00213A3F" w:rsidRDefault="00213A3F">
            <w:pPr>
              <w:rPr>
                <w:szCs w:val="24"/>
              </w:rPr>
            </w:pPr>
            <w:r>
              <w:t>Skaičius</w:t>
            </w:r>
          </w:p>
        </w:tc>
        <w:tc>
          <w:tcPr>
            <w:tcW w:w="2975" w:type="dxa"/>
            <w:gridSpan w:val="2"/>
          </w:tcPr>
          <w:p w:rsidR="00213A3F" w:rsidRDefault="00213A3F">
            <w:pPr>
              <w:ind w:firstLine="283"/>
            </w:pPr>
            <w:r>
              <w:t>Vandens telkinys – atskiras ir vienalytis paviršinio ar požeminio vandens vienetas, toks kaip pavyzdžiui, vandeningas požeminis sluoksnis, ežeras, rezervuaras</w:t>
            </w:r>
            <w:r w:rsidR="00F63481">
              <w:t>,</w:t>
            </w:r>
            <w:r>
              <w:t xml:space="preserve"> </w:t>
            </w:r>
            <w:r w:rsidR="00F63481">
              <w:t>upės atkarpa, upė ar kanalas, up</w:t>
            </w:r>
            <w:r>
              <w:t>ės žiotys ir jūros pakrančių vandenų atkarpa (šaltinis: Terminų žodynas)</w:t>
            </w:r>
          </w:p>
          <w:p w:rsidR="00213A3F" w:rsidRDefault="00213A3F">
            <w:pPr>
              <w:ind w:firstLine="283"/>
            </w:pPr>
            <w:r>
              <w:t> </w:t>
            </w:r>
          </w:p>
          <w:p w:rsidR="00213A3F" w:rsidRDefault="00213A3F">
            <w:pPr>
              <w:ind w:firstLine="283"/>
            </w:pPr>
            <w:r>
              <w:t>Valdymas – ta</w:t>
            </w:r>
            <w:r w:rsidR="00F63481">
              <w:t xml:space="preserve">i priemonė ar visuma priemonių </w:t>
            </w:r>
            <w:r>
              <w:t>valdymo tikslams pasiekti; valdymo sprendimų paruošimas, priėmimas ir bendravimas visose darbo veiklos srityse; tai specifinė žmonių veiklos funkcija (šaltinis: Ekonomikos pagrindai, 2001)</w:t>
            </w:r>
          </w:p>
          <w:p w:rsidR="000B51E0" w:rsidRDefault="000B51E0">
            <w:pPr>
              <w:ind w:firstLine="283"/>
            </w:pPr>
          </w:p>
          <w:p w:rsidR="000B51E0" w:rsidRPr="000B51E0" w:rsidRDefault="000B51E0" w:rsidP="000B51E0">
            <w:pPr>
              <w:ind w:firstLine="283"/>
              <w:rPr>
                <w:b/>
                <w:szCs w:val="24"/>
                <w:lang w:eastAsia="lt-LT"/>
              </w:rPr>
            </w:pPr>
            <w:r w:rsidRPr="000B51E0">
              <w:rPr>
                <w:b/>
                <w:szCs w:val="24"/>
                <w:lang w:eastAsia="lt-LT"/>
              </w:rPr>
              <w:t>Vandens apsauga  – teisinių aktų ir techninių priemonių visuma, sauganti vandenis nuo taršos ir kenksmingo poveikio (šaltinis: Terminų bankas)</w:t>
            </w:r>
          </w:p>
          <w:p w:rsidR="000B51E0" w:rsidRPr="000B51E0" w:rsidRDefault="000B51E0" w:rsidP="000B51E0">
            <w:pPr>
              <w:ind w:firstLine="283"/>
              <w:rPr>
                <w:b/>
                <w:szCs w:val="24"/>
                <w:lang w:eastAsia="lt-LT"/>
              </w:rPr>
            </w:pPr>
          </w:p>
          <w:p w:rsidR="000B51E0" w:rsidRPr="000B51E0" w:rsidRDefault="000B51E0" w:rsidP="000B51E0">
            <w:pPr>
              <w:ind w:firstLine="283"/>
              <w:rPr>
                <w:b/>
                <w:szCs w:val="24"/>
                <w:lang w:eastAsia="lt-LT"/>
              </w:rPr>
            </w:pPr>
            <w:r w:rsidRPr="000B51E0">
              <w:rPr>
                <w:b/>
                <w:szCs w:val="24"/>
                <w:lang w:eastAsia="lt-LT"/>
              </w:rPr>
              <w:lastRenderedPageBreak/>
              <w:t>Gruntinio vandens apsauga – priemonių visuma gruntiniam vandeniui nuo taršos apsaugoti (šaltinis: Terminų bankas)</w:t>
            </w:r>
          </w:p>
          <w:p w:rsidR="00213A3F" w:rsidRDefault="00213A3F">
            <w:pPr>
              <w:ind w:firstLine="283"/>
            </w:pPr>
            <w:r>
              <w:t> </w:t>
            </w:r>
          </w:p>
          <w:p w:rsidR="00213A3F" w:rsidRDefault="00213A3F">
            <w:pPr>
              <w:ind w:firstLine="283"/>
            </w:pPr>
            <w:r>
              <w:t>Požeminio vandens telkinio būklė – bendra požeminio vandens telkinio kokybė, nustatoma įvertinus jo kiekybinę ir cheminę būklę ir tapatinama su blogiau įvertinta (šaltinis: Lietuvos Respublikos vandens įstatymas)</w:t>
            </w:r>
          </w:p>
          <w:p w:rsidR="00213A3F" w:rsidRDefault="00213A3F">
            <w:pPr>
              <w:ind w:firstLine="283"/>
            </w:pPr>
            <w:r>
              <w:t> </w:t>
            </w:r>
          </w:p>
          <w:p w:rsidR="00213A3F" w:rsidRDefault="00213A3F">
            <w:pPr>
              <w:ind w:firstLine="283"/>
            </w:pPr>
            <w:r>
              <w:t>Paviršinio vandens telkinio būklė – bendra paviršinio vandens telkinio kokybė, nustatoma įvertinus jo ekologinę ir cheminę būklę ir tapatinama su blogiau įvertinta (šaltinis: Lietuvos Respublikos vandens įstatymas)</w:t>
            </w:r>
          </w:p>
          <w:p w:rsidR="00213A3F" w:rsidRDefault="00213A3F">
            <w:pPr>
              <w:ind w:firstLine="283"/>
            </w:pPr>
            <w:r>
              <w:t> </w:t>
            </w:r>
          </w:p>
          <w:p w:rsidR="00213A3F" w:rsidRDefault="00213A3F">
            <w:pPr>
              <w:ind w:firstLine="283"/>
            </w:pPr>
            <w:r>
              <w:t xml:space="preserve">Jūros aplinkos būklė – jūros ekosistemų struktūra, funkcijos ir procesai, natūralios ir dėl žmogaus </w:t>
            </w:r>
            <w:r>
              <w:lastRenderedPageBreak/>
              <w:t>veiklos tam tikroje akvatorijoje ar už jos ribų susidarančios geomorfologinės, geografinės, biologinės, geologinės, klimatinės, fizinės, akustinės ir cheminės sąlygos (šaltinis: Lietuvos Respublikos jūros aplinkos apsaugos įstatymas)</w:t>
            </w:r>
          </w:p>
          <w:p w:rsidR="00213A3F" w:rsidRDefault="00213A3F">
            <w:pPr>
              <w:ind w:firstLine="283"/>
              <w:rPr>
                <w:szCs w:val="24"/>
              </w:rPr>
            </w:pPr>
            <w:r>
              <w:t> </w:t>
            </w:r>
          </w:p>
        </w:tc>
        <w:tc>
          <w:tcPr>
            <w:tcW w:w="1558" w:type="dxa"/>
            <w:gridSpan w:val="2"/>
          </w:tcPr>
          <w:p w:rsidR="00213A3F" w:rsidRDefault="00213A3F">
            <w:pPr>
              <w:jc w:val="center"/>
            </w:pPr>
            <w:r>
              <w:lastRenderedPageBreak/>
              <w:t>Automatiškai apskaičiuoja-</w:t>
            </w:r>
            <w:proofErr w:type="spellStart"/>
            <w:r>
              <w:t>mas</w:t>
            </w:r>
            <w:proofErr w:type="spellEnd"/>
          </w:p>
          <w:p w:rsidR="00213A3F" w:rsidRDefault="00213A3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00" w:type="dxa"/>
            <w:gridSpan w:val="2"/>
          </w:tcPr>
          <w:p w:rsidR="00213A3F" w:rsidRDefault="00213A3F">
            <w:r>
              <w:t>Skaičiuojami šie parengti dokumentai:</w:t>
            </w:r>
          </w:p>
          <w:p w:rsidR="00213A3F" w:rsidRDefault="00213A3F">
            <w:r>
              <w:t> </w:t>
            </w:r>
          </w:p>
          <w:p w:rsidR="00213A3F" w:rsidRDefault="00213A3F">
            <w:r>
              <w:t xml:space="preserve">1. </w:t>
            </w:r>
            <w:r w:rsidR="000B51E0" w:rsidRPr="000B51E0">
              <w:rPr>
                <w:b/>
              </w:rPr>
              <w:t>programos (planai)</w:t>
            </w:r>
            <w:r w:rsidR="000B51E0">
              <w:t xml:space="preserve"> </w:t>
            </w:r>
            <w:r w:rsidRPr="000B51E0">
              <w:rPr>
                <w:strike/>
              </w:rPr>
              <w:t>upės baseino rajono valdymo planas ir priemonių programa 2021–2027 m. laikotarpiui, kurie yra sumuojami. 1 planas kartu su priemonių programa prilyginamas 1 vienetui.</w:t>
            </w:r>
          </w:p>
          <w:p w:rsidR="00213A3F" w:rsidRDefault="00213A3F">
            <w:r>
              <w:t> </w:t>
            </w:r>
          </w:p>
          <w:p w:rsidR="00213A3F" w:rsidRPr="000B51E0" w:rsidRDefault="00213A3F">
            <w:pPr>
              <w:rPr>
                <w:strike/>
              </w:rPr>
            </w:pPr>
            <w:r w:rsidRPr="000B51E0">
              <w:t xml:space="preserve">2. </w:t>
            </w:r>
            <w:r w:rsidR="000B51E0" w:rsidRPr="000B51E0">
              <w:rPr>
                <w:b/>
              </w:rPr>
              <w:t>galimybių studijos</w:t>
            </w:r>
            <w:r w:rsidR="000B51E0">
              <w:rPr>
                <w:strike/>
              </w:rPr>
              <w:t xml:space="preserve"> </w:t>
            </w:r>
            <w:r w:rsidRPr="000B51E0">
              <w:rPr>
                <w:strike/>
              </w:rPr>
              <w:t xml:space="preserve">Lietuvos Baltijos jūros aplinkos apsaugos valdymo stiprinimo dokumentai 2021–2027 </w:t>
            </w:r>
            <w:r w:rsidRPr="000B51E0">
              <w:rPr>
                <w:strike/>
              </w:rPr>
              <w:lastRenderedPageBreak/>
              <w:t>metų laikotarpiui:</w:t>
            </w:r>
          </w:p>
          <w:p w:rsidR="00213A3F" w:rsidRPr="000B51E0" w:rsidRDefault="00213A3F">
            <w:pPr>
              <w:rPr>
                <w:strike/>
              </w:rPr>
            </w:pPr>
            <w:r w:rsidRPr="000B51E0">
              <w:rPr>
                <w:strike/>
              </w:rPr>
              <w:t> </w:t>
            </w:r>
          </w:p>
          <w:p w:rsidR="00213A3F" w:rsidRPr="000B51E0" w:rsidRDefault="00213A3F">
            <w:pPr>
              <w:rPr>
                <w:strike/>
              </w:rPr>
            </w:pPr>
            <w:r w:rsidRPr="000B51E0">
              <w:rPr>
                <w:strike/>
              </w:rPr>
              <w:t>2.1. Baltijos jūros aplinkos apsaugos strategija, apimanti jūros aplinkos būklės įvertinimą, atnaujintus geros jūros aplinkos būklės savybes, tikslus ir susijusius rodiklius ir jūros aplinkos būklės stebėsenos programą;</w:t>
            </w:r>
          </w:p>
          <w:p w:rsidR="00213A3F" w:rsidRPr="000B51E0" w:rsidRDefault="00213A3F">
            <w:pPr>
              <w:rPr>
                <w:strike/>
              </w:rPr>
            </w:pPr>
            <w:r w:rsidRPr="000B51E0">
              <w:rPr>
                <w:strike/>
              </w:rPr>
              <w:t> </w:t>
            </w:r>
          </w:p>
          <w:p w:rsidR="00213A3F" w:rsidRDefault="00213A3F">
            <w:pPr>
              <w:rPr>
                <w:strike/>
              </w:rPr>
            </w:pPr>
            <w:r w:rsidRPr="000B51E0">
              <w:rPr>
                <w:strike/>
              </w:rPr>
              <w:t xml:space="preserve">2.2. Baltijos jūros aplinkos apsaugos strategijos įgyvendinimo priemonių planas, </w:t>
            </w:r>
            <w:r w:rsidRPr="000B51E0">
              <w:rPr>
                <w:strike/>
              </w:rPr>
              <w:lastRenderedPageBreak/>
              <w:t>numatantis priemones gerai jūros aplinkos būklei pasiekti ar išlaikyti</w:t>
            </w:r>
          </w:p>
          <w:p w:rsidR="000B51E0" w:rsidRDefault="000B51E0">
            <w:pPr>
              <w:rPr>
                <w:szCs w:val="24"/>
              </w:rPr>
            </w:pPr>
          </w:p>
          <w:p w:rsidR="000B51E0" w:rsidRPr="006F1CFC" w:rsidRDefault="000B51E0" w:rsidP="000B51E0">
            <w:pPr>
              <w:rPr>
                <w:b/>
                <w:szCs w:val="24"/>
              </w:rPr>
            </w:pPr>
            <w:r w:rsidRPr="006F1CFC">
              <w:rPr>
                <w:b/>
                <w:szCs w:val="24"/>
              </w:rPr>
              <w:t>3.  metodikos</w:t>
            </w:r>
          </w:p>
          <w:p w:rsidR="000B51E0" w:rsidRPr="006F1CFC" w:rsidRDefault="000B51E0" w:rsidP="000B51E0">
            <w:pPr>
              <w:rPr>
                <w:b/>
                <w:szCs w:val="24"/>
              </w:rPr>
            </w:pPr>
          </w:p>
          <w:p w:rsidR="000B51E0" w:rsidRDefault="006769CA" w:rsidP="000B51E0">
            <w:pPr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6F1CFC" w:rsidRPr="006F1CFC">
              <w:rPr>
                <w:b/>
                <w:szCs w:val="24"/>
              </w:rPr>
              <w:t>. techniniai sprendiniai</w:t>
            </w:r>
          </w:p>
        </w:tc>
        <w:tc>
          <w:tcPr>
            <w:tcW w:w="1700" w:type="dxa"/>
            <w:gridSpan w:val="2"/>
          </w:tcPr>
          <w:p w:rsidR="00213A3F" w:rsidRDefault="00213A3F">
            <w:r>
              <w:lastRenderedPageBreak/>
              <w:t>Pirminiai šaltiniai:</w:t>
            </w:r>
          </w:p>
          <w:p w:rsidR="00213A3F" w:rsidRDefault="00213A3F">
            <w:r>
              <w:t>priėmimo–perdavimo aktai</w:t>
            </w:r>
          </w:p>
          <w:p w:rsidR="00213A3F" w:rsidRDefault="00213A3F">
            <w:r>
              <w:t> </w:t>
            </w:r>
          </w:p>
          <w:p w:rsidR="00213A3F" w:rsidRDefault="00213A3F">
            <w:pPr>
              <w:rPr>
                <w:szCs w:val="24"/>
              </w:rPr>
            </w:pPr>
            <w:r>
              <w:t>Antriniai šaltiniai: mokėjimo prašymai</w:t>
            </w:r>
          </w:p>
        </w:tc>
        <w:tc>
          <w:tcPr>
            <w:tcW w:w="1700" w:type="dxa"/>
          </w:tcPr>
          <w:p w:rsidR="00213A3F" w:rsidRDefault="00213A3F">
            <w:pPr>
              <w:rPr>
                <w:szCs w:val="24"/>
              </w:rPr>
            </w:pPr>
            <w:r>
              <w:t>Rodiklis laikomas pasiektu, kai projekto veiklų įgyvendinimo pabaigoje pasirašomas priėmimo–perdavimo aktas</w:t>
            </w:r>
          </w:p>
        </w:tc>
        <w:tc>
          <w:tcPr>
            <w:tcW w:w="1425" w:type="dxa"/>
            <w:gridSpan w:val="2"/>
          </w:tcPr>
          <w:p w:rsidR="00213A3F" w:rsidRDefault="00213A3F">
            <w:pPr>
              <w:rPr>
                <w:szCs w:val="24"/>
              </w:rPr>
            </w:pPr>
            <w:r>
              <w:t>Už stebėsenos rodiklio pasiekimą ir duomenų apie pasiektą stebėsenos rodiklio reikšmę teikimą antriniuose šaltiniuose atsakingas projekto vykdytojas</w:t>
            </w:r>
          </w:p>
        </w:tc>
      </w:tr>
      <w:tr w:rsidR="008A4E15" w:rsidRPr="008A4E15" w:rsidTr="00A50F12">
        <w:trPr>
          <w:trHeight w:val="290"/>
        </w:trPr>
        <w:tc>
          <w:tcPr>
            <w:tcW w:w="850" w:type="dxa"/>
          </w:tcPr>
          <w:p w:rsidR="008A4E15" w:rsidRPr="008A4E15" w:rsidRDefault="008A4E15" w:rsidP="008A4E15">
            <w:pPr>
              <w:rPr>
                <w:b/>
                <w:iCs/>
                <w:szCs w:val="24"/>
              </w:rPr>
            </w:pPr>
            <w:r w:rsidRPr="008A4E15">
              <w:rPr>
                <w:b/>
                <w:iCs/>
                <w:szCs w:val="24"/>
              </w:rPr>
              <w:lastRenderedPageBreak/>
              <w:t>14.7.</w:t>
            </w:r>
          </w:p>
        </w:tc>
        <w:tc>
          <w:tcPr>
            <w:tcW w:w="1129" w:type="dxa"/>
          </w:tcPr>
          <w:p w:rsidR="008A4E15" w:rsidRPr="008A4E15" w:rsidRDefault="008A4E15" w:rsidP="008A4E15">
            <w:pPr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>P.N.046</w:t>
            </w:r>
          </w:p>
        </w:tc>
        <w:tc>
          <w:tcPr>
            <w:tcW w:w="1707" w:type="dxa"/>
            <w:gridSpan w:val="2"/>
          </w:tcPr>
          <w:p w:rsidR="008A4E15" w:rsidRPr="008A4E15" w:rsidRDefault="008A4E15" w:rsidP="008A4E15">
            <w:pPr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>„Aglomeracijos, kuriose atlikta individualių nuotekų tvarkymo sistemų inventorizacija“</w:t>
            </w:r>
          </w:p>
        </w:tc>
        <w:tc>
          <w:tcPr>
            <w:tcW w:w="1133" w:type="dxa"/>
            <w:gridSpan w:val="2"/>
          </w:tcPr>
          <w:p w:rsidR="008A4E15" w:rsidRPr="008A4E15" w:rsidRDefault="008A4E15" w:rsidP="008A4E15">
            <w:pPr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>Skaičius</w:t>
            </w:r>
          </w:p>
        </w:tc>
        <w:tc>
          <w:tcPr>
            <w:tcW w:w="2975" w:type="dxa"/>
            <w:gridSpan w:val="2"/>
          </w:tcPr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Aglomeracija  - tai teritorija, kuri yra gana   tankiai apgyvendinta ir/arba  kurioje gana sutelkta ūkinė veikla (teritorijoje yra  ne mažiau kaip 25 atskiri nuotekų šaltiniai (objektai), kurių bendras dydis atitinka ne mažiau kaip 100 GE, o įrengiant centralizuotąjį </w:t>
            </w:r>
            <w:proofErr w:type="spellStart"/>
            <w:r w:rsidRPr="008A4E15">
              <w:rPr>
                <w:b/>
                <w:szCs w:val="24"/>
              </w:rPr>
              <w:t>nuotakyną</w:t>
            </w:r>
            <w:proofErr w:type="spellEnd"/>
            <w:r w:rsidRPr="008A4E15">
              <w:rPr>
                <w:b/>
                <w:szCs w:val="24"/>
              </w:rPr>
              <w:t xml:space="preserve"> vienam GE vidutiniškai tektų ne  daugiau  kaip 15 m lauko/gatvių tinklų,  nevertinant įvadų, kolektorių  iki valymo įrenginių ir išleidimo vietos ilgio),  dėl ko </w:t>
            </w:r>
            <w:r w:rsidRPr="008A4E15">
              <w:rPr>
                <w:b/>
                <w:szCs w:val="24"/>
              </w:rPr>
              <w:lastRenderedPageBreak/>
              <w:t xml:space="preserve">nuotekas tikslinga surinkti naudojant centralizuotąjį </w:t>
            </w:r>
            <w:proofErr w:type="spellStart"/>
            <w:r w:rsidRPr="008A4E15">
              <w:rPr>
                <w:b/>
                <w:szCs w:val="24"/>
              </w:rPr>
              <w:t>nuotakyną</w:t>
            </w:r>
            <w:proofErr w:type="spellEnd"/>
            <w:r w:rsidRPr="008A4E15">
              <w:rPr>
                <w:b/>
                <w:szCs w:val="24"/>
              </w:rPr>
              <w:t xml:space="preserve">,  arba  teritorija, kurioje nuotekas rinkti naudojant centralizuotąjį </w:t>
            </w:r>
            <w:proofErr w:type="spellStart"/>
            <w:r w:rsidRPr="008A4E15">
              <w:rPr>
                <w:b/>
                <w:szCs w:val="24"/>
              </w:rPr>
              <w:t>nuotakyną</w:t>
            </w:r>
            <w:proofErr w:type="spellEnd"/>
            <w:r w:rsidRPr="008A4E15">
              <w:rPr>
                <w:b/>
                <w:szCs w:val="24"/>
              </w:rPr>
              <w:t xml:space="preserve"> yra  tikslinga dėl  kitų priežasčių (šaltinis: Nuotekų tvarkymo reglamentas)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Individualusis nuotekų tvarkymas – teisės aktų nustatyta tvarka namų ūkio nuotekų arba nuotekų, susidarančių vykdant ūkinę komercinę veiklą, išleidimas į nuosavybės teise ar kitaip valdomus ir (arba) naudojamus nuotekų kaupimo ar valymo įrenginius, nuotekų valymas, išleidimas į aplinką, valant nuotekas susidariusių atliekų (dumblo), sukauptų nuotekų perdavimas nuotekų transportavimo paslaugas teikiančiam asmeniui (šaltinis: </w:t>
            </w:r>
            <w:r w:rsidR="00F63481">
              <w:rPr>
                <w:b/>
                <w:szCs w:val="24"/>
              </w:rPr>
              <w:lastRenderedPageBreak/>
              <w:t>Lietuvos Respublikos g</w:t>
            </w:r>
            <w:r w:rsidRPr="008A4E15">
              <w:rPr>
                <w:b/>
                <w:szCs w:val="24"/>
              </w:rPr>
              <w:t>eriamojo vandens tiekimo ir nuotekų tvarkymo įstatymas);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Individualusis nuotekų tvarkymas vykdomas atskirąja ir/ar grupine nuotekų tvarkymo sistema, neprijungta prie centralizuoto </w:t>
            </w:r>
            <w:proofErr w:type="spellStart"/>
            <w:r w:rsidRPr="008A4E15">
              <w:rPr>
                <w:b/>
                <w:szCs w:val="24"/>
              </w:rPr>
              <w:t>nuotakyno</w:t>
            </w:r>
            <w:proofErr w:type="spellEnd"/>
            <w:r w:rsidRPr="008A4E15">
              <w:rPr>
                <w:b/>
                <w:szCs w:val="24"/>
              </w:rPr>
              <w:t>.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>Atskiroji nuotekų tvarkymo sistema - ne daugiau kaip dviejų gyvenamųjų namų ar kitų objektų nuotekoms tvarkyti  skirta sistema, iš kurios nuotekos išleidžiamos į aplinką arba kaupiamos ir periodiškai išvežamos mobiliosiomis priemonėmis (šaltinis: Nuotekų tvarkymo reglamentas);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Grupinė nuotekų tvarkymo sistema – grupės (daugiau kaip dviejų) objektų nuotekoms tvarkyti skirta sistema, iš </w:t>
            </w:r>
            <w:r w:rsidRPr="008A4E15">
              <w:rPr>
                <w:b/>
                <w:szCs w:val="24"/>
              </w:rPr>
              <w:lastRenderedPageBreak/>
              <w:t>kurios nuotekos išleidžiamos į aplinką arba kaupiamos ir periodiškai išvežamos mobiliosiomis priemonėmis (šaltinis: Nuotekų tvarkymo reglamentas);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F63481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Centralizuotasis </w:t>
            </w:r>
            <w:proofErr w:type="spellStart"/>
            <w:r w:rsidRPr="008A4E15">
              <w:rPr>
                <w:b/>
                <w:szCs w:val="24"/>
              </w:rPr>
              <w:t>nuotakynas</w:t>
            </w:r>
            <w:proofErr w:type="spellEnd"/>
            <w:r w:rsidRPr="008A4E15">
              <w:rPr>
                <w:b/>
                <w:szCs w:val="24"/>
              </w:rPr>
              <w:t xml:space="preserve"> (centralizuotoji nuotekų surinkimo sistema)</w:t>
            </w:r>
            <w:r w:rsidR="00F63481">
              <w:rPr>
                <w:b/>
                <w:szCs w:val="24"/>
              </w:rPr>
              <w:t xml:space="preserve"> – </w:t>
            </w:r>
            <w:r w:rsidRPr="008A4E15">
              <w:rPr>
                <w:b/>
                <w:szCs w:val="24"/>
              </w:rPr>
              <w:t xml:space="preserve"> </w:t>
            </w:r>
            <w:proofErr w:type="spellStart"/>
            <w:r w:rsidRPr="008A4E15">
              <w:rPr>
                <w:b/>
                <w:szCs w:val="24"/>
              </w:rPr>
              <w:t>nuotakynas</w:t>
            </w:r>
            <w:proofErr w:type="spellEnd"/>
            <w:r w:rsidRPr="008A4E15">
              <w:rPr>
                <w:b/>
                <w:szCs w:val="24"/>
              </w:rPr>
              <w:t>, į kurį patenkančios nuotekos nukreipiamos į aglomeracijos nuotekų valymo įrenginius arba į galutinę išleidimo vietą ir kurį naudojant teikiamos viešosios nuotekų tvarkymo paslaugos ir surenkama ne mažiau kaip 30 % aglomeracijoje susidarančių nuotekų (šaltinis: Nuotekų tvarkymo reglamentas);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t xml:space="preserve">Inventorizacija - turto surašymas (šaltinis: Terminų žodynas). </w:t>
            </w: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</w:p>
          <w:p w:rsidR="008A4E15" w:rsidRPr="008A4E15" w:rsidRDefault="008A4E15" w:rsidP="008A4E15">
            <w:pPr>
              <w:ind w:firstLine="283"/>
              <w:rPr>
                <w:b/>
                <w:szCs w:val="24"/>
              </w:rPr>
            </w:pPr>
            <w:r w:rsidRPr="008A4E15">
              <w:rPr>
                <w:b/>
                <w:szCs w:val="24"/>
              </w:rPr>
              <w:lastRenderedPageBreak/>
              <w:t>Inventorizacija - turto ir įsipareigojimų patikrinimas ir jų faktiškai rastų likučių palyginimas su buhalterinės apskaitos duomenimis (šaltinis: Terminų bankas).</w:t>
            </w:r>
          </w:p>
        </w:tc>
        <w:tc>
          <w:tcPr>
            <w:tcW w:w="1558" w:type="dxa"/>
            <w:gridSpan w:val="2"/>
          </w:tcPr>
          <w:p w:rsidR="008A4E15" w:rsidRPr="008A4E15" w:rsidRDefault="008A4E15" w:rsidP="008A4E15">
            <w:pPr>
              <w:jc w:val="center"/>
              <w:rPr>
                <w:b/>
                <w:iCs/>
                <w:szCs w:val="24"/>
              </w:rPr>
            </w:pPr>
            <w:r w:rsidRPr="008A4E15">
              <w:rPr>
                <w:b/>
                <w:iCs/>
                <w:szCs w:val="24"/>
              </w:rPr>
              <w:lastRenderedPageBreak/>
              <w:t>Automatiškai apskaičiuoja-</w:t>
            </w:r>
            <w:proofErr w:type="spellStart"/>
            <w:r w:rsidRPr="008A4E15">
              <w:rPr>
                <w:b/>
                <w:iCs/>
                <w:szCs w:val="24"/>
              </w:rPr>
              <w:t>mas</w:t>
            </w:r>
            <w:proofErr w:type="spellEnd"/>
          </w:p>
          <w:p w:rsidR="008A4E15" w:rsidRPr="008A4E15" w:rsidRDefault="008A4E15" w:rsidP="008A4E15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700" w:type="dxa"/>
            <w:gridSpan w:val="2"/>
          </w:tcPr>
          <w:p w:rsidR="008A4E15" w:rsidRPr="008A4E15" w:rsidRDefault="008A4E15" w:rsidP="000B51E0">
            <w:pPr>
              <w:rPr>
                <w:b/>
                <w:iCs/>
                <w:szCs w:val="24"/>
              </w:rPr>
            </w:pPr>
            <w:r w:rsidRPr="008A4E15">
              <w:rPr>
                <w:b/>
                <w:iCs/>
                <w:szCs w:val="24"/>
              </w:rPr>
              <w:t xml:space="preserve">Skaičiuojamos aglomeracijos, kuriose inventorizuotos </w:t>
            </w:r>
            <w:r w:rsidR="000B51E0">
              <w:rPr>
                <w:b/>
                <w:iCs/>
                <w:szCs w:val="24"/>
              </w:rPr>
              <w:t>v</w:t>
            </w:r>
            <w:r w:rsidRPr="008A4E15">
              <w:rPr>
                <w:b/>
                <w:iCs/>
                <w:szCs w:val="24"/>
              </w:rPr>
              <w:t>isos  </w:t>
            </w:r>
            <w:r w:rsidR="000B51E0">
              <w:rPr>
                <w:b/>
                <w:iCs/>
                <w:szCs w:val="24"/>
              </w:rPr>
              <w:t>individualios</w:t>
            </w:r>
            <w:r w:rsidRPr="008A4E15">
              <w:rPr>
                <w:b/>
                <w:iCs/>
                <w:szCs w:val="24"/>
              </w:rPr>
              <w:t xml:space="preserve"> nuotekų tvarkymo sistemos</w:t>
            </w:r>
          </w:p>
        </w:tc>
        <w:tc>
          <w:tcPr>
            <w:tcW w:w="1700" w:type="dxa"/>
            <w:gridSpan w:val="2"/>
          </w:tcPr>
          <w:p w:rsidR="008A4E15" w:rsidRPr="008A4E15" w:rsidRDefault="008A4E15" w:rsidP="008A4E15">
            <w:pPr>
              <w:rPr>
                <w:b/>
                <w:iCs/>
                <w:szCs w:val="24"/>
                <w:lang w:eastAsia="zh-CN"/>
              </w:rPr>
            </w:pPr>
            <w:r w:rsidRPr="008A4E15">
              <w:rPr>
                <w:b/>
                <w:iCs/>
                <w:szCs w:val="24"/>
                <w:lang w:eastAsia="zh-CN"/>
              </w:rPr>
              <w:t>Pirminiai šaltiniai:</w:t>
            </w:r>
          </w:p>
          <w:p w:rsidR="008A4E15" w:rsidRPr="008A4E15" w:rsidRDefault="008A4E15" w:rsidP="008A4E15">
            <w:pPr>
              <w:rPr>
                <w:b/>
                <w:iCs/>
                <w:szCs w:val="24"/>
                <w:lang w:eastAsia="zh-CN"/>
              </w:rPr>
            </w:pPr>
            <w:r w:rsidRPr="008A4E15">
              <w:rPr>
                <w:b/>
                <w:iCs/>
                <w:szCs w:val="24"/>
                <w:lang w:eastAsia="zh-CN"/>
              </w:rPr>
              <w:t>priėmimo–perdavimo aktai</w:t>
            </w:r>
          </w:p>
          <w:p w:rsidR="008A4E15" w:rsidRPr="008A4E15" w:rsidRDefault="008A4E15" w:rsidP="008A4E15">
            <w:pPr>
              <w:rPr>
                <w:b/>
                <w:iCs/>
                <w:szCs w:val="24"/>
                <w:lang w:eastAsia="zh-CN"/>
              </w:rPr>
            </w:pPr>
          </w:p>
          <w:p w:rsidR="008A4E15" w:rsidRPr="008A4E15" w:rsidRDefault="008A4E15" w:rsidP="008A4E15">
            <w:pPr>
              <w:rPr>
                <w:b/>
                <w:iCs/>
                <w:szCs w:val="24"/>
                <w:lang w:eastAsia="zh-CN"/>
              </w:rPr>
            </w:pPr>
            <w:r w:rsidRPr="008A4E15">
              <w:rPr>
                <w:b/>
                <w:iCs/>
                <w:szCs w:val="24"/>
                <w:lang w:eastAsia="zh-CN"/>
              </w:rPr>
              <w:t>Antriniai šaltiniai: mokėjimo prašymai</w:t>
            </w:r>
          </w:p>
        </w:tc>
        <w:tc>
          <w:tcPr>
            <w:tcW w:w="1700" w:type="dxa"/>
          </w:tcPr>
          <w:p w:rsidR="008A4E15" w:rsidRPr="008A4E15" w:rsidRDefault="008A4E15" w:rsidP="008A4E15">
            <w:pPr>
              <w:rPr>
                <w:b/>
                <w:iCs/>
                <w:szCs w:val="24"/>
              </w:rPr>
            </w:pPr>
            <w:r w:rsidRPr="008A4E15">
              <w:rPr>
                <w:b/>
                <w:iCs/>
                <w:szCs w:val="24"/>
              </w:rPr>
              <w:t>Rodiklis laikomas pasiektu, kai projekto veiklų įgyvendinimo pabaigoje pasirašomas priėmimo–perdavimo aktas</w:t>
            </w:r>
          </w:p>
        </w:tc>
        <w:tc>
          <w:tcPr>
            <w:tcW w:w="1425" w:type="dxa"/>
            <w:gridSpan w:val="2"/>
          </w:tcPr>
          <w:p w:rsidR="008A4E15" w:rsidRPr="008A4E15" w:rsidRDefault="008A4E15" w:rsidP="008A4E15">
            <w:pPr>
              <w:rPr>
                <w:b/>
                <w:iCs/>
                <w:szCs w:val="24"/>
              </w:rPr>
            </w:pPr>
            <w:r w:rsidRPr="008A4E15">
              <w:rPr>
                <w:b/>
                <w:iCs/>
                <w:szCs w:val="24"/>
              </w:rPr>
              <w:t>Už stebėsenos rodiklio pasiekimą ir duomenų apie pasiektą stebėsenos rodiklio reikšmę teikimą antriniuose šaltiniuose atsakingas projekto vykdytojas</w:t>
            </w:r>
          </w:p>
        </w:tc>
      </w:tr>
      <w:tr w:rsidR="00213A3F" w:rsidRPr="008A4E15" w:rsidTr="00A50F12">
        <w:trPr>
          <w:trHeight w:val="290"/>
        </w:trPr>
        <w:tc>
          <w:tcPr>
            <w:tcW w:w="850" w:type="dxa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lastRenderedPageBreak/>
              <w:t>2.6.</w:t>
            </w:r>
          </w:p>
        </w:tc>
        <w:tc>
          <w:tcPr>
            <w:tcW w:w="1129" w:type="dxa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P.N.058</w:t>
            </w:r>
          </w:p>
        </w:tc>
        <w:tc>
          <w:tcPr>
            <w:tcW w:w="1707" w:type="dxa"/>
            <w:gridSpan w:val="2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„Parengtas geriamojo vandens tiekimo ir nuotekų tvarkymo įmonių veiklos tobulinimo planas regionų lygmeniu“</w:t>
            </w:r>
          </w:p>
        </w:tc>
        <w:tc>
          <w:tcPr>
            <w:tcW w:w="1133" w:type="dxa"/>
            <w:gridSpan w:val="2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Vienetai</w:t>
            </w:r>
          </w:p>
        </w:tc>
        <w:tc>
          <w:tcPr>
            <w:tcW w:w="2975" w:type="dxa"/>
            <w:gridSpan w:val="2"/>
          </w:tcPr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Vandens tiekimo ir nuotekų tvarkymo įmonė – geriamojo vandens tiekėjas ir nuotekų tvarkytojas.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 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 xml:space="preserve">Geriamojo vandens tiekėjas ir nuotekų tvarkytojas – juridinis asmuo, teisės aktų nustatyta tvarka tiekiantis geriamąjį vandenį ir (arba) teikiantis nuotekų tvarkymo paslaugas ir turintis geriamojo vandens tiekimo ir nuotekų tvarkymo licenciją (Lietuvos Respublikos geriamojo vandens tiekimo ir </w:t>
            </w:r>
            <w:r w:rsidRPr="00B3637F">
              <w:rPr>
                <w:b/>
                <w:szCs w:val="24"/>
                <w:lang w:eastAsia="lt-LT"/>
              </w:rPr>
              <w:lastRenderedPageBreak/>
              <w:t>nuotekų tvarkymo įstatymas).</w:t>
            </w:r>
          </w:p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</w:rPr>
            </w:pPr>
            <w:r w:rsidRPr="00B3637F">
              <w:rPr>
                <w:b/>
                <w:szCs w:val="24"/>
              </w:rPr>
              <w:t>Viešojo geriamojo vandens tiekimo ir nuotekų tvarkymo regionas – tai teritorija, atitinkanti Lietuvos Respublikos teritorijos administracinių vienetų ir jų ribų įstatyme nustatytą Lietuvos Respublikos teritorijos aukštesnįjį administracinį vienetą – apskritį ir jos ribas, kurioje savivaldybės privalo organizuoti ir užtikrinti geriamojo vandens tiekimą ir nuotekų tvarkymą (</w:t>
            </w:r>
            <w:r w:rsidRPr="00B3637F">
              <w:rPr>
                <w:b/>
              </w:rPr>
              <w:t>Lietuvos Respublikos geriamojo vandens tiekimo ir nuotekų tvarkymo įstatymas</w:t>
            </w:r>
            <w:r w:rsidRPr="00B3637F">
              <w:rPr>
                <w:b/>
                <w:szCs w:val="24"/>
              </w:rPr>
              <w:t>).</w:t>
            </w:r>
          </w:p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 xml:space="preserve">Įmonių veiklos tobulinimo planas – </w:t>
            </w:r>
            <w:r w:rsidRPr="00B3637F">
              <w:rPr>
                <w:b/>
              </w:rPr>
              <w:t xml:space="preserve">dokumentas, kuriame numatyti veiksmai geriamojo vandens tiekimo ir nuotekų tvarkymo įmonių </w:t>
            </w:r>
            <w:r w:rsidRPr="00B3637F">
              <w:rPr>
                <w:b/>
              </w:rPr>
              <w:lastRenderedPageBreak/>
              <w:t>veiklos tobulinimui.</w:t>
            </w:r>
          </w:p>
        </w:tc>
        <w:tc>
          <w:tcPr>
            <w:tcW w:w="1558" w:type="dxa"/>
            <w:gridSpan w:val="2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lastRenderedPageBreak/>
              <w:t xml:space="preserve">Automatiškai </w:t>
            </w:r>
            <w:proofErr w:type="spellStart"/>
            <w:r w:rsidRPr="00B3637F">
              <w:rPr>
                <w:b/>
                <w:szCs w:val="24"/>
                <w:lang w:eastAsia="lt-LT"/>
              </w:rPr>
              <w:t>apskaičiuo-jamas</w:t>
            </w:r>
            <w:proofErr w:type="spellEnd"/>
          </w:p>
        </w:tc>
        <w:tc>
          <w:tcPr>
            <w:tcW w:w="1700" w:type="dxa"/>
            <w:gridSpan w:val="2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 xml:space="preserve">Skaičiuojamas </w:t>
            </w:r>
            <w:r w:rsidRPr="00B3637F">
              <w:rPr>
                <w:b/>
              </w:rPr>
              <w:t xml:space="preserve">parengtas </w:t>
            </w:r>
            <w:r w:rsidRPr="00B3637F">
              <w:rPr>
                <w:b/>
                <w:szCs w:val="24"/>
                <w:lang w:eastAsia="lt-LT"/>
              </w:rPr>
              <w:t>geriamojo vandens tiekimo ir nuotekų tvarkymo įmonių veiklos tobulinimo planas regionams</w:t>
            </w:r>
          </w:p>
        </w:tc>
        <w:tc>
          <w:tcPr>
            <w:tcW w:w="1700" w:type="dxa"/>
            <w:gridSpan w:val="2"/>
          </w:tcPr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Pirminiai šaltiniai: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priėmimo</w:t>
            </w:r>
            <w:r w:rsidRPr="00B3637F">
              <w:rPr>
                <w:b/>
              </w:rPr>
              <w:t>–</w:t>
            </w:r>
            <w:r w:rsidRPr="00B3637F">
              <w:rPr>
                <w:b/>
                <w:szCs w:val="24"/>
                <w:lang w:eastAsia="lt-LT"/>
              </w:rPr>
              <w:t>perdavimo aktai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 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Antriniai šaltiniai:</w:t>
            </w:r>
          </w:p>
          <w:p w:rsidR="00213A3F" w:rsidRPr="00B3637F" w:rsidRDefault="00213A3F" w:rsidP="00E7458D">
            <w:pPr>
              <w:spacing w:before="240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mokėjimo prašymai</w:t>
            </w:r>
          </w:p>
        </w:tc>
        <w:tc>
          <w:tcPr>
            <w:tcW w:w="1700" w:type="dxa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 xml:space="preserve">Rodiklis laikomas pasiektu, </w:t>
            </w:r>
            <w:r w:rsidRPr="00B3637F">
              <w:rPr>
                <w:b/>
              </w:rPr>
              <w:t>kai projekto veiklų įgyvendinimo pabaigoje pasirašomas priėmimo–perdavimo aktas</w:t>
            </w:r>
          </w:p>
        </w:tc>
        <w:tc>
          <w:tcPr>
            <w:tcW w:w="1425" w:type="dxa"/>
            <w:gridSpan w:val="2"/>
          </w:tcPr>
          <w:p w:rsidR="00213A3F" w:rsidRPr="00B3637F" w:rsidRDefault="00213A3F" w:rsidP="00E7458D">
            <w:pPr>
              <w:spacing w:before="240" w:line="89" w:lineRule="atLeast"/>
              <w:rPr>
                <w:b/>
                <w:szCs w:val="24"/>
                <w:lang w:eastAsia="lt-LT"/>
              </w:rPr>
            </w:pPr>
            <w:r w:rsidRPr="00B3637F">
              <w:rPr>
                <w:b/>
                <w:szCs w:val="24"/>
                <w:lang w:eastAsia="lt-LT"/>
              </w:rPr>
              <w:t>Už stebėsenos rodiklio pasiekimą ir duomenų apie pasiektą stebėsenos rodiklio reikšmę pateikimą antriniuose šaltiniuose atsakingas projekto vykdytojas</w:t>
            </w:r>
          </w:p>
        </w:tc>
      </w:tr>
    </w:tbl>
    <w:p w:rsidR="00213A3F" w:rsidRDefault="00213A3F" w:rsidP="00213A3F">
      <w:pPr>
        <w:suppressAutoHyphens w:val="0"/>
      </w:pPr>
    </w:p>
    <w:p w:rsidR="008A4E15" w:rsidRDefault="00213A3F" w:rsidP="00213A3F">
      <w:pPr>
        <w:suppressAutoHyphens w:val="0"/>
        <w:jc w:val="center"/>
      </w:pPr>
      <w:r w:rsidRPr="0037602A">
        <w:t>________________________</w:t>
      </w:r>
    </w:p>
    <w:p w:rsidR="00AB6464" w:rsidRDefault="00AB6464" w:rsidP="00AB6464">
      <w:pPr>
        <w:suppressAutoHyphens w:val="0"/>
      </w:pPr>
    </w:p>
    <w:p w:rsidR="00AB6464" w:rsidRDefault="00AB6464" w:rsidP="00AB6464">
      <w:pPr>
        <w:suppressAutoHyphens w:val="0"/>
      </w:pPr>
    </w:p>
    <w:p w:rsidR="00AB6464" w:rsidRDefault="00AB6464" w:rsidP="00AB6464">
      <w:pPr>
        <w:suppressAutoHyphens w:val="0"/>
      </w:pPr>
    </w:p>
    <w:p w:rsidR="00AB6464" w:rsidRDefault="00AB6464" w:rsidP="00AB6464">
      <w:pPr>
        <w:suppressAutoHyphens w:val="0"/>
      </w:pPr>
    </w:p>
    <w:p w:rsidR="00AB6464" w:rsidRDefault="00AB6464" w:rsidP="00AB6464">
      <w:pPr>
        <w:suppressAutoHyphens w:val="0"/>
      </w:pPr>
    </w:p>
    <w:p w:rsidR="00E7458D" w:rsidRDefault="00E7458D" w:rsidP="00AB6464">
      <w:pPr>
        <w:suppressAutoHyphens w:val="0"/>
      </w:pPr>
    </w:p>
    <w:p w:rsidR="00E7458D" w:rsidRDefault="00E7458D" w:rsidP="00AB6464">
      <w:pPr>
        <w:suppressAutoHyphens w:val="0"/>
      </w:pPr>
    </w:p>
    <w:p w:rsidR="00E7458D" w:rsidRDefault="00E7458D" w:rsidP="00AB6464">
      <w:pPr>
        <w:suppressAutoHyphens w:val="0"/>
      </w:pPr>
    </w:p>
    <w:tbl>
      <w:tblPr>
        <w:tblStyle w:val="TableGri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3"/>
        <w:gridCol w:w="8456"/>
      </w:tblGrid>
      <w:tr w:rsidR="00AB6464" w:rsidRPr="00AB6464" w:rsidTr="00AB6464">
        <w:tc>
          <w:tcPr>
            <w:tcW w:w="7103" w:type="dxa"/>
          </w:tcPr>
          <w:p w:rsidR="00AB6464" w:rsidRPr="00AB6464" w:rsidRDefault="00AB6464" w:rsidP="00AB6464">
            <w:pPr>
              <w:suppressAutoHyphens w:val="0"/>
              <w:rPr>
                <w:rFonts w:ascii="Times New Roman" w:hAnsi="Times New Roman" w:cs="Times New Roman"/>
              </w:rPr>
            </w:pPr>
            <w:r w:rsidRPr="00AB6464">
              <w:rPr>
                <w:rFonts w:ascii="Times New Roman" w:hAnsi="Times New Roman" w:cs="Times New Roman"/>
              </w:rPr>
              <w:t xml:space="preserve">Aplinkos ministras    </w:t>
            </w:r>
          </w:p>
        </w:tc>
        <w:tc>
          <w:tcPr>
            <w:tcW w:w="8456" w:type="dxa"/>
          </w:tcPr>
          <w:p w:rsidR="00AB6464" w:rsidRPr="00AB6464" w:rsidRDefault="00AB6464" w:rsidP="00AB6464">
            <w:pPr>
              <w:suppressAutoHyphens w:val="0"/>
              <w:jc w:val="right"/>
              <w:rPr>
                <w:rFonts w:ascii="Times New Roman" w:hAnsi="Times New Roman" w:cs="Times New Roman"/>
              </w:rPr>
            </w:pPr>
            <w:r w:rsidRPr="00AB6464">
              <w:rPr>
                <w:rFonts w:ascii="Times New Roman" w:hAnsi="Times New Roman" w:cs="Times New Roman"/>
              </w:rPr>
              <w:t>Kęstutis Navickas</w:t>
            </w:r>
          </w:p>
        </w:tc>
      </w:tr>
    </w:tbl>
    <w:p w:rsidR="00AB6464" w:rsidRDefault="00AB6464" w:rsidP="00AB6464">
      <w:pPr>
        <w:suppressAutoHyphens w:val="0"/>
      </w:pPr>
    </w:p>
    <w:p w:rsidR="00AB6464" w:rsidRDefault="00AB6464" w:rsidP="00AB6464">
      <w:pPr>
        <w:suppressAutoHyphens w:val="0"/>
      </w:pPr>
    </w:p>
    <w:p w:rsidR="00F351F7" w:rsidRDefault="00F351F7" w:rsidP="00F351F7">
      <w:r w:rsidRPr="00122B16">
        <w:tab/>
      </w:r>
      <w:r w:rsidRPr="00122B16">
        <w:tab/>
        <w:t xml:space="preserve">                                                                       </w:t>
      </w:r>
    </w:p>
    <w:p w:rsidR="00F351F7" w:rsidRDefault="00F351F7" w:rsidP="00F351F7"/>
    <w:p w:rsidR="00F351F7" w:rsidRPr="005838D4" w:rsidRDefault="00F351F7" w:rsidP="00F351F7">
      <w:pPr>
        <w:rPr>
          <w:sz w:val="14"/>
        </w:rPr>
      </w:pPr>
    </w:p>
    <w:p w:rsidR="00F351F7" w:rsidRDefault="00F351F7" w:rsidP="00F351F7"/>
    <w:p w:rsidR="00F351F7" w:rsidRDefault="00F351F7" w:rsidP="00F351F7"/>
    <w:p w:rsidR="00F351F7" w:rsidRPr="00A43FAB" w:rsidRDefault="00D5274F" w:rsidP="00F351F7">
      <w:r>
        <w:t>SUDERINTA</w:t>
      </w:r>
    </w:p>
    <w:p w:rsidR="00A97941" w:rsidRDefault="00A97941" w:rsidP="00A97941">
      <w:r>
        <w:t>Lietuvos Respublikos f</w:t>
      </w:r>
      <w:r w:rsidRPr="00FF3861">
        <w:t>inansų ministerij</w:t>
      </w:r>
      <w:r>
        <w:t>os</w:t>
      </w:r>
    </w:p>
    <w:p w:rsidR="00F351F7" w:rsidRDefault="00C869CD" w:rsidP="00B90CAE">
      <w:r w:rsidRPr="00FF3861">
        <w:t>201</w:t>
      </w:r>
      <w:r>
        <w:t>7</w:t>
      </w:r>
      <w:r w:rsidRPr="00FF3861">
        <w:t>-</w:t>
      </w:r>
      <w:r w:rsidRPr="00AA47B9">
        <w:t>06-</w:t>
      </w:r>
      <w:r>
        <w:t>13 Nr. ((24.37-02)-5K-1710296)-6K-1703941.</w:t>
      </w:r>
    </w:p>
    <w:p w:rsidR="00C869CD" w:rsidRDefault="00C869CD" w:rsidP="00B90CAE"/>
    <w:p w:rsidR="00F351F7" w:rsidRDefault="00F351F7" w:rsidP="00B90CAE"/>
    <w:p w:rsidR="00F351F7" w:rsidRPr="00122B16" w:rsidRDefault="00F351F7" w:rsidP="00F351F7">
      <w:r>
        <w:t>Pa</w:t>
      </w:r>
      <w:r w:rsidRPr="00122B16">
        <w:t>rengė</w:t>
      </w:r>
    </w:p>
    <w:p w:rsidR="00F351F7" w:rsidRPr="00FB7E5C" w:rsidRDefault="00F351F7" w:rsidP="00F351F7">
      <w:pPr>
        <w:rPr>
          <w:sz w:val="36"/>
        </w:rPr>
      </w:pPr>
    </w:p>
    <w:p w:rsidR="00F351F7" w:rsidRPr="00122B16" w:rsidRDefault="00122B16" w:rsidP="00F351F7">
      <w:r w:rsidRPr="00122B16">
        <w:t>Rita Liepaitė</w:t>
      </w:r>
    </w:p>
    <w:p w:rsidR="00D00D1F" w:rsidRPr="005838D4" w:rsidRDefault="00F351F7" w:rsidP="00AE495E">
      <w:pPr>
        <w:rPr>
          <w:sz w:val="2"/>
        </w:rPr>
      </w:pPr>
      <w:r w:rsidRPr="00122B16">
        <w:t>201</w:t>
      </w:r>
      <w:r w:rsidR="00A97941">
        <w:t>7</w:t>
      </w:r>
      <w:r w:rsidRPr="00122B16">
        <w:t>-0</w:t>
      </w:r>
      <w:r w:rsidR="00C869CD">
        <w:t>7</w:t>
      </w:r>
      <w:r w:rsidRPr="00122B16">
        <w:t>-</w:t>
      </w:r>
    </w:p>
    <w:sectPr w:rsidR="00D00D1F" w:rsidRPr="005838D4" w:rsidSect="00AB6464">
      <w:footnotePr>
        <w:pos w:val="beneathText"/>
      </w:footnotePr>
      <w:pgSz w:w="16837" w:h="11905" w:orient="landscape"/>
      <w:pgMar w:top="1701" w:right="1814" w:bottom="709" w:left="1032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5E" w:rsidRDefault="00B25C5E">
      <w:r>
        <w:separator/>
      </w:r>
    </w:p>
  </w:endnote>
  <w:endnote w:type="continuationSeparator" w:id="0">
    <w:p w:rsidR="00B25C5E" w:rsidRDefault="00B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5E" w:rsidRDefault="00B25C5E">
      <w:r>
        <w:separator/>
      </w:r>
    </w:p>
  </w:footnote>
  <w:footnote w:type="continuationSeparator" w:id="0">
    <w:p w:rsidR="00B25C5E" w:rsidRDefault="00B2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5799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74B2" w:rsidRPr="00DA6CB5" w:rsidRDefault="004E74B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A6CB5">
          <w:rPr>
            <w:rFonts w:ascii="Times New Roman" w:hAnsi="Times New Roman"/>
            <w:sz w:val="24"/>
            <w:szCs w:val="24"/>
          </w:rPr>
          <w:fldChar w:fldCharType="begin"/>
        </w:r>
        <w:r w:rsidRPr="00DA6CB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A6CB5">
          <w:rPr>
            <w:rFonts w:ascii="Times New Roman" w:hAnsi="Times New Roman"/>
            <w:sz w:val="24"/>
            <w:szCs w:val="24"/>
          </w:rPr>
          <w:fldChar w:fldCharType="separate"/>
        </w:r>
        <w:r w:rsidR="00316ACA">
          <w:rPr>
            <w:rFonts w:ascii="Times New Roman" w:hAnsi="Times New Roman"/>
            <w:noProof/>
            <w:sz w:val="24"/>
            <w:szCs w:val="24"/>
          </w:rPr>
          <w:t>4</w:t>
        </w:r>
        <w:r w:rsidRPr="00DA6CB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2E" w:rsidRDefault="0009612E" w:rsidP="00DB649C">
    <w:pPr>
      <w:ind w:left="6480" w:firstLine="720"/>
      <w:rPr>
        <w:b/>
        <w:noProof/>
      </w:rPr>
    </w:pPr>
    <w:r>
      <w:rPr>
        <w:b/>
        <w:noProof/>
      </w:rPr>
      <w:t xml:space="preserve">Projekto                            </w:t>
    </w:r>
  </w:p>
  <w:p w:rsidR="0009612E" w:rsidRDefault="00165F5D" w:rsidP="00DB649C">
    <w:pPr>
      <w:ind w:left="6480" w:firstLine="720"/>
      <w:rPr>
        <w:b/>
        <w:noProof/>
      </w:rPr>
    </w:pPr>
    <w:r>
      <w:rPr>
        <w:b/>
        <w:noProof/>
      </w:rPr>
      <w:t>l</w:t>
    </w:r>
    <w:r w:rsidR="0009612E">
      <w:rPr>
        <w:b/>
        <w:noProof/>
      </w:rPr>
      <w:t>yginamasis</w:t>
    </w:r>
    <w:r>
      <w:rPr>
        <w:b/>
        <w:noProof/>
      </w:rPr>
      <w:t xml:space="preserve"> </w:t>
    </w:r>
    <w:r w:rsidR="0009612E">
      <w:rPr>
        <w:b/>
        <w:noProof/>
      </w:rPr>
      <w:t>variantas</w:t>
    </w:r>
  </w:p>
  <w:p w:rsidR="0009612E" w:rsidRDefault="0009612E" w:rsidP="0009612E">
    <w:pPr>
      <w:jc w:val="center"/>
      <w:rPr>
        <w:rFonts w:ascii="Arial" w:hAnsi="Arial"/>
        <w:spacing w:val="8"/>
      </w:rPr>
    </w:pPr>
  </w:p>
  <w:p w:rsidR="004E74B2" w:rsidRPr="0009612E" w:rsidRDefault="0009612E" w:rsidP="0009612E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24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1"/>
  </w:num>
  <w:num w:numId="5">
    <w:abstractNumId w:val="26"/>
  </w:num>
  <w:num w:numId="6">
    <w:abstractNumId w:val="27"/>
  </w:num>
  <w:num w:numId="7">
    <w:abstractNumId w:val="12"/>
  </w:num>
  <w:num w:numId="8">
    <w:abstractNumId w:val="24"/>
  </w:num>
  <w:num w:numId="9">
    <w:abstractNumId w:val="2"/>
  </w:num>
  <w:num w:numId="10">
    <w:abstractNumId w:val="22"/>
  </w:num>
  <w:num w:numId="11">
    <w:abstractNumId w:val="11"/>
  </w:num>
  <w:num w:numId="12">
    <w:abstractNumId w:val="10"/>
  </w:num>
  <w:num w:numId="13">
    <w:abstractNumId w:val="17"/>
  </w:num>
  <w:num w:numId="14">
    <w:abstractNumId w:val="19"/>
  </w:num>
  <w:num w:numId="15">
    <w:abstractNumId w:val="18"/>
  </w:num>
  <w:num w:numId="16">
    <w:abstractNumId w:val="8"/>
  </w:num>
  <w:num w:numId="17">
    <w:abstractNumId w:val="28"/>
  </w:num>
  <w:num w:numId="18">
    <w:abstractNumId w:val="9"/>
  </w:num>
  <w:num w:numId="19">
    <w:abstractNumId w:val="7"/>
  </w:num>
  <w:num w:numId="20">
    <w:abstractNumId w:val="29"/>
  </w:num>
  <w:num w:numId="21">
    <w:abstractNumId w:val="3"/>
  </w:num>
  <w:num w:numId="22">
    <w:abstractNumId w:val="14"/>
  </w:num>
  <w:num w:numId="23">
    <w:abstractNumId w:val="5"/>
  </w:num>
  <w:num w:numId="24">
    <w:abstractNumId w:val="16"/>
  </w:num>
  <w:num w:numId="25">
    <w:abstractNumId w:val="6"/>
  </w:num>
  <w:num w:numId="26">
    <w:abstractNumId w:val="4"/>
  </w:num>
  <w:num w:numId="27">
    <w:abstractNumId w:val="20"/>
  </w:num>
  <w:num w:numId="28">
    <w:abstractNumId w:val="15"/>
  </w:num>
  <w:num w:numId="29">
    <w:abstractNumId w:val="21"/>
  </w:num>
  <w:num w:numId="30">
    <w:abstractNumId w:val="25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01E83"/>
    <w:rsid w:val="000038C6"/>
    <w:rsid w:val="000158DE"/>
    <w:rsid w:val="00023A5A"/>
    <w:rsid w:val="0002414D"/>
    <w:rsid w:val="00025CC9"/>
    <w:rsid w:val="0002707D"/>
    <w:rsid w:val="00030056"/>
    <w:rsid w:val="00043E7D"/>
    <w:rsid w:val="00054B14"/>
    <w:rsid w:val="00062825"/>
    <w:rsid w:val="00070FBD"/>
    <w:rsid w:val="0007238F"/>
    <w:rsid w:val="00084A8F"/>
    <w:rsid w:val="00085093"/>
    <w:rsid w:val="00086B5C"/>
    <w:rsid w:val="00093946"/>
    <w:rsid w:val="0009472F"/>
    <w:rsid w:val="000952A7"/>
    <w:rsid w:val="0009612E"/>
    <w:rsid w:val="00097FDE"/>
    <w:rsid w:val="000A0E62"/>
    <w:rsid w:val="000A1A34"/>
    <w:rsid w:val="000B108B"/>
    <w:rsid w:val="000B51E0"/>
    <w:rsid w:val="000B7D36"/>
    <w:rsid w:val="000C1AC3"/>
    <w:rsid w:val="000C7146"/>
    <w:rsid w:val="000D3514"/>
    <w:rsid w:val="000E1232"/>
    <w:rsid w:val="000E2B29"/>
    <w:rsid w:val="000E649A"/>
    <w:rsid w:val="000F30D3"/>
    <w:rsid w:val="00102B2F"/>
    <w:rsid w:val="001171D0"/>
    <w:rsid w:val="00122B16"/>
    <w:rsid w:val="001231EE"/>
    <w:rsid w:val="0012366E"/>
    <w:rsid w:val="00125866"/>
    <w:rsid w:val="001341D6"/>
    <w:rsid w:val="00134833"/>
    <w:rsid w:val="001360E7"/>
    <w:rsid w:val="00146C3B"/>
    <w:rsid w:val="00150DE4"/>
    <w:rsid w:val="00165F5D"/>
    <w:rsid w:val="001702CF"/>
    <w:rsid w:val="00175C34"/>
    <w:rsid w:val="001A09F3"/>
    <w:rsid w:val="001B6510"/>
    <w:rsid w:val="001C123D"/>
    <w:rsid w:val="001E29D3"/>
    <w:rsid w:val="00203CAA"/>
    <w:rsid w:val="00213A3F"/>
    <w:rsid w:val="002172C4"/>
    <w:rsid w:val="0022018F"/>
    <w:rsid w:val="00225CB1"/>
    <w:rsid w:val="00233706"/>
    <w:rsid w:val="00234716"/>
    <w:rsid w:val="00240BB3"/>
    <w:rsid w:val="00246762"/>
    <w:rsid w:val="00246B78"/>
    <w:rsid w:val="00246DAD"/>
    <w:rsid w:val="00257254"/>
    <w:rsid w:val="00263EF2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D5E66"/>
    <w:rsid w:val="002F222E"/>
    <w:rsid w:val="0030053F"/>
    <w:rsid w:val="00302C5A"/>
    <w:rsid w:val="00311EDF"/>
    <w:rsid w:val="00312EA1"/>
    <w:rsid w:val="00314048"/>
    <w:rsid w:val="003152A7"/>
    <w:rsid w:val="003154A3"/>
    <w:rsid w:val="003167C3"/>
    <w:rsid w:val="00316ACA"/>
    <w:rsid w:val="00320054"/>
    <w:rsid w:val="00325FF1"/>
    <w:rsid w:val="0033477A"/>
    <w:rsid w:val="0035634B"/>
    <w:rsid w:val="00364DFF"/>
    <w:rsid w:val="00366232"/>
    <w:rsid w:val="00376670"/>
    <w:rsid w:val="00384AD6"/>
    <w:rsid w:val="00393C76"/>
    <w:rsid w:val="003A5324"/>
    <w:rsid w:val="003B60CD"/>
    <w:rsid w:val="003B74ED"/>
    <w:rsid w:val="003C45E0"/>
    <w:rsid w:val="003D2F37"/>
    <w:rsid w:val="003D338D"/>
    <w:rsid w:val="003E5EE4"/>
    <w:rsid w:val="003F6562"/>
    <w:rsid w:val="00412024"/>
    <w:rsid w:val="00417322"/>
    <w:rsid w:val="00420F24"/>
    <w:rsid w:val="00432D00"/>
    <w:rsid w:val="0043534D"/>
    <w:rsid w:val="004355B8"/>
    <w:rsid w:val="00445627"/>
    <w:rsid w:val="00456518"/>
    <w:rsid w:val="004565B5"/>
    <w:rsid w:val="0046438B"/>
    <w:rsid w:val="004674BB"/>
    <w:rsid w:val="00471B00"/>
    <w:rsid w:val="004765A3"/>
    <w:rsid w:val="00480AD1"/>
    <w:rsid w:val="004976F8"/>
    <w:rsid w:val="0049793E"/>
    <w:rsid w:val="004A2E13"/>
    <w:rsid w:val="004B0DFF"/>
    <w:rsid w:val="004B6D16"/>
    <w:rsid w:val="004C3203"/>
    <w:rsid w:val="004D507B"/>
    <w:rsid w:val="004E74B2"/>
    <w:rsid w:val="005053DD"/>
    <w:rsid w:val="00514671"/>
    <w:rsid w:val="00515E0B"/>
    <w:rsid w:val="0052592A"/>
    <w:rsid w:val="0055379C"/>
    <w:rsid w:val="005631BF"/>
    <w:rsid w:val="00564C7E"/>
    <w:rsid w:val="005654C6"/>
    <w:rsid w:val="00566C27"/>
    <w:rsid w:val="00581FDC"/>
    <w:rsid w:val="005838D4"/>
    <w:rsid w:val="005868AB"/>
    <w:rsid w:val="005870E4"/>
    <w:rsid w:val="00592AEA"/>
    <w:rsid w:val="005B04BA"/>
    <w:rsid w:val="005C1FEA"/>
    <w:rsid w:val="005D0D09"/>
    <w:rsid w:val="005E504B"/>
    <w:rsid w:val="005F4A5C"/>
    <w:rsid w:val="00602A4D"/>
    <w:rsid w:val="00603C52"/>
    <w:rsid w:val="00613CA9"/>
    <w:rsid w:val="00615438"/>
    <w:rsid w:val="006267CD"/>
    <w:rsid w:val="00650E74"/>
    <w:rsid w:val="00654D22"/>
    <w:rsid w:val="00655A3A"/>
    <w:rsid w:val="00656A1E"/>
    <w:rsid w:val="0066538E"/>
    <w:rsid w:val="00670C9E"/>
    <w:rsid w:val="006769CA"/>
    <w:rsid w:val="0068234E"/>
    <w:rsid w:val="0068756B"/>
    <w:rsid w:val="00695F8F"/>
    <w:rsid w:val="00696416"/>
    <w:rsid w:val="006A2034"/>
    <w:rsid w:val="006A6442"/>
    <w:rsid w:val="006A7E5A"/>
    <w:rsid w:val="006D2946"/>
    <w:rsid w:val="006D5BE4"/>
    <w:rsid w:val="006E20FF"/>
    <w:rsid w:val="006F1CFC"/>
    <w:rsid w:val="006F5D90"/>
    <w:rsid w:val="0070403E"/>
    <w:rsid w:val="00722EE3"/>
    <w:rsid w:val="00733F0B"/>
    <w:rsid w:val="007525DF"/>
    <w:rsid w:val="00764DD2"/>
    <w:rsid w:val="007737FD"/>
    <w:rsid w:val="00780036"/>
    <w:rsid w:val="0079184E"/>
    <w:rsid w:val="0079795C"/>
    <w:rsid w:val="007A0838"/>
    <w:rsid w:val="007A295D"/>
    <w:rsid w:val="007A6FCE"/>
    <w:rsid w:val="007A70FE"/>
    <w:rsid w:val="007A7E19"/>
    <w:rsid w:val="007D52A0"/>
    <w:rsid w:val="007E3D3D"/>
    <w:rsid w:val="007F127C"/>
    <w:rsid w:val="007F497C"/>
    <w:rsid w:val="007F5A52"/>
    <w:rsid w:val="00800CF8"/>
    <w:rsid w:val="008032CA"/>
    <w:rsid w:val="00803921"/>
    <w:rsid w:val="008312ED"/>
    <w:rsid w:val="008421A3"/>
    <w:rsid w:val="00842F55"/>
    <w:rsid w:val="0085436F"/>
    <w:rsid w:val="0085563D"/>
    <w:rsid w:val="008702AE"/>
    <w:rsid w:val="008715B0"/>
    <w:rsid w:val="00873223"/>
    <w:rsid w:val="00881DDA"/>
    <w:rsid w:val="00886696"/>
    <w:rsid w:val="0088678B"/>
    <w:rsid w:val="00897FE3"/>
    <w:rsid w:val="008A33C2"/>
    <w:rsid w:val="008A4A17"/>
    <w:rsid w:val="008A4E15"/>
    <w:rsid w:val="008B33F4"/>
    <w:rsid w:val="008D1482"/>
    <w:rsid w:val="008D20E6"/>
    <w:rsid w:val="008E34A8"/>
    <w:rsid w:val="008F6ED7"/>
    <w:rsid w:val="00900401"/>
    <w:rsid w:val="009004D0"/>
    <w:rsid w:val="00901980"/>
    <w:rsid w:val="0092713C"/>
    <w:rsid w:val="00930F48"/>
    <w:rsid w:val="0094733E"/>
    <w:rsid w:val="00957016"/>
    <w:rsid w:val="0097161E"/>
    <w:rsid w:val="00973587"/>
    <w:rsid w:val="00992B97"/>
    <w:rsid w:val="00995598"/>
    <w:rsid w:val="009A2A88"/>
    <w:rsid w:val="009A5640"/>
    <w:rsid w:val="009A737D"/>
    <w:rsid w:val="009C4552"/>
    <w:rsid w:val="009E1D52"/>
    <w:rsid w:val="009E2C9F"/>
    <w:rsid w:val="009F1AC8"/>
    <w:rsid w:val="00A00241"/>
    <w:rsid w:val="00A02B7A"/>
    <w:rsid w:val="00A06E3D"/>
    <w:rsid w:val="00A305E3"/>
    <w:rsid w:val="00A41A18"/>
    <w:rsid w:val="00A50F12"/>
    <w:rsid w:val="00A5189C"/>
    <w:rsid w:val="00A658C8"/>
    <w:rsid w:val="00A71FB6"/>
    <w:rsid w:val="00A73EF4"/>
    <w:rsid w:val="00A97941"/>
    <w:rsid w:val="00AA47B9"/>
    <w:rsid w:val="00AB4B22"/>
    <w:rsid w:val="00AB6464"/>
    <w:rsid w:val="00AD0405"/>
    <w:rsid w:val="00AD3826"/>
    <w:rsid w:val="00AE0E2C"/>
    <w:rsid w:val="00AE1BD4"/>
    <w:rsid w:val="00AE2CBA"/>
    <w:rsid w:val="00AE447A"/>
    <w:rsid w:val="00AE495E"/>
    <w:rsid w:val="00AF1303"/>
    <w:rsid w:val="00AF351F"/>
    <w:rsid w:val="00AF7AD2"/>
    <w:rsid w:val="00AF7EF4"/>
    <w:rsid w:val="00B06633"/>
    <w:rsid w:val="00B120BE"/>
    <w:rsid w:val="00B12EBF"/>
    <w:rsid w:val="00B13D49"/>
    <w:rsid w:val="00B25C5E"/>
    <w:rsid w:val="00B30112"/>
    <w:rsid w:val="00B31059"/>
    <w:rsid w:val="00B3637F"/>
    <w:rsid w:val="00B47A87"/>
    <w:rsid w:val="00B534D1"/>
    <w:rsid w:val="00B57F00"/>
    <w:rsid w:val="00B65D90"/>
    <w:rsid w:val="00B7618C"/>
    <w:rsid w:val="00B7769D"/>
    <w:rsid w:val="00B803BB"/>
    <w:rsid w:val="00B80AB5"/>
    <w:rsid w:val="00B90CAE"/>
    <w:rsid w:val="00BA3835"/>
    <w:rsid w:val="00BA509B"/>
    <w:rsid w:val="00BA78D1"/>
    <w:rsid w:val="00BB38D7"/>
    <w:rsid w:val="00BC26AC"/>
    <w:rsid w:val="00BC26E7"/>
    <w:rsid w:val="00BD00B4"/>
    <w:rsid w:val="00BD1CEF"/>
    <w:rsid w:val="00BD5BF2"/>
    <w:rsid w:val="00BF3DA2"/>
    <w:rsid w:val="00C01FC3"/>
    <w:rsid w:val="00C04463"/>
    <w:rsid w:val="00C0514E"/>
    <w:rsid w:val="00C13660"/>
    <w:rsid w:val="00C27AEB"/>
    <w:rsid w:val="00C36899"/>
    <w:rsid w:val="00C576D2"/>
    <w:rsid w:val="00C72B55"/>
    <w:rsid w:val="00C869CD"/>
    <w:rsid w:val="00C91192"/>
    <w:rsid w:val="00C932EA"/>
    <w:rsid w:val="00C937E6"/>
    <w:rsid w:val="00C97804"/>
    <w:rsid w:val="00CA35B0"/>
    <w:rsid w:val="00CA58F9"/>
    <w:rsid w:val="00CB3A2A"/>
    <w:rsid w:val="00CB579F"/>
    <w:rsid w:val="00CC647C"/>
    <w:rsid w:val="00CD1072"/>
    <w:rsid w:val="00CE15E1"/>
    <w:rsid w:val="00CE330B"/>
    <w:rsid w:val="00CE4432"/>
    <w:rsid w:val="00CE5110"/>
    <w:rsid w:val="00CE674F"/>
    <w:rsid w:val="00D00D1F"/>
    <w:rsid w:val="00D0201B"/>
    <w:rsid w:val="00D03935"/>
    <w:rsid w:val="00D109F0"/>
    <w:rsid w:val="00D27CB9"/>
    <w:rsid w:val="00D27DCD"/>
    <w:rsid w:val="00D3099A"/>
    <w:rsid w:val="00D31363"/>
    <w:rsid w:val="00D338F6"/>
    <w:rsid w:val="00D35976"/>
    <w:rsid w:val="00D5274F"/>
    <w:rsid w:val="00D603BF"/>
    <w:rsid w:val="00D67285"/>
    <w:rsid w:val="00D70ED5"/>
    <w:rsid w:val="00D73A47"/>
    <w:rsid w:val="00D91100"/>
    <w:rsid w:val="00D92086"/>
    <w:rsid w:val="00DA53E0"/>
    <w:rsid w:val="00DA6CB5"/>
    <w:rsid w:val="00DB3D5F"/>
    <w:rsid w:val="00DB649C"/>
    <w:rsid w:val="00DD6F53"/>
    <w:rsid w:val="00DE0BD3"/>
    <w:rsid w:val="00DE3652"/>
    <w:rsid w:val="00DF35FE"/>
    <w:rsid w:val="00E06DD3"/>
    <w:rsid w:val="00E07E02"/>
    <w:rsid w:val="00E2177D"/>
    <w:rsid w:val="00E25DD2"/>
    <w:rsid w:val="00E2664C"/>
    <w:rsid w:val="00E26835"/>
    <w:rsid w:val="00E358AF"/>
    <w:rsid w:val="00E449AE"/>
    <w:rsid w:val="00E44C45"/>
    <w:rsid w:val="00E50358"/>
    <w:rsid w:val="00E51B04"/>
    <w:rsid w:val="00E63678"/>
    <w:rsid w:val="00E6521C"/>
    <w:rsid w:val="00E656FB"/>
    <w:rsid w:val="00E700E9"/>
    <w:rsid w:val="00E72C2A"/>
    <w:rsid w:val="00E7458D"/>
    <w:rsid w:val="00E80663"/>
    <w:rsid w:val="00E9621E"/>
    <w:rsid w:val="00E970A8"/>
    <w:rsid w:val="00EB1757"/>
    <w:rsid w:val="00EC4A7C"/>
    <w:rsid w:val="00EC5086"/>
    <w:rsid w:val="00ED52E2"/>
    <w:rsid w:val="00EF7863"/>
    <w:rsid w:val="00F11C09"/>
    <w:rsid w:val="00F164EF"/>
    <w:rsid w:val="00F27C75"/>
    <w:rsid w:val="00F32245"/>
    <w:rsid w:val="00F351F7"/>
    <w:rsid w:val="00F5068A"/>
    <w:rsid w:val="00F51DBF"/>
    <w:rsid w:val="00F5540C"/>
    <w:rsid w:val="00F56B1F"/>
    <w:rsid w:val="00F63481"/>
    <w:rsid w:val="00F75E9B"/>
    <w:rsid w:val="00F81C1E"/>
    <w:rsid w:val="00F834CD"/>
    <w:rsid w:val="00F87A6A"/>
    <w:rsid w:val="00F87A99"/>
    <w:rsid w:val="00F922B8"/>
    <w:rsid w:val="00FA7D83"/>
    <w:rsid w:val="00FB5CF7"/>
    <w:rsid w:val="00FB68AB"/>
    <w:rsid w:val="00FB7E5C"/>
    <w:rsid w:val="00FD2874"/>
    <w:rsid w:val="00FD2F47"/>
    <w:rsid w:val="00FE0CDC"/>
    <w:rsid w:val="00FF2207"/>
    <w:rsid w:val="00FF3861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9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9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3CAA-D155-4487-8C66-F226FC09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10713</Words>
  <Characters>6107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2017-07-07T11:30:00Z</dcterms:created>
  <dcterms:modified xsi:type="dcterms:W3CDTF">2017-07-07T11:30:00Z</dcterms:modified>
</cp:coreProperties>
</file>