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98E" w:rsidRPr="003B5AC5" w:rsidRDefault="00C1698E" w:rsidP="00C1698E">
      <w:pPr>
        <w:pStyle w:val="Heading1"/>
        <w:numPr>
          <w:ilvl w:val="0"/>
          <w:numId w:val="0"/>
        </w:numPr>
        <w:ind w:left="360" w:hanging="360"/>
        <w:rPr>
          <w:lang w:val="lt-LT"/>
        </w:rPr>
      </w:pPr>
      <w:bookmarkStart w:id="0" w:name="_Toc485894892"/>
      <w:bookmarkStart w:id="1" w:name="_Toc483484558"/>
      <w:r w:rsidRPr="009D23EF">
        <w:rPr>
          <w:lang w:val="lt-LT"/>
        </w:rPr>
        <w:t>Santrauka</w:t>
      </w:r>
      <w:bookmarkEnd w:id="0"/>
    </w:p>
    <w:p w:rsidR="00C1698E" w:rsidRPr="009D23EF" w:rsidRDefault="00C1698E" w:rsidP="00C1698E">
      <w:pPr>
        <w:rPr>
          <w:rFonts w:eastAsia="Times New Roman" w:cs="Times New Roman"/>
          <w:color w:val="44546A" w:themeColor="text2"/>
          <w:sz w:val="20"/>
          <w:szCs w:val="20"/>
          <w:lang w:val="lt-LT"/>
        </w:rPr>
      </w:pPr>
      <w:r w:rsidRPr="009D23EF">
        <w:rPr>
          <w:rFonts w:eastAsia="Times New Roman" w:cs="Times New Roman"/>
          <w:color w:val="44546A" w:themeColor="text2"/>
          <w:sz w:val="20"/>
          <w:szCs w:val="20"/>
          <w:lang w:val="lt-LT"/>
        </w:rPr>
        <w:t>Vertinimo tikslas ir uždaviniai</w:t>
      </w:r>
    </w:p>
    <w:p w:rsidR="00C1698E" w:rsidRPr="009D23EF" w:rsidRDefault="00C1698E" w:rsidP="00C1698E">
      <w:pPr>
        <w:spacing w:after="60"/>
        <w:rPr>
          <w:rFonts w:ascii="Calibri" w:eastAsia="Times New Roman" w:hAnsi="Calibri" w:cs="Times New Roman"/>
          <w:bCs w:val="0"/>
          <w:color w:val="000000" w:themeColor="text1"/>
          <w:sz w:val="20"/>
          <w:szCs w:val="20"/>
          <w:lang w:val="lt-LT" w:eastAsia="en-US"/>
        </w:rPr>
      </w:pPr>
      <w:r w:rsidRPr="009D23EF">
        <w:rPr>
          <w:rFonts w:eastAsia="Times New Roman" w:cs="Times New Roman"/>
          <w:sz w:val="20"/>
          <w:szCs w:val="20"/>
          <w:lang w:val="lt-LT"/>
        </w:rPr>
        <w:t xml:space="preserve">Vertinimo tikslas – </w:t>
      </w:r>
      <w:r w:rsidRPr="009D23EF">
        <w:rPr>
          <w:rFonts w:ascii="Calibri" w:eastAsia="Times New Roman" w:hAnsi="Calibri" w:cs="Times New Roman"/>
          <w:bCs w:val="0"/>
          <w:color w:val="000000" w:themeColor="text1"/>
          <w:sz w:val="20"/>
          <w:szCs w:val="20"/>
          <w:lang w:val="lt-LT" w:eastAsia="en-US"/>
        </w:rPr>
        <w:t>nustatyti 2007–2013 m. ES struktūrinės paramos, skirtos energetikos sričiai ir energijos vartojimo efektyvumo didinimui, panaudojimo efektyvumą, šios paramos finansinį ir socialinį ekonominį poveikį šalies energetikos ūkio plėtrai, ekonomikai bei patobulinti 2014–2020 m. ES fondų investicijų panaudojimą</w:t>
      </w:r>
      <w:r>
        <w:rPr>
          <w:rFonts w:ascii="Calibri" w:eastAsia="Times New Roman" w:hAnsi="Calibri" w:cs="Times New Roman"/>
          <w:bCs w:val="0"/>
          <w:color w:val="000000" w:themeColor="text1"/>
          <w:sz w:val="20"/>
          <w:szCs w:val="20"/>
          <w:lang w:val="lt-LT" w:eastAsia="en-US"/>
        </w:rPr>
        <w:t>,</w:t>
      </w:r>
      <w:r w:rsidRPr="009D23EF">
        <w:rPr>
          <w:rFonts w:ascii="Calibri" w:eastAsia="Times New Roman" w:hAnsi="Calibri" w:cs="Times New Roman"/>
          <w:bCs w:val="0"/>
          <w:color w:val="000000" w:themeColor="text1"/>
          <w:sz w:val="20"/>
          <w:szCs w:val="20"/>
          <w:lang w:val="lt-LT" w:eastAsia="en-US"/>
        </w:rPr>
        <w:t xml:space="preserve"> atsižvelgiant į 2007–2013 m. laikotarpio praktiką. </w:t>
      </w:r>
    </w:p>
    <w:p w:rsidR="00C1698E" w:rsidRPr="009D23EF" w:rsidRDefault="00C1698E" w:rsidP="00C1698E">
      <w:pPr>
        <w:rPr>
          <w:rFonts w:eastAsia="Times New Roman" w:cs="Times New Roman"/>
          <w:sz w:val="20"/>
          <w:szCs w:val="20"/>
          <w:lang w:val="lt-LT"/>
        </w:rPr>
      </w:pPr>
      <w:r w:rsidRPr="009D23EF">
        <w:rPr>
          <w:rFonts w:eastAsia="Times New Roman" w:cs="Times New Roman"/>
          <w:sz w:val="20"/>
          <w:szCs w:val="20"/>
          <w:lang w:val="lt-LT"/>
        </w:rPr>
        <w:t>Vertinimo uždaviniai:</w:t>
      </w:r>
    </w:p>
    <w:p w:rsidR="00C1698E" w:rsidRPr="009D23EF" w:rsidRDefault="00C1698E" w:rsidP="00C1698E">
      <w:pPr>
        <w:pStyle w:val="Bullet"/>
        <w:rPr>
          <w:sz w:val="20"/>
          <w:szCs w:val="20"/>
          <w:lang w:val="lt-LT"/>
        </w:rPr>
      </w:pPr>
      <w:r w:rsidRPr="009D23EF">
        <w:rPr>
          <w:sz w:val="20"/>
          <w:szCs w:val="20"/>
          <w:lang w:val="lt-LT"/>
        </w:rPr>
        <w:t>Įvertinti 2007–2013 m. ES struktūrinės paramos lėšomis finansuotų energetikos srities priemonių tvarumą, pakankamumą, tinkamumą ir jų veiksmingumą ES struktūrinių fondų veiksmų programose nustatytiems energetikos srities ir energijos vartojimo efektyvumo didinimo tikslams pasiekti</w:t>
      </w:r>
      <w:r>
        <w:rPr>
          <w:sz w:val="20"/>
          <w:szCs w:val="20"/>
          <w:lang w:val="lt-LT"/>
        </w:rPr>
        <w:t>.</w:t>
      </w:r>
      <w:r w:rsidRPr="009D23EF">
        <w:rPr>
          <w:sz w:val="20"/>
          <w:szCs w:val="20"/>
          <w:lang w:val="lt-LT"/>
        </w:rPr>
        <w:t xml:space="preserve"> </w:t>
      </w:r>
    </w:p>
    <w:p w:rsidR="00C1698E" w:rsidRPr="009D23EF" w:rsidRDefault="00C1698E" w:rsidP="00C1698E">
      <w:pPr>
        <w:pStyle w:val="Bullet"/>
        <w:rPr>
          <w:sz w:val="20"/>
          <w:szCs w:val="20"/>
          <w:lang w:val="lt-LT"/>
        </w:rPr>
      </w:pPr>
      <w:r w:rsidRPr="009D23EF">
        <w:rPr>
          <w:sz w:val="20"/>
          <w:szCs w:val="20"/>
          <w:lang w:val="lt-LT"/>
        </w:rPr>
        <w:t>Įvertinti 2007–2013 m. ES struktūrinės paramos lėšomis finansuotų priemonių finansinį ir socialinį ekonominį poveikį šalies ekonomikai</w:t>
      </w:r>
      <w:r>
        <w:rPr>
          <w:sz w:val="20"/>
          <w:szCs w:val="20"/>
          <w:lang w:val="lt-LT"/>
        </w:rPr>
        <w:t>.</w:t>
      </w:r>
    </w:p>
    <w:p w:rsidR="00C1698E" w:rsidRPr="009D23EF" w:rsidRDefault="00C1698E" w:rsidP="00C1698E">
      <w:pPr>
        <w:pStyle w:val="Bullet"/>
        <w:rPr>
          <w:sz w:val="20"/>
          <w:szCs w:val="20"/>
          <w:lang w:val="lt-LT"/>
        </w:rPr>
      </w:pPr>
      <w:r w:rsidRPr="009D23EF">
        <w:rPr>
          <w:sz w:val="20"/>
          <w:szCs w:val="20"/>
          <w:lang w:val="lt-LT"/>
        </w:rPr>
        <w:t>Nustatyti gerosios pati</w:t>
      </w:r>
      <w:r>
        <w:rPr>
          <w:sz w:val="20"/>
          <w:szCs w:val="20"/>
          <w:lang w:val="lt-LT"/>
        </w:rPr>
        <w:t>rtie</w:t>
      </w:r>
      <w:r w:rsidRPr="009D23EF">
        <w:rPr>
          <w:sz w:val="20"/>
          <w:szCs w:val="20"/>
          <w:lang w:val="lt-LT"/>
        </w:rPr>
        <w:t>s pavyzdžius pagal pagrindines 2007‒2013 m. ES struktūrinės paramos investicijų sritis energetikos sektoriuje, pateikti išvadas ir aktualias rekomendacijas dėl priemonių, suplanuotų 2014‒2020 m. laikotarpiu, tobulinimo.</w:t>
      </w:r>
    </w:p>
    <w:p w:rsidR="00C1698E" w:rsidRPr="009D23EF" w:rsidRDefault="00C1698E" w:rsidP="00C1698E">
      <w:pPr>
        <w:spacing w:after="60"/>
        <w:rPr>
          <w:rFonts w:eastAsia="Times New Roman" w:cs="Times New Roman"/>
          <w:sz w:val="20"/>
          <w:szCs w:val="20"/>
          <w:lang w:val="lt-LT"/>
        </w:rPr>
      </w:pPr>
      <w:r w:rsidRPr="009D23EF">
        <w:rPr>
          <w:rFonts w:eastAsia="Times New Roman" w:cs="Times New Roman"/>
          <w:sz w:val="20"/>
          <w:szCs w:val="20"/>
          <w:lang w:val="lt-LT"/>
        </w:rPr>
        <w:t xml:space="preserve">Vertinimo rezultatai yra aktualūs teikiant Europos Komisijai ataskaitą </w:t>
      </w:r>
      <w:r>
        <w:rPr>
          <w:rFonts w:eastAsia="Times New Roman" w:cs="Times New Roman"/>
          <w:sz w:val="20"/>
          <w:szCs w:val="20"/>
          <w:lang w:val="lt-LT"/>
        </w:rPr>
        <w:t>apie</w:t>
      </w:r>
      <w:r w:rsidRPr="009D23EF">
        <w:rPr>
          <w:rFonts w:eastAsia="Times New Roman" w:cs="Times New Roman"/>
          <w:sz w:val="20"/>
          <w:szCs w:val="20"/>
          <w:lang w:val="lt-LT"/>
        </w:rPr>
        <w:t xml:space="preserve"> paramos panaudojim</w:t>
      </w:r>
      <w:r>
        <w:rPr>
          <w:rFonts w:eastAsia="Times New Roman" w:cs="Times New Roman"/>
          <w:sz w:val="20"/>
          <w:szCs w:val="20"/>
          <w:lang w:val="lt-LT"/>
        </w:rPr>
        <w:t>ą</w:t>
      </w:r>
      <w:r w:rsidRPr="009D23EF">
        <w:rPr>
          <w:rFonts w:eastAsia="Times New Roman" w:cs="Times New Roman"/>
          <w:sz w:val="20"/>
          <w:szCs w:val="20"/>
          <w:lang w:val="lt-LT"/>
        </w:rPr>
        <w:t xml:space="preserve">. Taip pat vertinimas gali būti naudojamas siekiant patobulinti 2014‒2020 m. programavimo laikotarpio paramos panaudojimo energetikos sektoriuje mechanizmą, </w:t>
      </w:r>
      <w:r>
        <w:rPr>
          <w:rFonts w:eastAsia="Times New Roman" w:cs="Times New Roman"/>
          <w:sz w:val="20"/>
          <w:szCs w:val="20"/>
          <w:lang w:val="lt-LT"/>
        </w:rPr>
        <w:t>taip pat</w:t>
      </w:r>
      <w:r w:rsidRPr="009D23EF">
        <w:rPr>
          <w:rFonts w:eastAsia="Times New Roman" w:cs="Times New Roman"/>
          <w:sz w:val="20"/>
          <w:szCs w:val="20"/>
          <w:lang w:val="lt-LT"/>
        </w:rPr>
        <w:t xml:space="preserve"> energetikos sektoriaus projektų įgyvendinimą dabartiniu programavimo laikotarpiu, siekiant geresnių paramos panaudojimo ir poveikio rezultatų.</w:t>
      </w:r>
    </w:p>
    <w:p w:rsidR="00C1698E" w:rsidRPr="009D23EF" w:rsidRDefault="00C1698E" w:rsidP="00C1698E">
      <w:pPr>
        <w:rPr>
          <w:rFonts w:eastAsia="Times New Roman" w:cs="Times New Roman"/>
          <w:color w:val="44546A" w:themeColor="text2"/>
          <w:sz w:val="20"/>
          <w:szCs w:val="20"/>
          <w:lang w:val="lt-LT"/>
        </w:rPr>
      </w:pPr>
      <w:r w:rsidRPr="009D23EF">
        <w:rPr>
          <w:rFonts w:eastAsia="Times New Roman" w:cs="Times New Roman"/>
          <w:color w:val="44546A" w:themeColor="text2"/>
          <w:sz w:val="20"/>
          <w:szCs w:val="20"/>
          <w:lang w:val="lt-LT"/>
        </w:rPr>
        <w:t>Vertinimo apimtis</w:t>
      </w:r>
    </w:p>
    <w:p w:rsidR="00C1698E" w:rsidRPr="009D23EF" w:rsidRDefault="00C1698E" w:rsidP="00C1698E">
      <w:pPr>
        <w:rPr>
          <w:rFonts w:eastAsia="Times New Roman" w:cs="Times New Roman"/>
          <w:sz w:val="20"/>
          <w:szCs w:val="20"/>
          <w:lang w:val="lt-LT"/>
        </w:rPr>
      </w:pPr>
      <w:r w:rsidRPr="009D23EF">
        <w:rPr>
          <w:rFonts w:eastAsia="Times New Roman" w:cs="Times New Roman"/>
          <w:sz w:val="20"/>
          <w:szCs w:val="20"/>
          <w:lang w:val="lt-LT"/>
        </w:rPr>
        <w:t xml:space="preserve">Vertinimo objektas yra </w:t>
      </w:r>
      <w:r w:rsidRPr="009D23EF">
        <w:rPr>
          <w:sz w:val="20"/>
          <w:szCs w:val="20"/>
          <w:lang w:val="lt-LT"/>
        </w:rPr>
        <w:t xml:space="preserve">Lietuvos 2007–2013 m. ES struktūrinės paramos panaudojimo strategija ir ją įgyvendinančios 2007–2013 m. veiksmų programos, kiti teisės aktai, susiję su energetikos ir energijos vartojimo efektyvumo didinimo sritimi. Į </w:t>
      </w:r>
      <w:r>
        <w:rPr>
          <w:sz w:val="20"/>
          <w:szCs w:val="20"/>
          <w:lang w:val="lt-LT"/>
        </w:rPr>
        <w:t>v</w:t>
      </w:r>
      <w:r w:rsidRPr="009D23EF">
        <w:rPr>
          <w:sz w:val="20"/>
          <w:szCs w:val="20"/>
          <w:lang w:val="lt-LT"/>
        </w:rPr>
        <w:t>ertinimo apimtį patenka priemonės, įgyvendintos pagal Ekonomikos augimo veiksmų programos (toliau ‒ EAVP) 4 prioritetą „Esminė ekonominė infrastruktūra</w:t>
      </w:r>
      <w:r>
        <w:rPr>
          <w:sz w:val="20"/>
          <w:szCs w:val="20"/>
          <w:lang w:val="lt-LT"/>
        </w:rPr>
        <w:t>“</w:t>
      </w:r>
      <w:r w:rsidRPr="009D23EF">
        <w:rPr>
          <w:sz w:val="20"/>
          <w:szCs w:val="20"/>
          <w:lang w:val="lt-LT"/>
        </w:rPr>
        <w:t xml:space="preserve"> ir Sanglaudos skatinimo veiksmų programos (toliau ‒ SSVP) 1 prioritetą „Vietinė ir urbanistinė plėtra, kultūros paveldo ir gamtos išsaugojimas bei pritaikymas turizmo plėtrai</w:t>
      </w:r>
      <w:r>
        <w:rPr>
          <w:sz w:val="20"/>
          <w:szCs w:val="20"/>
          <w:lang w:val="lt-LT"/>
        </w:rPr>
        <w:t>“</w:t>
      </w:r>
      <w:r w:rsidRPr="009D23EF">
        <w:rPr>
          <w:sz w:val="20"/>
          <w:szCs w:val="20"/>
          <w:lang w:val="lt-LT"/>
        </w:rPr>
        <w:t xml:space="preserve"> 3 prioritetą „Aplinka ir darnus vystymasis</w:t>
      </w:r>
      <w:r>
        <w:rPr>
          <w:sz w:val="20"/>
          <w:szCs w:val="20"/>
          <w:lang w:val="lt-LT"/>
        </w:rPr>
        <w:t>“.</w:t>
      </w:r>
    </w:p>
    <w:p w:rsidR="00C1698E" w:rsidRPr="009D23EF" w:rsidRDefault="00C1698E" w:rsidP="00C1698E">
      <w:pPr>
        <w:rPr>
          <w:rFonts w:eastAsia="Times New Roman" w:cs="Times New Roman"/>
          <w:color w:val="44546A" w:themeColor="text2"/>
          <w:sz w:val="20"/>
          <w:szCs w:val="20"/>
          <w:lang w:val="lt-LT"/>
        </w:rPr>
      </w:pPr>
      <w:r w:rsidRPr="009D23EF">
        <w:rPr>
          <w:rFonts w:eastAsia="Times New Roman" w:cs="Times New Roman"/>
          <w:color w:val="44546A" w:themeColor="text2"/>
          <w:sz w:val="20"/>
          <w:szCs w:val="20"/>
          <w:lang w:val="lt-LT"/>
        </w:rPr>
        <w:t>Naudoti metodai</w:t>
      </w:r>
    </w:p>
    <w:p w:rsidR="00C1698E" w:rsidRPr="009D23EF" w:rsidRDefault="00C1698E" w:rsidP="00C1698E">
      <w:pPr>
        <w:rPr>
          <w:sz w:val="20"/>
          <w:szCs w:val="20"/>
          <w:lang w:val="lt-LT"/>
        </w:rPr>
      </w:pPr>
      <w:r w:rsidRPr="009D23EF">
        <w:rPr>
          <w:sz w:val="20"/>
          <w:szCs w:val="20"/>
          <w:lang w:val="lt-LT"/>
        </w:rPr>
        <w:t xml:space="preserve">Atliekant vertinimą, taikyti kokybiniai ir kiekybiniai duomenų rinkimo ir analizės metodai, kurie užtikrino reikalingų duomenų prieinamumą, patikimumą ir kokybę, vertinimo išvadų ir rekomendacijų pagrįstumą, nuoseklumą ir praktinį </w:t>
      </w:r>
      <w:r>
        <w:rPr>
          <w:sz w:val="20"/>
          <w:szCs w:val="20"/>
          <w:lang w:val="lt-LT"/>
        </w:rPr>
        <w:t xml:space="preserve">vertinimo </w:t>
      </w:r>
      <w:r w:rsidRPr="009D23EF">
        <w:rPr>
          <w:sz w:val="20"/>
          <w:szCs w:val="20"/>
          <w:lang w:val="lt-LT"/>
        </w:rPr>
        <w:t xml:space="preserve">pritaikomumą. Vertinimo metodai parinkti atsižvelgiant į vertinimo uždavinius bei klausimus. Vertinimo metu buvo analizuojami visi aktualūs, statistiniai duomenys. </w:t>
      </w:r>
    </w:p>
    <w:p w:rsidR="00C1698E" w:rsidRPr="009D23EF" w:rsidRDefault="00C1698E" w:rsidP="00C1698E">
      <w:pPr>
        <w:pStyle w:val="Bullet"/>
        <w:numPr>
          <w:ilvl w:val="0"/>
          <w:numId w:val="0"/>
        </w:numPr>
        <w:spacing w:before="60"/>
        <w:rPr>
          <w:rFonts w:cstheme="minorHAnsi"/>
          <w:sz w:val="20"/>
          <w:szCs w:val="20"/>
          <w:lang w:val="lt-LT"/>
        </w:rPr>
      </w:pPr>
      <w:r w:rsidRPr="009D23EF">
        <w:rPr>
          <w:sz w:val="20"/>
          <w:szCs w:val="20"/>
          <w:lang w:val="lt-LT"/>
        </w:rPr>
        <w:t xml:space="preserve">Taikyti metodai: </w:t>
      </w:r>
      <w:r w:rsidRPr="009D23EF">
        <w:rPr>
          <w:rFonts w:cstheme="minorHAnsi"/>
          <w:sz w:val="20"/>
          <w:szCs w:val="20"/>
          <w:lang w:val="lt-LT"/>
        </w:rPr>
        <w:t xml:space="preserve">antrinių informacijos šaltinių analizė, interviu </w:t>
      </w:r>
      <w:r w:rsidRPr="006D23CA">
        <w:rPr>
          <w:rFonts w:cstheme="minorHAnsi"/>
          <w:sz w:val="20"/>
          <w:szCs w:val="20"/>
          <w:lang w:val="lt-LT"/>
        </w:rPr>
        <w:t xml:space="preserve">su ekspertais ir paramą administravusių institucijų atstovais, lyginamoji analizė, projektų vykdytojų apklausa, </w:t>
      </w:r>
      <w:r w:rsidRPr="006D23CA">
        <w:rPr>
          <w:rFonts w:cs="Calibri"/>
          <w:sz w:val="20"/>
          <w:szCs w:val="20"/>
          <w:lang w:val="lt-LT"/>
        </w:rPr>
        <w:t>intervencijos logikos rekonstrukcija</w:t>
      </w:r>
      <w:r w:rsidRPr="006D23CA">
        <w:rPr>
          <w:rFonts w:cstheme="minorHAnsi"/>
          <w:sz w:val="20"/>
          <w:szCs w:val="20"/>
          <w:lang w:val="lt-LT"/>
        </w:rPr>
        <w:t>, s</w:t>
      </w:r>
      <w:r w:rsidRPr="006D23CA">
        <w:rPr>
          <w:rFonts w:cs="Calibri"/>
          <w:sz w:val="20"/>
          <w:szCs w:val="20"/>
          <w:lang w:val="lt-LT"/>
        </w:rPr>
        <w:t>tatistinė analizė</w:t>
      </w:r>
      <w:r w:rsidRPr="006D23CA">
        <w:rPr>
          <w:rFonts w:cstheme="minorHAnsi"/>
          <w:sz w:val="20"/>
          <w:szCs w:val="20"/>
          <w:lang w:val="lt-LT"/>
        </w:rPr>
        <w:t>, e</w:t>
      </w:r>
      <w:r w:rsidRPr="006D23CA">
        <w:rPr>
          <w:rFonts w:cs="Calibri"/>
          <w:sz w:val="20"/>
          <w:szCs w:val="20"/>
          <w:lang w:val="lt-LT"/>
        </w:rPr>
        <w:t>konometrinis modeliavimas</w:t>
      </w:r>
      <w:r w:rsidRPr="006D23CA">
        <w:rPr>
          <w:rFonts w:cstheme="minorHAnsi"/>
          <w:sz w:val="20"/>
          <w:szCs w:val="20"/>
          <w:lang w:val="lt-LT"/>
        </w:rPr>
        <w:t xml:space="preserve">, </w:t>
      </w:r>
      <w:r w:rsidRPr="00A17B07">
        <w:rPr>
          <w:rFonts w:cs="Calibri"/>
          <w:sz w:val="20"/>
          <w:szCs w:val="20"/>
          <w:lang w:val="lt-LT"/>
        </w:rPr>
        <w:t>fokusuota</w:t>
      </w:r>
      <w:r w:rsidRPr="006D23CA">
        <w:rPr>
          <w:rFonts w:cs="Calibri"/>
          <w:sz w:val="20"/>
          <w:szCs w:val="20"/>
          <w:lang w:val="lt-LT"/>
        </w:rPr>
        <w:t xml:space="preserve"> grupinė diskusija, metodų trianguliacija.</w:t>
      </w:r>
    </w:p>
    <w:p w:rsidR="00C1698E" w:rsidRPr="00AC08E2" w:rsidRDefault="00C1698E" w:rsidP="00C1698E">
      <w:pPr>
        <w:rPr>
          <w:rFonts w:eastAsia="Times New Roman" w:cs="Times New Roman"/>
          <w:color w:val="44546A" w:themeColor="text2"/>
          <w:sz w:val="20"/>
          <w:szCs w:val="20"/>
          <w:lang w:val="lt-LT"/>
        </w:rPr>
      </w:pPr>
      <w:r w:rsidRPr="00AC08E2">
        <w:rPr>
          <w:rFonts w:eastAsia="Times New Roman" w:cs="Times New Roman"/>
          <w:color w:val="44546A" w:themeColor="text2"/>
          <w:sz w:val="20"/>
          <w:szCs w:val="20"/>
          <w:lang w:val="lt-LT"/>
        </w:rPr>
        <w:t>Pagrindiniai vertinimo rezultatai</w:t>
      </w:r>
    </w:p>
    <w:p w:rsidR="00C1698E" w:rsidRPr="009D23EF" w:rsidRDefault="00C1698E" w:rsidP="00C1698E">
      <w:pPr>
        <w:rPr>
          <w:rFonts w:eastAsia="Times New Roman" w:cs="Times New Roman"/>
          <w:b/>
          <w:sz w:val="20"/>
          <w:szCs w:val="20"/>
          <w:lang w:val="lt-LT"/>
        </w:rPr>
      </w:pPr>
      <w:r w:rsidRPr="009D23EF">
        <w:rPr>
          <w:rFonts w:eastAsia="Times New Roman" w:cs="Times New Roman"/>
          <w:b/>
          <w:sz w:val="20"/>
          <w:szCs w:val="20"/>
          <w:lang w:val="lt-LT"/>
        </w:rPr>
        <w:t>Energetikos srities plėtros bei energijos efektyvumo didinimo tikslų, uždavinių, rodiklių pasiekimo mastas</w:t>
      </w:r>
    </w:p>
    <w:p w:rsidR="00C1698E" w:rsidRPr="009D23EF" w:rsidRDefault="00C1698E" w:rsidP="00C1698E">
      <w:pPr>
        <w:pStyle w:val="Bullet"/>
        <w:numPr>
          <w:ilvl w:val="0"/>
          <w:numId w:val="0"/>
        </w:numPr>
        <w:spacing w:before="60"/>
        <w:rPr>
          <w:color w:val="auto"/>
          <w:sz w:val="20"/>
          <w:szCs w:val="20"/>
          <w:lang w:val="lt-LT"/>
        </w:rPr>
      </w:pPr>
      <w:r w:rsidRPr="009D23EF">
        <w:rPr>
          <w:color w:val="auto"/>
          <w:sz w:val="20"/>
          <w:szCs w:val="20"/>
          <w:lang w:val="lt-LT"/>
        </w:rPr>
        <w:t xml:space="preserve">ES intervencijos energetikos sektoriuje buvo numatytos pagal dvi </w:t>
      </w:r>
      <w:r>
        <w:rPr>
          <w:color w:val="auto"/>
          <w:sz w:val="20"/>
          <w:szCs w:val="20"/>
          <w:lang w:val="lt-LT"/>
        </w:rPr>
        <w:t>v</w:t>
      </w:r>
      <w:r w:rsidRPr="009D23EF">
        <w:rPr>
          <w:color w:val="auto"/>
          <w:sz w:val="20"/>
          <w:szCs w:val="20"/>
          <w:lang w:val="lt-LT"/>
        </w:rPr>
        <w:t xml:space="preserve">eiksmų programas: EAVP ir SSVP. Programos nukreiptos tikslingai į identifikuotas problemas, numatant tikslus bei uždavinius, susijusius su infrastruktūros modernizavimu, integracija į Vakarų Europos energetikos rinką, energijos tiekimo saugumą ir patikimumą, AEI dalies </w:t>
      </w:r>
      <w:r>
        <w:rPr>
          <w:color w:val="auto"/>
          <w:sz w:val="20"/>
          <w:szCs w:val="20"/>
          <w:lang w:val="lt-LT"/>
        </w:rPr>
        <w:t xml:space="preserve">visos </w:t>
      </w:r>
      <w:r w:rsidRPr="009D23EF">
        <w:rPr>
          <w:color w:val="auto"/>
          <w:sz w:val="20"/>
          <w:szCs w:val="20"/>
          <w:lang w:val="lt-LT"/>
        </w:rPr>
        <w:t>energijos gamybo</w:t>
      </w:r>
      <w:r>
        <w:rPr>
          <w:color w:val="auto"/>
          <w:sz w:val="20"/>
          <w:szCs w:val="20"/>
          <w:lang w:val="lt-LT"/>
        </w:rPr>
        <w:t>s</w:t>
      </w:r>
      <w:r w:rsidRPr="009D23EF">
        <w:rPr>
          <w:color w:val="auto"/>
          <w:sz w:val="20"/>
          <w:szCs w:val="20"/>
          <w:lang w:val="lt-LT"/>
        </w:rPr>
        <w:t xml:space="preserve"> bei suvartojim</w:t>
      </w:r>
      <w:r>
        <w:rPr>
          <w:color w:val="auto"/>
          <w:sz w:val="20"/>
          <w:szCs w:val="20"/>
          <w:lang w:val="lt-LT"/>
        </w:rPr>
        <w:t>o srityje</w:t>
      </w:r>
      <w:r w:rsidRPr="009D23EF">
        <w:rPr>
          <w:color w:val="auto"/>
          <w:sz w:val="20"/>
          <w:szCs w:val="20"/>
          <w:lang w:val="lt-LT"/>
        </w:rPr>
        <w:t xml:space="preserve"> didinimą,</w:t>
      </w:r>
      <w:r>
        <w:rPr>
          <w:color w:val="auto"/>
          <w:sz w:val="20"/>
          <w:szCs w:val="20"/>
          <w:lang w:val="lt-LT"/>
        </w:rPr>
        <w:t xml:space="preserve"> </w:t>
      </w:r>
      <w:r w:rsidRPr="009D23EF">
        <w:rPr>
          <w:color w:val="auto"/>
          <w:sz w:val="20"/>
          <w:szCs w:val="20"/>
          <w:lang w:val="lt-LT"/>
        </w:rPr>
        <w:t>būsto sąlygų ir aplinkos kokybės gerinimą. Tikslai ir uždaviniai pasiekti 15 priemonių pagalba visuose penkiuose energetikos ūkiuose</w:t>
      </w:r>
      <w:r w:rsidRPr="009D23EF">
        <w:rPr>
          <w:rStyle w:val="FootnoteReference"/>
          <w:color w:val="auto"/>
          <w:sz w:val="20"/>
          <w:szCs w:val="20"/>
          <w:lang w:val="lt-LT"/>
        </w:rPr>
        <w:footnoteReference w:id="1"/>
      </w:r>
      <w:r w:rsidRPr="009D23EF">
        <w:rPr>
          <w:color w:val="auto"/>
          <w:sz w:val="20"/>
          <w:szCs w:val="20"/>
          <w:lang w:val="lt-LT"/>
        </w:rPr>
        <w:t>.</w:t>
      </w:r>
    </w:p>
    <w:p w:rsidR="00C1698E" w:rsidRPr="003527B9" w:rsidRDefault="00C1698E" w:rsidP="00C1698E">
      <w:pPr>
        <w:spacing w:before="60" w:after="60"/>
        <w:rPr>
          <w:sz w:val="20"/>
          <w:szCs w:val="20"/>
          <w:lang w:val="lt-LT"/>
        </w:rPr>
      </w:pPr>
      <w:r w:rsidRPr="009D23EF">
        <w:rPr>
          <w:sz w:val="20"/>
          <w:szCs w:val="20"/>
          <w:lang w:val="lt-LT"/>
        </w:rPr>
        <w:t>2007‒2013 m. ES finansavimo laikotarpiu struktūrinių fondų investicijos elektros ūkyje buvo nukreiptos į infrastruktūros moderniz</w:t>
      </w:r>
      <w:r>
        <w:rPr>
          <w:sz w:val="20"/>
          <w:szCs w:val="20"/>
          <w:lang w:val="lt-LT"/>
        </w:rPr>
        <w:t xml:space="preserve">avimą, </w:t>
      </w:r>
      <w:r>
        <w:rPr>
          <w:color w:val="000000" w:themeColor="text1"/>
          <w:sz w:val="20"/>
          <w:szCs w:val="20"/>
          <w:lang w:val="lt-LT"/>
        </w:rPr>
        <w:t>o</w:t>
      </w:r>
      <w:r w:rsidRPr="006D23CA">
        <w:rPr>
          <w:color w:val="000000" w:themeColor="text1"/>
          <w:sz w:val="20"/>
          <w:szCs w:val="20"/>
          <w:lang w:val="lt-LT"/>
        </w:rPr>
        <w:t xml:space="preserve"> strategiškai </w:t>
      </w:r>
      <w:r w:rsidRPr="009D23EF">
        <w:rPr>
          <w:sz w:val="20"/>
          <w:szCs w:val="20"/>
          <w:lang w:val="lt-LT"/>
        </w:rPr>
        <w:t>valstybei svarbūs projektai (</w:t>
      </w:r>
      <w:r>
        <w:rPr>
          <w:sz w:val="20"/>
          <w:szCs w:val="20"/>
          <w:lang w:val="lt-LT"/>
        </w:rPr>
        <w:t>„</w:t>
      </w:r>
      <w:r w:rsidRPr="009D23EF">
        <w:rPr>
          <w:sz w:val="20"/>
          <w:szCs w:val="20"/>
          <w:lang w:val="lt-LT"/>
        </w:rPr>
        <w:t>NordPool</w:t>
      </w:r>
      <w:r>
        <w:rPr>
          <w:sz w:val="20"/>
          <w:szCs w:val="20"/>
          <w:lang w:val="lt-LT"/>
        </w:rPr>
        <w:t>“</w:t>
      </w:r>
      <w:r w:rsidRPr="009D23EF">
        <w:rPr>
          <w:sz w:val="20"/>
          <w:szCs w:val="20"/>
          <w:lang w:val="lt-LT"/>
        </w:rPr>
        <w:t xml:space="preserve">, </w:t>
      </w:r>
      <w:r>
        <w:rPr>
          <w:sz w:val="20"/>
          <w:szCs w:val="20"/>
          <w:lang w:val="lt-LT"/>
        </w:rPr>
        <w:t>„</w:t>
      </w:r>
      <w:r w:rsidRPr="009D23EF">
        <w:rPr>
          <w:sz w:val="20"/>
          <w:szCs w:val="20"/>
          <w:lang w:val="lt-LT"/>
        </w:rPr>
        <w:t>LitPol Link</w:t>
      </w:r>
      <w:r>
        <w:rPr>
          <w:sz w:val="20"/>
          <w:szCs w:val="20"/>
          <w:lang w:val="lt-LT"/>
        </w:rPr>
        <w:t>“</w:t>
      </w:r>
      <w:r w:rsidRPr="009D23EF">
        <w:rPr>
          <w:sz w:val="20"/>
          <w:szCs w:val="20"/>
          <w:lang w:val="lt-LT"/>
        </w:rPr>
        <w:t xml:space="preserve">, kt.), </w:t>
      </w:r>
      <w:r w:rsidRPr="006D23CA">
        <w:rPr>
          <w:color w:val="000000" w:themeColor="text1"/>
          <w:sz w:val="20"/>
          <w:szCs w:val="20"/>
          <w:lang w:val="lt-LT"/>
        </w:rPr>
        <w:t xml:space="preserve">prisidedantys prie integracijos į </w:t>
      </w:r>
      <w:r w:rsidRPr="006D23CA">
        <w:rPr>
          <w:color w:val="000000" w:themeColor="text1"/>
          <w:sz w:val="20"/>
          <w:szCs w:val="20"/>
          <w:lang w:val="lt-LT"/>
        </w:rPr>
        <w:lastRenderedPageBreak/>
        <w:t xml:space="preserve">Vakarų rinkas, taip pat ir AEI infrastruktūra elektros gamybai, buvo finansuojami kitų </w:t>
      </w:r>
      <w:r w:rsidRPr="003527B9">
        <w:rPr>
          <w:color w:val="000000" w:themeColor="text1"/>
          <w:sz w:val="20"/>
          <w:szCs w:val="20"/>
          <w:lang w:val="lt-LT"/>
        </w:rPr>
        <w:t>ES fondų ar valstybės lėšomis</w:t>
      </w:r>
      <w:r w:rsidRPr="003527B9">
        <w:rPr>
          <w:sz w:val="20"/>
          <w:szCs w:val="20"/>
          <w:lang w:val="lt-LT"/>
        </w:rPr>
        <w:t>. Vertinama, kad priemonės buvo suderintos ir parinktos geriausiai</w:t>
      </w:r>
      <w:r>
        <w:rPr>
          <w:sz w:val="20"/>
          <w:szCs w:val="20"/>
          <w:lang w:val="lt-LT"/>
        </w:rPr>
        <w:t>,</w:t>
      </w:r>
      <w:r w:rsidRPr="003527B9">
        <w:rPr>
          <w:sz w:val="20"/>
          <w:szCs w:val="20"/>
          <w:lang w:val="lt-LT"/>
        </w:rPr>
        <w:t xml:space="preserve"> atsižvelgiant į problematiką bei siekiant didinti elektros energijos tiekimo patikimumą. </w:t>
      </w:r>
    </w:p>
    <w:p w:rsidR="00C1698E" w:rsidRPr="003527B9" w:rsidRDefault="00C1698E" w:rsidP="00C1698E">
      <w:pPr>
        <w:spacing w:before="60" w:after="60"/>
        <w:rPr>
          <w:sz w:val="20"/>
          <w:szCs w:val="20"/>
          <w:lang w:val="lt-LT"/>
        </w:rPr>
      </w:pPr>
      <w:r w:rsidRPr="003527B9">
        <w:rPr>
          <w:sz w:val="20"/>
          <w:szCs w:val="20"/>
          <w:lang w:val="lt-LT"/>
        </w:rPr>
        <w:t xml:space="preserve">ES struktūrinių fondų investicijos į dujų ūkį buvo strategiškai svarbus sprendimas, kadangi tuo sukurta sužiedinta dujų perdavimo sistema, sudarytos prielaidos prie Lietuvos dujų perdavimo sistemos prijungti suskystintų gamtinių dujų </w:t>
      </w:r>
      <w:r w:rsidRPr="003527B9">
        <w:rPr>
          <w:color w:val="000000" w:themeColor="text1"/>
          <w:sz w:val="20"/>
          <w:szCs w:val="20"/>
          <w:lang w:val="lt-LT"/>
        </w:rPr>
        <w:t xml:space="preserve">terminalą (kas užtikrino energetinę nepriklausomybę nuo vieno tiekėjo – </w:t>
      </w:r>
      <w:r>
        <w:rPr>
          <w:color w:val="000000" w:themeColor="text1"/>
          <w:sz w:val="20"/>
          <w:szCs w:val="20"/>
          <w:lang w:val="lt-LT"/>
        </w:rPr>
        <w:t>„</w:t>
      </w:r>
      <w:r w:rsidRPr="003527B9">
        <w:rPr>
          <w:color w:val="000000" w:themeColor="text1"/>
          <w:sz w:val="20"/>
          <w:szCs w:val="20"/>
          <w:lang w:val="lt-LT"/>
        </w:rPr>
        <w:t>Gazprom</w:t>
      </w:r>
      <w:r>
        <w:rPr>
          <w:color w:val="000000" w:themeColor="text1"/>
          <w:sz w:val="20"/>
          <w:szCs w:val="20"/>
          <w:lang w:val="lt-LT"/>
        </w:rPr>
        <w:t>“</w:t>
      </w:r>
      <w:r w:rsidRPr="003527B9">
        <w:rPr>
          <w:color w:val="000000" w:themeColor="text1"/>
          <w:sz w:val="20"/>
          <w:szCs w:val="20"/>
          <w:lang w:val="lt-LT"/>
        </w:rPr>
        <w:t>), išve</w:t>
      </w:r>
      <w:r w:rsidRPr="003527B9">
        <w:rPr>
          <w:sz w:val="20"/>
          <w:szCs w:val="20"/>
          <w:lang w:val="lt-LT"/>
        </w:rPr>
        <w:t xml:space="preserve">ngti slėgio sumažėjimo ties Klaipėda šaltuoju metų periodu. </w:t>
      </w:r>
    </w:p>
    <w:p w:rsidR="00C1698E" w:rsidRPr="003527B9" w:rsidRDefault="00C1698E" w:rsidP="00C1698E">
      <w:pPr>
        <w:pStyle w:val="Bullet"/>
        <w:numPr>
          <w:ilvl w:val="0"/>
          <w:numId w:val="0"/>
        </w:numPr>
        <w:spacing w:before="60"/>
        <w:rPr>
          <w:sz w:val="20"/>
          <w:szCs w:val="20"/>
          <w:lang w:val="lt-LT"/>
        </w:rPr>
      </w:pPr>
      <w:r w:rsidRPr="003527B9">
        <w:rPr>
          <w:sz w:val="20"/>
          <w:szCs w:val="20"/>
          <w:lang w:val="lt-LT"/>
        </w:rPr>
        <w:t>2007‒2013 m. ES investicijų tikslingumą patvirtina j</w:t>
      </w:r>
      <w:r w:rsidRPr="00066A51">
        <w:rPr>
          <w:sz w:val="20"/>
          <w:szCs w:val="20"/>
          <w:lang w:val="lt-LT"/>
        </w:rPr>
        <w:t>ų</w:t>
      </w:r>
      <w:r w:rsidRPr="003527B9">
        <w:rPr>
          <w:sz w:val="20"/>
          <w:szCs w:val="20"/>
          <w:lang w:val="lt-LT"/>
        </w:rPr>
        <w:t xml:space="preserve"> finansuota sparti AEI plėtra visu nagrinėjamu periodu. Vertinama, kad ES struktūrinių fondų investicijos į biokurą šilumos ūkiui buvo nukreiptos tikslingai, kadangi biokuras turėjo didžiausią potencialą greitai aprūpinti šalį šilumos energija ir sumažinti priklausomybę nuo dujų, kuomet kitų AEI (saulės, vėjo, geoterminės energijos) potencialas mažesnis. </w:t>
      </w:r>
    </w:p>
    <w:p w:rsidR="00C1698E" w:rsidRPr="008E52D7" w:rsidRDefault="00C1698E" w:rsidP="00C1698E">
      <w:pPr>
        <w:pStyle w:val="Bullet"/>
        <w:numPr>
          <w:ilvl w:val="0"/>
          <w:numId w:val="0"/>
        </w:numPr>
        <w:rPr>
          <w:strike/>
          <w:sz w:val="20"/>
          <w:szCs w:val="20"/>
          <w:lang w:val="lt-LT"/>
        </w:rPr>
      </w:pPr>
      <w:r w:rsidRPr="003527B9">
        <w:rPr>
          <w:sz w:val="20"/>
          <w:szCs w:val="20"/>
          <w:lang w:val="lt-LT"/>
        </w:rPr>
        <w:t>2007‒2013 m. projektai vertinami kaip tvarūs, jų poveikis užtikrinamas ilgalaikėje perspektyvoje. Vertinama, jog elektros srityje modernizuota infrastruktūra naudojama elektr</w:t>
      </w:r>
      <w:r>
        <w:rPr>
          <w:sz w:val="20"/>
          <w:szCs w:val="20"/>
          <w:lang w:val="lt-LT"/>
        </w:rPr>
        <w:t>ai tiekti</w:t>
      </w:r>
      <w:r w:rsidRPr="003527B9">
        <w:rPr>
          <w:sz w:val="20"/>
          <w:szCs w:val="20"/>
          <w:lang w:val="lt-LT"/>
        </w:rPr>
        <w:t xml:space="preserve"> vartotojams, taip pat </w:t>
      </w:r>
      <w:r>
        <w:rPr>
          <w:sz w:val="20"/>
          <w:szCs w:val="20"/>
          <w:lang w:val="lt-LT"/>
        </w:rPr>
        <w:t>„</w:t>
      </w:r>
      <w:r w:rsidRPr="003527B9">
        <w:rPr>
          <w:sz w:val="20"/>
          <w:szCs w:val="20"/>
          <w:lang w:val="lt-LT"/>
        </w:rPr>
        <w:t>NordBalt</w:t>
      </w:r>
      <w:r>
        <w:rPr>
          <w:sz w:val="20"/>
          <w:szCs w:val="20"/>
          <w:lang w:val="lt-LT"/>
        </w:rPr>
        <w:t>“</w:t>
      </w:r>
      <w:r w:rsidRPr="003527B9">
        <w:rPr>
          <w:sz w:val="20"/>
          <w:szCs w:val="20"/>
          <w:lang w:val="lt-LT"/>
        </w:rPr>
        <w:t xml:space="preserve"> jungties veikim</w:t>
      </w:r>
      <w:r>
        <w:rPr>
          <w:sz w:val="20"/>
          <w:szCs w:val="20"/>
          <w:lang w:val="lt-LT"/>
        </w:rPr>
        <w:t>ui užtikrinti</w:t>
      </w:r>
      <w:r w:rsidRPr="003527B9">
        <w:rPr>
          <w:sz w:val="20"/>
          <w:szCs w:val="20"/>
          <w:lang w:val="lt-LT"/>
        </w:rPr>
        <w:t xml:space="preserve">. Dujų srityje pastatytas magistralinis dujotiekis, kuriuo vidutiniškai per parą transportuojama </w:t>
      </w:r>
      <w:r w:rsidRPr="003527B9">
        <w:rPr>
          <w:rFonts w:ascii="Calibri" w:hAnsi="Calibri"/>
          <w:color w:val="000000"/>
          <w:sz w:val="20"/>
          <w:szCs w:val="20"/>
          <w:lang w:val="lt-LT"/>
        </w:rPr>
        <w:t xml:space="preserve">17 </w:t>
      </w:r>
      <w:r w:rsidRPr="003527B9">
        <w:rPr>
          <w:rFonts w:ascii="Calibri" w:hAnsi="Calibri"/>
          <w:sz w:val="20"/>
          <w:szCs w:val="20"/>
          <w:lang w:val="lt-LT"/>
        </w:rPr>
        <w:t xml:space="preserve">991 761,06 kWh </w:t>
      </w:r>
      <w:r w:rsidRPr="003527B9">
        <w:rPr>
          <w:rFonts w:ascii="Calibri" w:hAnsi="Calibri"/>
          <w:color w:val="000000"/>
          <w:sz w:val="20"/>
          <w:szCs w:val="20"/>
          <w:lang w:val="lt-LT"/>
        </w:rPr>
        <w:t xml:space="preserve">dujų. Šilumos srityje tvarumą rodo didėjantis CŠT vartotojų skaičius </w:t>
      </w:r>
      <w:r w:rsidRPr="003527B9">
        <w:rPr>
          <w:sz w:val="20"/>
          <w:szCs w:val="20"/>
          <w:lang w:val="lt-LT"/>
        </w:rPr>
        <w:t>(+1,8 proc. 2008‒2015 m laikotarpiu). AEI srityje sukurta infrastruktūra išnaudojama didinant šilumos energijos gamybos balans</w:t>
      </w:r>
      <w:r>
        <w:rPr>
          <w:sz w:val="20"/>
          <w:szCs w:val="20"/>
          <w:lang w:val="lt-LT"/>
        </w:rPr>
        <w:t xml:space="preserve">o AEI dalį </w:t>
      </w:r>
      <w:r w:rsidRPr="003527B9">
        <w:rPr>
          <w:sz w:val="20"/>
          <w:szCs w:val="20"/>
          <w:lang w:val="lt-LT"/>
        </w:rPr>
        <w:t xml:space="preserve">(61,3 proc. 2015 m.). </w:t>
      </w:r>
    </w:p>
    <w:p w:rsidR="00C1698E" w:rsidRPr="003527B9" w:rsidRDefault="00C1698E" w:rsidP="00C1698E">
      <w:pPr>
        <w:rPr>
          <w:b/>
          <w:color w:val="000000" w:themeColor="text1"/>
          <w:sz w:val="20"/>
          <w:szCs w:val="20"/>
          <w:lang w:val="lt-LT"/>
        </w:rPr>
      </w:pPr>
      <w:r w:rsidRPr="003527B9">
        <w:rPr>
          <w:b/>
          <w:color w:val="000000" w:themeColor="text1"/>
          <w:sz w:val="20"/>
          <w:szCs w:val="20"/>
          <w:lang w:val="lt-LT"/>
        </w:rPr>
        <w:t>Didžiausią poveikį sukūrusios priemonės ir projektai</w:t>
      </w:r>
    </w:p>
    <w:p w:rsidR="00C1698E" w:rsidRPr="003527B9" w:rsidRDefault="00C1698E" w:rsidP="00C1698E">
      <w:pPr>
        <w:spacing w:before="60" w:after="60"/>
        <w:rPr>
          <w:sz w:val="20"/>
          <w:szCs w:val="20"/>
          <w:lang w:val="lt-LT"/>
        </w:rPr>
      </w:pPr>
      <w:r w:rsidRPr="003527B9">
        <w:rPr>
          <w:sz w:val="20"/>
          <w:szCs w:val="20"/>
          <w:lang w:val="lt-LT"/>
        </w:rPr>
        <w:t xml:space="preserve">Vertinant pagal vartotojų, kuriems pagerėjo eletros energijos tiekimo kokybė, skaičių, didžiausią teigiamą poveikį elektros srityje sukūrė priemonė, skirta elektros energijos perdavimo infrastruktūrai gerinti. </w:t>
      </w:r>
    </w:p>
    <w:p w:rsidR="00C1698E" w:rsidRPr="003527B9" w:rsidRDefault="00C1698E" w:rsidP="00C1698E">
      <w:pPr>
        <w:spacing w:before="60" w:after="60"/>
        <w:rPr>
          <w:sz w:val="20"/>
          <w:szCs w:val="20"/>
          <w:lang w:val="lt-LT"/>
        </w:rPr>
      </w:pPr>
      <w:r w:rsidRPr="003527B9">
        <w:rPr>
          <w:sz w:val="20"/>
          <w:szCs w:val="20"/>
          <w:lang w:val="lt-LT"/>
        </w:rPr>
        <w:t>2007‒2013 m. ES struktūrinės lėšos dujų ūkiui pagal vieną priemonę (2,6 proc. viso ES finansavimo energetikos sektoriui) prisidėjo prie papildomų 79 tūkst. m</w:t>
      </w:r>
      <w:r w:rsidRPr="003527B9">
        <w:rPr>
          <w:sz w:val="20"/>
          <w:szCs w:val="20"/>
          <w:vertAlign w:val="superscript"/>
          <w:lang w:val="lt-LT"/>
        </w:rPr>
        <w:t>3</w:t>
      </w:r>
      <w:r>
        <w:rPr>
          <w:sz w:val="20"/>
          <w:szCs w:val="20"/>
          <w:lang w:val="lt-LT"/>
        </w:rPr>
        <w:t>/</w:t>
      </w:r>
      <w:r w:rsidRPr="003527B9">
        <w:rPr>
          <w:sz w:val="20"/>
          <w:szCs w:val="20"/>
          <w:lang w:val="lt-LT"/>
        </w:rPr>
        <w:t xml:space="preserve">h perdavimo pajėgumų įrengimo, prielaidų prijungti SGD terminalą prie bendros Lietuvos dujų sistemos sukūrimo. </w:t>
      </w:r>
    </w:p>
    <w:p w:rsidR="00C1698E" w:rsidRPr="003527B9" w:rsidRDefault="00C1698E" w:rsidP="00C1698E">
      <w:pPr>
        <w:spacing w:before="60" w:after="60"/>
        <w:rPr>
          <w:sz w:val="20"/>
          <w:szCs w:val="20"/>
          <w:lang w:val="lt-LT"/>
        </w:rPr>
      </w:pPr>
      <w:r w:rsidRPr="003527B9">
        <w:rPr>
          <w:sz w:val="20"/>
          <w:szCs w:val="20"/>
          <w:lang w:val="lt-LT"/>
        </w:rPr>
        <w:t>2007‒2013 m. ES struktūrinės lėšos šilumos ūkiui pagal vieną priemonę (8,1 proc. viso ES finansavimo energetikos sektoriui) prisidėjo prie kokybiškiau ir patikimiau centralizuotai tiekiamos šilumos 1,404 mln. vartotojų.</w:t>
      </w:r>
      <w:r>
        <w:rPr>
          <w:sz w:val="20"/>
          <w:szCs w:val="20"/>
          <w:lang w:val="lt-LT"/>
        </w:rPr>
        <w:t xml:space="preserve"> </w:t>
      </w:r>
      <w:r w:rsidRPr="003527B9">
        <w:rPr>
          <w:sz w:val="20"/>
          <w:szCs w:val="20"/>
          <w:lang w:val="lt-LT"/>
        </w:rPr>
        <w:t>Šilumos technologiniai nuostoliai taip pat mažėjo (‒0,92 proc.).</w:t>
      </w:r>
    </w:p>
    <w:p w:rsidR="00C1698E" w:rsidRPr="003527B9" w:rsidRDefault="00C1698E" w:rsidP="00C1698E">
      <w:pPr>
        <w:spacing w:before="60" w:after="60"/>
        <w:rPr>
          <w:sz w:val="20"/>
          <w:szCs w:val="20"/>
          <w:lang w:val="lt-LT"/>
        </w:rPr>
      </w:pPr>
      <w:r w:rsidRPr="003527B9">
        <w:rPr>
          <w:sz w:val="20"/>
          <w:szCs w:val="20"/>
          <w:lang w:val="lt-LT"/>
        </w:rPr>
        <w:t xml:space="preserve">ES struktūrines investicijas (11,1 proc. viso ES finansavimo energetikos sektoriui) nukreipus į AEI ūkį prisidėta prie didesnių šilumos energijos gamybos pajėgumų sukūrimo ‒ </w:t>
      </w:r>
      <w:r>
        <w:rPr>
          <w:sz w:val="20"/>
          <w:szCs w:val="20"/>
          <w:lang w:val="lt-LT"/>
        </w:rPr>
        <w:t>įrengta</w:t>
      </w:r>
      <w:r w:rsidRPr="003527B9">
        <w:rPr>
          <w:sz w:val="20"/>
          <w:szCs w:val="20"/>
          <w:lang w:val="lt-LT"/>
        </w:rPr>
        <w:t xml:space="preserve"> 796,18 MW galios (9,66 proc. visos </w:t>
      </w:r>
      <w:r>
        <w:rPr>
          <w:sz w:val="20"/>
          <w:szCs w:val="20"/>
          <w:lang w:val="lt-LT"/>
        </w:rPr>
        <w:t>įrengtosios</w:t>
      </w:r>
      <w:r w:rsidRPr="003527B9">
        <w:rPr>
          <w:sz w:val="20"/>
          <w:szCs w:val="20"/>
          <w:lang w:val="lt-LT"/>
        </w:rPr>
        <w:t xml:space="preserve"> galios). AEI plėtra prisidėjo prie gamtinių dujų dalies mažinimo (36,1 proc. 2015 m.) šilumos energijos gamybos ūkyje. </w:t>
      </w:r>
    </w:p>
    <w:p w:rsidR="00C1698E" w:rsidRPr="00066A51" w:rsidRDefault="00C1698E" w:rsidP="00C1698E">
      <w:pPr>
        <w:rPr>
          <w:sz w:val="20"/>
          <w:szCs w:val="20"/>
          <w:lang w:val="lt-LT"/>
        </w:rPr>
      </w:pPr>
      <w:r w:rsidRPr="003527B9">
        <w:rPr>
          <w:sz w:val="20"/>
          <w:szCs w:val="20"/>
          <w:lang w:val="lt-LT"/>
        </w:rPr>
        <w:t xml:space="preserve">Pastatų renovavimui skirtos 6 priemonės, kurioms skirta 69,5 proc. viso ES finansavimo energetikos sektoriui. Nacionaliniu, regioniniu lygmenimis atliktos renovacijos viešuosiuose pastatuose (279,22 GWh) bei daugiabučiuose namuose (38,72 GWh). Viešųjų pastatų srityje vertinama, jog didžiausią poveikį sukūrė </w:t>
      </w:r>
      <w:r>
        <w:rPr>
          <w:sz w:val="20"/>
          <w:szCs w:val="20"/>
          <w:lang w:val="lt-LT"/>
        </w:rPr>
        <w:t>v</w:t>
      </w:r>
      <w:r w:rsidRPr="003527B9">
        <w:rPr>
          <w:sz w:val="20"/>
          <w:szCs w:val="20"/>
          <w:lang w:val="lt-LT"/>
        </w:rPr>
        <w:t>iešųjų pastatų renovavim</w:t>
      </w:r>
      <w:r>
        <w:rPr>
          <w:sz w:val="20"/>
          <w:szCs w:val="20"/>
          <w:lang w:val="lt-LT"/>
        </w:rPr>
        <w:t>o</w:t>
      </w:r>
      <w:r w:rsidRPr="003527B9">
        <w:rPr>
          <w:sz w:val="20"/>
          <w:szCs w:val="20"/>
          <w:lang w:val="lt-LT"/>
        </w:rPr>
        <w:t xml:space="preserve"> nacionaliniu lygiu</w:t>
      </w:r>
      <w:r>
        <w:rPr>
          <w:sz w:val="20"/>
          <w:szCs w:val="20"/>
          <w:lang w:val="lt-LT"/>
        </w:rPr>
        <w:t xml:space="preserve"> priemonė</w:t>
      </w:r>
      <w:r w:rsidRPr="003527B9">
        <w:rPr>
          <w:sz w:val="20"/>
          <w:szCs w:val="20"/>
          <w:lang w:val="lt-LT"/>
        </w:rPr>
        <w:t xml:space="preserve">, </w:t>
      </w:r>
      <w:r>
        <w:rPr>
          <w:sz w:val="20"/>
          <w:szCs w:val="20"/>
          <w:lang w:val="lt-LT"/>
        </w:rPr>
        <w:t xml:space="preserve">pagal </w:t>
      </w:r>
      <w:r w:rsidRPr="003527B9">
        <w:rPr>
          <w:sz w:val="20"/>
          <w:szCs w:val="20"/>
          <w:lang w:val="lt-LT"/>
        </w:rPr>
        <w:t>kuri</w:t>
      </w:r>
      <w:r>
        <w:rPr>
          <w:sz w:val="20"/>
          <w:szCs w:val="20"/>
          <w:lang w:val="lt-LT"/>
        </w:rPr>
        <w:t>ą</w:t>
      </w:r>
      <w:r w:rsidRPr="003527B9">
        <w:rPr>
          <w:sz w:val="20"/>
          <w:szCs w:val="20"/>
          <w:lang w:val="lt-LT"/>
        </w:rPr>
        <w:t xml:space="preserve"> skaičiuojami 170,06 GWh energijos sutaupymai. </w:t>
      </w:r>
    </w:p>
    <w:p w:rsidR="00C1698E" w:rsidRPr="00066A51" w:rsidRDefault="00C1698E" w:rsidP="00C1698E">
      <w:pPr>
        <w:rPr>
          <w:b/>
          <w:sz w:val="20"/>
          <w:szCs w:val="20"/>
          <w:lang w:val="lt-LT"/>
        </w:rPr>
      </w:pPr>
      <w:r w:rsidRPr="003527B9">
        <w:rPr>
          <w:b/>
          <w:sz w:val="20"/>
          <w:szCs w:val="20"/>
          <w:lang w:val="lt-LT"/>
        </w:rPr>
        <w:t>2007‒2013 m. ES finansuotų energetikos sektoriaus priemonių remtų veiklų pakankamumas ir tinkamumas veiksmų programų tikslams, uždaviniams įgyvendinti</w:t>
      </w:r>
    </w:p>
    <w:p w:rsidR="00C1698E" w:rsidRPr="003527B9" w:rsidRDefault="00C1698E" w:rsidP="00C1698E">
      <w:pPr>
        <w:spacing w:before="60" w:after="60"/>
        <w:rPr>
          <w:sz w:val="20"/>
          <w:szCs w:val="20"/>
          <w:lang w:val="lt-LT"/>
        </w:rPr>
      </w:pPr>
      <w:r w:rsidRPr="003527B9">
        <w:rPr>
          <w:sz w:val="20"/>
          <w:szCs w:val="20"/>
          <w:lang w:val="lt-LT"/>
        </w:rPr>
        <w:t>Remiantis intervencijos logika „veikla – priemonė – uždavinys – tikslas</w:t>
      </w:r>
      <w:r>
        <w:rPr>
          <w:sz w:val="20"/>
          <w:szCs w:val="20"/>
          <w:lang w:val="lt-LT"/>
        </w:rPr>
        <w:t>“</w:t>
      </w:r>
      <w:r w:rsidRPr="003527B9">
        <w:rPr>
          <w:sz w:val="20"/>
          <w:szCs w:val="20"/>
          <w:lang w:val="lt-LT"/>
        </w:rPr>
        <w:t xml:space="preserve">, investicijos į energijos tiekimą (elektros perdavimą ir skirstymą (48,26 mln. Eur), dujų perdavimą (20,69 mln. Eur), šilumos perdavimą (64,84 mln. Eur) prisidėjo prie energijos efektyvumo tikslo ir uždavinių pasiekimo formuojant energijos tiekimo patikimumo rodiklius. Pasenusios ir fiziškai susidėvėjusios energijos tiekimo infrastruktūros modernizavimas keičiant nauja infrastruktūra ir technologijomis buvo tinkamiausias sprendimas energijos tiekimo srityje, ypač šilumos tiekimo ūkyje. Kitais sprendiniais ar veiklomis energijos tiekimo patikimumo užtikrinti nebuvo galima </w:t>
      </w:r>
      <w:r>
        <w:rPr>
          <w:sz w:val="20"/>
          <w:szCs w:val="20"/>
          <w:lang w:val="lt-LT"/>
        </w:rPr>
        <w:t xml:space="preserve">dėl </w:t>
      </w:r>
      <w:r w:rsidRPr="003527B9">
        <w:rPr>
          <w:sz w:val="20"/>
          <w:szCs w:val="20"/>
          <w:lang w:val="lt-LT"/>
        </w:rPr>
        <w:t>technini</w:t>
      </w:r>
      <w:r>
        <w:rPr>
          <w:sz w:val="20"/>
          <w:szCs w:val="20"/>
          <w:lang w:val="lt-LT"/>
        </w:rPr>
        <w:t>ų</w:t>
      </w:r>
      <w:r w:rsidRPr="003527B9">
        <w:rPr>
          <w:sz w:val="20"/>
          <w:szCs w:val="20"/>
          <w:lang w:val="lt-LT"/>
        </w:rPr>
        <w:t xml:space="preserve"> </w:t>
      </w:r>
      <w:r>
        <w:rPr>
          <w:sz w:val="20"/>
          <w:szCs w:val="20"/>
          <w:lang w:val="lt-LT"/>
        </w:rPr>
        <w:t>sąlygų</w:t>
      </w:r>
      <w:r w:rsidRPr="003527B9">
        <w:rPr>
          <w:sz w:val="20"/>
          <w:szCs w:val="20"/>
          <w:lang w:val="lt-LT"/>
        </w:rPr>
        <w:t>.</w:t>
      </w:r>
    </w:p>
    <w:p w:rsidR="00C1698E" w:rsidRPr="003527B9" w:rsidRDefault="00C1698E" w:rsidP="00C1698E">
      <w:pPr>
        <w:spacing w:before="60" w:after="60"/>
        <w:rPr>
          <w:sz w:val="20"/>
          <w:szCs w:val="20"/>
          <w:lang w:val="lt-LT"/>
        </w:rPr>
      </w:pPr>
      <w:r w:rsidRPr="003527B9">
        <w:rPr>
          <w:sz w:val="20"/>
          <w:szCs w:val="20"/>
          <w:lang w:val="lt-LT"/>
        </w:rPr>
        <w:t>Siekiant užtikrinti energetinę nepriklausomybę, nepriklausomybę nuo iškastinio kuro (dujų) ir AEI plėtrą</w:t>
      </w:r>
      <w:r>
        <w:rPr>
          <w:sz w:val="20"/>
          <w:szCs w:val="20"/>
          <w:lang w:val="lt-LT"/>
        </w:rPr>
        <w:t>,</w:t>
      </w:r>
      <w:r w:rsidRPr="003527B9">
        <w:rPr>
          <w:sz w:val="20"/>
          <w:szCs w:val="20"/>
          <w:lang w:val="lt-LT"/>
        </w:rPr>
        <w:t xml:space="preserve"> pasirinktas sprendimas finansuoti biokuro katilinių statybą taip pat buvo tinkamas. Vėjo, saulės ir geoterminė energetika savo ruožtu buvo finansuota ne ES </w:t>
      </w:r>
      <w:r w:rsidRPr="003527B9">
        <w:rPr>
          <w:color w:val="000000" w:themeColor="text1"/>
          <w:sz w:val="20"/>
          <w:szCs w:val="20"/>
          <w:lang w:val="lt-LT"/>
        </w:rPr>
        <w:t xml:space="preserve">struktūrinės </w:t>
      </w:r>
      <w:r w:rsidRPr="003527B9">
        <w:rPr>
          <w:sz w:val="20"/>
          <w:szCs w:val="20"/>
          <w:lang w:val="lt-LT"/>
        </w:rPr>
        <w:t>paramos priemonėmis (Klimato kaitos specialioji programa ir Kaimo plėtros programa), taip išlaikant suderinamumą ir užtikrinant finansavimo takoskyrą.</w:t>
      </w:r>
      <w:r w:rsidRPr="003527B9" w:rsidDel="009C435D">
        <w:rPr>
          <w:sz w:val="20"/>
          <w:szCs w:val="20"/>
          <w:lang w:val="lt-LT"/>
        </w:rPr>
        <w:t xml:space="preserve"> </w:t>
      </w:r>
    </w:p>
    <w:p w:rsidR="00C1698E" w:rsidRPr="003B5AC5" w:rsidRDefault="00C1698E" w:rsidP="00C1698E">
      <w:pPr>
        <w:rPr>
          <w:b/>
          <w:sz w:val="20"/>
          <w:szCs w:val="20"/>
          <w:lang w:val="lt-LT"/>
        </w:rPr>
      </w:pPr>
      <w:r w:rsidRPr="003B5AC5">
        <w:rPr>
          <w:b/>
          <w:sz w:val="20"/>
          <w:szCs w:val="20"/>
          <w:lang w:val="lt-LT"/>
        </w:rPr>
        <w:t>2007‒2013 m. ES finansavimo periodu energetikos sektoriaus priemonėms taikytų paramos formų tinkamumo tikslams pasiekti vertinimas</w:t>
      </w:r>
    </w:p>
    <w:p w:rsidR="00C1698E" w:rsidRPr="003527B9" w:rsidRDefault="00C1698E" w:rsidP="00C1698E">
      <w:pPr>
        <w:spacing w:before="60"/>
        <w:rPr>
          <w:sz w:val="20"/>
          <w:szCs w:val="20"/>
          <w:lang w:val="lt-LT"/>
        </w:rPr>
      </w:pPr>
      <w:r w:rsidRPr="003527B9">
        <w:rPr>
          <w:sz w:val="20"/>
          <w:szCs w:val="20"/>
          <w:lang w:val="lt-LT"/>
        </w:rPr>
        <w:lastRenderedPageBreak/>
        <w:t>Vertintos visos energetikos sektoriaus priemonės</w:t>
      </w:r>
      <w:r>
        <w:rPr>
          <w:sz w:val="20"/>
          <w:szCs w:val="20"/>
          <w:lang w:val="lt-LT"/>
        </w:rPr>
        <w:t xml:space="preserve"> </w:t>
      </w:r>
      <w:r w:rsidRPr="003527B9">
        <w:rPr>
          <w:sz w:val="20"/>
          <w:szCs w:val="20"/>
          <w:lang w:val="lt-LT"/>
        </w:rPr>
        <w:t>neskir</w:t>
      </w:r>
      <w:r>
        <w:rPr>
          <w:sz w:val="20"/>
          <w:szCs w:val="20"/>
          <w:lang w:val="lt-LT"/>
        </w:rPr>
        <w:t>st</w:t>
      </w:r>
      <w:r w:rsidRPr="003527B9">
        <w:rPr>
          <w:sz w:val="20"/>
          <w:szCs w:val="20"/>
          <w:lang w:val="lt-LT"/>
        </w:rPr>
        <w:t>ant jų pagal sritis, t.</w:t>
      </w:r>
      <w:r>
        <w:rPr>
          <w:sz w:val="20"/>
          <w:szCs w:val="20"/>
          <w:lang w:val="lt-LT"/>
        </w:rPr>
        <w:t xml:space="preserve"> </w:t>
      </w:r>
      <w:r w:rsidRPr="003527B9">
        <w:rPr>
          <w:sz w:val="20"/>
          <w:szCs w:val="20"/>
          <w:lang w:val="lt-LT"/>
        </w:rPr>
        <w:t>y. srity</w:t>
      </w:r>
      <w:r>
        <w:rPr>
          <w:sz w:val="20"/>
          <w:szCs w:val="20"/>
          <w:lang w:val="lt-LT"/>
        </w:rPr>
        <w:t>s tarpusavyje nelyginamos. 2007‒</w:t>
      </w:r>
      <w:r w:rsidRPr="003527B9">
        <w:rPr>
          <w:sz w:val="20"/>
          <w:szCs w:val="20"/>
          <w:lang w:val="lt-LT"/>
        </w:rPr>
        <w:t xml:space="preserve">2013 m. ES struktūrinių lėšų finansavimo periodu visoms priemonėms, išskyrus JESSICA kontroliuojantįjį fondą, buvo taikoma negrąžintinos subsidijos forma. </w:t>
      </w:r>
    </w:p>
    <w:p w:rsidR="00C1698E" w:rsidRPr="003527B9" w:rsidRDefault="00C1698E" w:rsidP="00C1698E">
      <w:pPr>
        <w:spacing w:before="120" w:after="60"/>
        <w:rPr>
          <w:sz w:val="20"/>
          <w:szCs w:val="20"/>
          <w:lang w:val="lt-LT"/>
        </w:rPr>
      </w:pPr>
      <w:r w:rsidRPr="00066A51">
        <w:rPr>
          <w:sz w:val="20"/>
          <w:szCs w:val="20"/>
          <w:lang w:val="lt-LT"/>
        </w:rPr>
        <w:t xml:space="preserve">Finansavimo formos, taikytos LR </w:t>
      </w:r>
      <w:r>
        <w:rPr>
          <w:sz w:val="20"/>
          <w:szCs w:val="20"/>
          <w:lang w:val="lt-LT"/>
        </w:rPr>
        <w:t>ū</w:t>
      </w:r>
      <w:r w:rsidRPr="00066A51">
        <w:rPr>
          <w:sz w:val="20"/>
          <w:szCs w:val="20"/>
          <w:lang w:val="lt-LT"/>
        </w:rPr>
        <w:t>kio ministerijos įgyvendintoms priemonėms</w:t>
      </w:r>
      <w:r>
        <w:rPr>
          <w:sz w:val="20"/>
          <w:szCs w:val="20"/>
          <w:lang w:val="lt-LT"/>
        </w:rPr>
        <w:t>,</w:t>
      </w:r>
      <w:r w:rsidRPr="00066A51">
        <w:rPr>
          <w:sz w:val="20"/>
          <w:szCs w:val="20"/>
          <w:lang w:val="lt-LT"/>
        </w:rPr>
        <w:t xml:space="preserve"> buvo tinkamos, tačiau pastebima, jog tarpinstituciniame lygmenyje finansavimo formos nebuvo pakankamai suderintos. Tai lėmė įgyvendintų priemonių tarpusavio konkurenciją (pvz.</w:t>
      </w:r>
      <w:r>
        <w:rPr>
          <w:sz w:val="20"/>
          <w:szCs w:val="20"/>
          <w:lang w:val="lt-LT"/>
        </w:rPr>
        <w:t>,</w:t>
      </w:r>
      <w:r w:rsidRPr="00066A51">
        <w:rPr>
          <w:sz w:val="20"/>
          <w:szCs w:val="20"/>
          <w:lang w:val="lt-LT"/>
        </w:rPr>
        <w:t xml:space="preserve"> Vidaus reikalų ministerijos būsto renovacijai skirta priemonė, pagal kurią taikyta negrąžintina subsidija ir Aplinkos ministerijos priemonė, kuriai taikyta finansų inžinerija). Pasirinktas subsidijų intensyvumas energetikos sritims buvo tinkamas, nes esant mažesniam intensyvumui, kofinansavimui būtų pritrūkę lėšų, nes daugelyje savivaldybių buvo pasiekti</w:t>
      </w:r>
      <w:r w:rsidRPr="00E61941">
        <w:rPr>
          <w:sz w:val="20"/>
          <w:szCs w:val="20"/>
          <w:lang w:val="lt-LT"/>
        </w:rPr>
        <w:t xml:space="preserve"> </w:t>
      </w:r>
      <w:r w:rsidRPr="00066A51">
        <w:rPr>
          <w:sz w:val="20"/>
          <w:szCs w:val="20"/>
          <w:lang w:val="lt-LT"/>
        </w:rPr>
        <w:t xml:space="preserve">skolinimosi limitai. </w:t>
      </w:r>
      <w:r w:rsidRPr="003527B9">
        <w:rPr>
          <w:sz w:val="20"/>
          <w:szCs w:val="20"/>
          <w:lang w:val="lt-LT"/>
        </w:rPr>
        <w:t xml:space="preserve">Didžiausias finansavimo intensyvumas pasirinktas priemonėse, susijusiose su pastatų ūkiu (83‒88 proc.), nes pareiškėjai buvo ne komercinės įstaigos, o savivaldos institucijos bei viešąsias paslaugas joms teikiančios ar valstybei priklausančios įstaigos – ugdymo, sveikatos priežiūros ir socialinės rūpybos. Be didelio intensyvumo paramos šios institucijos nebūtų įgyvendinusios projektų. </w:t>
      </w:r>
    </w:p>
    <w:p w:rsidR="00C1698E" w:rsidRPr="003527B9" w:rsidRDefault="00C1698E" w:rsidP="00C1698E">
      <w:pPr>
        <w:spacing w:before="60" w:after="60"/>
        <w:rPr>
          <w:sz w:val="20"/>
          <w:szCs w:val="20"/>
          <w:lang w:val="lt-LT"/>
        </w:rPr>
      </w:pPr>
      <w:r w:rsidRPr="003527B9">
        <w:rPr>
          <w:sz w:val="20"/>
          <w:szCs w:val="20"/>
          <w:lang w:val="lt-LT"/>
        </w:rPr>
        <w:t>Energijos gamybos, šilumos tiekimo ir AEI priemonių finansavimo intensyvumas buvo mažesnis (34‒50 proc.), tačiau atsižvelgiant į priemonių paklausą, projektų vykdytojų apklausos rezultatus, šis intensyvumas buvo pakankamas, skatinantis konkurenciją tarp pareiškėjų ir vertintinas kaip tinkamas.</w:t>
      </w:r>
    </w:p>
    <w:p w:rsidR="00C1698E" w:rsidRPr="009D23EF" w:rsidRDefault="00C1698E" w:rsidP="00C1698E">
      <w:pPr>
        <w:spacing w:before="60" w:after="60"/>
        <w:rPr>
          <w:sz w:val="20"/>
          <w:szCs w:val="20"/>
          <w:lang w:val="lt-LT"/>
        </w:rPr>
      </w:pPr>
      <w:r>
        <w:rPr>
          <w:sz w:val="20"/>
          <w:szCs w:val="20"/>
          <w:lang w:val="lt-LT"/>
        </w:rPr>
        <w:t>Dujų ir elektros ūkyje</w:t>
      </w:r>
      <w:r w:rsidRPr="003527B9">
        <w:rPr>
          <w:sz w:val="20"/>
          <w:szCs w:val="20"/>
          <w:lang w:val="lt-LT"/>
        </w:rPr>
        <w:t xml:space="preserve"> projektų vykdytojai buvo stambios finansiškai pajėgios įmonės (AB „Amber Grid“, AB „Litgrid“), kurios teori</w:t>
      </w:r>
      <w:r>
        <w:rPr>
          <w:sz w:val="20"/>
          <w:szCs w:val="20"/>
          <w:lang w:val="lt-LT"/>
        </w:rPr>
        <w:t>škai</w:t>
      </w:r>
      <w:r w:rsidRPr="003527B9">
        <w:rPr>
          <w:sz w:val="20"/>
          <w:szCs w:val="20"/>
          <w:lang w:val="lt-LT"/>
        </w:rPr>
        <w:t xml:space="preserve"> galėjo naudoti ir finansų inžinerijos priemones. Vertinimo metu atsižvelgta į tai, kad įmonė AB </w:t>
      </w:r>
      <w:r>
        <w:rPr>
          <w:sz w:val="20"/>
          <w:szCs w:val="20"/>
          <w:lang w:val="lt-LT"/>
        </w:rPr>
        <w:t>„</w:t>
      </w:r>
      <w:r w:rsidRPr="003527B9">
        <w:rPr>
          <w:sz w:val="20"/>
          <w:szCs w:val="20"/>
          <w:lang w:val="lt-LT"/>
        </w:rPr>
        <w:t>Lietuvos dujos</w:t>
      </w:r>
      <w:r>
        <w:rPr>
          <w:sz w:val="20"/>
          <w:szCs w:val="20"/>
          <w:lang w:val="lt-LT"/>
        </w:rPr>
        <w:t>“</w:t>
      </w:r>
      <w:r w:rsidRPr="003527B9">
        <w:rPr>
          <w:sz w:val="20"/>
          <w:szCs w:val="20"/>
          <w:lang w:val="lt-LT"/>
        </w:rPr>
        <w:t xml:space="preserve"> iki 2015 m. įvykusios energetikos srities įmonių konsolidacijos priklausė įvairiems akcininkams („Gazprom“, „E. On“), kurie nebūtų turėję paskatų</w:t>
      </w:r>
      <w:r w:rsidRPr="003527B9">
        <w:rPr>
          <w:rStyle w:val="FootnoteReference"/>
          <w:sz w:val="20"/>
          <w:szCs w:val="20"/>
          <w:lang w:val="lt-LT"/>
        </w:rPr>
        <w:footnoteReference w:id="2"/>
      </w:r>
      <w:r w:rsidRPr="003527B9">
        <w:rPr>
          <w:sz w:val="20"/>
          <w:szCs w:val="20"/>
          <w:lang w:val="lt-LT"/>
        </w:rPr>
        <w:t xml:space="preserve"> modernizuoti perdavimo ir skirstymo tinklus skolintomis lėšomis, todėl subsidijos forma retrospektyviai vertinama kaip tinkama, o intensyvumas – pakankamas, nes pagal priemonę įgyvendinti projektai.</w:t>
      </w:r>
      <w:r w:rsidRPr="009D23EF">
        <w:rPr>
          <w:sz w:val="20"/>
          <w:szCs w:val="20"/>
          <w:lang w:val="lt-LT"/>
        </w:rPr>
        <w:t xml:space="preserve"> </w:t>
      </w:r>
    </w:p>
    <w:p w:rsidR="00C1698E" w:rsidRPr="003B5AC5" w:rsidRDefault="00C1698E" w:rsidP="00C1698E">
      <w:pPr>
        <w:rPr>
          <w:b/>
          <w:sz w:val="20"/>
          <w:szCs w:val="20"/>
          <w:lang w:val="lt-LT"/>
        </w:rPr>
      </w:pPr>
      <w:r w:rsidRPr="003B5AC5">
        <w:rPr>
          <w:b/>
          <w:sz w:val="20"/>
          <w:szCs w:val="20"/>
          <w:lang w:val="lt-LT"/>
        </w:rPr>
        <w:t xml:space="preserve">2007‒2013 ES struktūrinės paramos lėšomis finansuotų energetikos srities ir energijos vartojimo efektyvumo priemonių socialinio ir ekonominio poveikio šaliai ir jos energetikos sektoriui vertinimas </w:t>
      </w:r>
    </w:p>
    <w:p w:rsidR="00C1698E" w:rsidRPr="006F4E41" w:rsidRDefault="00C1698E" w:rsidP="00C1698E">
      <w:pPr>
        <w:spacing w:before="60" w:after="0"/>
        <w:rPr>
          <w:color w:val="000000" w:themeColor="text1"/>
          <w:sz w:val="20"/>
          <w:szCs w:val="20"/>
          <w:lang w:val="lt-LT"/>
        </w:rPr>
      </w:pPr>
      <w:r w:rsidRPr="009D23EF">
        <w:rPr>
          <w:color w:val="000000" w:themeColor="text1"/>
          <w:sz w:val="20"/>
          <w:szCs w:val="20"/>
          <w:lang w:val="lt-LT"/>
        </w:rPr>
        <w:t>Naudoti ekonometriniai modeliai (SVAR bei VECM)</w:t>
      </w:r>
      <w:r>
        <w:rPr>
          <w:color w:val="000000" w:themeColor="text1"/>
          <w:sz w:val="20"/>
          <w:szCs w:val="20"/>
          <w:lang w:val="lt-LT"/>
        </w:rPr>
        <w:t>,</w:t>
      </w:r>
      <w:r w:rsidRPr="009D23EF">
        <w:rPr>
          <w:color w:val="000000" w:themeColor="text1"/>
          <w:sz w:val="20"/>
          <w:szCs w:val="20"/>
          <w:lang w:val="lt-LT"/>
        </w:rPr>
        <w:t xml:space="preserve"> skirti nustatyti, kokį poveikį ES investuotos lėšos turėjo biokuro panaudojimo apimčių bei energijos vartojimo pokyčiams. Skaičiuojama, jog ES investicijos į biokuro panaudojimo energijos gamyb</w:t>
      </w:r>
      <w:r>
        <w:rPr>
          <w:color w:val="000000" w:themeColor="text1"/>
          <w:sz w:val="20"/>
          <w:szCs w:val="20"/>
          <w:lang w:val="lt-LT"/>
        </w:rPr>
        <w:t>ai</w:t>
      </w:r>
      <w:r w:rsidRPr="009D23EF">
        <w:rPr>
          <w:color w:val="000000" w:themeColor="text1"/>
          <w:sz w:val="20"/>
          <w:szCs w:val="20"/>
          <w:lang w:val="lt-LT"/>
        </w:rPr>
        <w:t xml:space="preserve"> plėtrą lėmė ekonominę naudą ‒ 1 investuotas euras sukūrė 0,001 tne biokuro panaudojimo apimčių padidėjimą per metus (iš viso AEI plėtrai buvo skirta 88,667 mln. Eur, </w:t>
      </w:r>
      <w:r w:rsidRPr="00066A51">
        <w:rPr>
          <w:color w:val="000000" w:themeColor="text1"/>
          <w:sz w:val="20"/>
          <w:szCs w:val="20"/>
          <w:lang w:val="lt-LT"/>
        </w:rPr>
        <w:t>tod</w:t>
      </w:r>
      <w:r w:rsidRPr="009D23EF">
        <w:rPr>
          <w:color w:val="000000" w:themeColor="text1"/>
          <w:sz w:val="20"/>
          <w:szCs w:val="20"/>
          <w:lang w:val="lt-LT"/>
        </w:rPr>
        <w:t xml:space="preserve">ėl skaičiuojama, jog bendras biokuro apimčių padidėjimas turėtų siekti apie 88,67 tūkst. tne). Daroma išvada, jog biokuras didžiąja dalimi pakeitė </w:t>
      </w:r>
      <w:r w:rsidRPr="006F4E41">
        <w:rPr>
          <w:color w:val="000000" w:themeColor="text1"/>
          <w:sz w:val="20"/>
          <w:szCs w:val="20"/>
          <w:lang w:val="lt-LT"/>
        </w:rPr>
        <w:t>gamtines dujas šilumos energijos gamybos rinkoje</w:t>
      </w:r>
      <w:r>
        <w:rPr>
          <w:color w:val="000000" w:themeColor="text1"/>
          <w:sz w:val="20"/>
          <w:szCs w:val="20"/>
          <w:lang w:val="lt-LT"/>
        </w:rPr>
        <w:t xml:space="preserve"> ir</w:t>
      </w:r>
      <w:r w:rsidRPr="006F4E41">
        <w:rPr>
          <w:color w:val="000000" w:themeColor="text1"/>
          <w:sz w:val="20"/>
          <w:szCs w:val="20"/>
          <w:lang w:val="lt-LT"/>
        </w:rPr>
        <w:t xml:space="preserve"> suk</w:t>
      </w:r>
      <w:r>
        <w:rPr>
          <w:color w:val="000000" w:themeColor="text1"/>
          <w:sz w:val="20"/>
          <w:szCs w:val="20"/>
          <w:lang w:val="lt-LT"/>
        </w:rPr>
        <w:t>ū</w:t>
      </w:r>
      <w:r w:rsidRPr="006F4E41">
        <w:rPr>
          <w:color w:val="000000" w:themeColor="text1"/>
          <w:sz w:val="20"/>
          <w:szCs w:val="20"/>
          <w:lang w:val="lt-LT"/>
        </w:rPr>
        <w:t>r</w:t>
      </w:r>
      <w:r>
        <w:rPr>
          <w:color w:val="000000" w:themeColor="text1"/>
          <w:sz w:val="20"/>
          <w:szCs w:val="20"/>
          <w:lang w:val="lt-LT"/>
        </w:rPr>
        <w:t>ė</w:t>
      </w:r>
      <w:r w:rsidRPr="006F4E41">
        <w:rPr>
          <w:color w:val="000000" w:themeColor="text1"/>
          <w:sz w:val="20"/>
          <w:szCs w:val="20"/>
          <w:lang w:val="lt-LT"/>
        </w:rPr>
        <w:t xml:space="preserve"> ekonominę naudą vartotojams (</w:t>
      </w:r>
      <w:r w:rsidRPr="006F4E41">
        <w:rPr>
          <w:rFonts w:ascii="Calibri" w:eastAsia="Times New Roman" w:hAnsi="Calibri" w:cs="Times New Roman"/>
          <w:color w:val="000000" w:themeColor="text1"/>
          <w:sz w:val="20"/>
          <w:szCs w:val="20"/>
          <w:lang w:val="lt-LT" w:eastAsia="lt-LT"/>
        </w:rPr>
        <w:t>563,651 mln. Eur</w:t>
      </w:r>
      <w:r w:rsidRPr="006F4E41">
        <w:rPr>
          <w:color w:val="000000" w:themeColor="text1"/>
          <w:sz w:val="20"/>
          <w:szCs w:val="20"/>
          <w:lang w:val="lt-LT"/>
        </w:rPr>
        <w:t xml:space="preserve">). </w:t>
      </w:r>
    </w:p>
    <w:p w:rsidR="00C1698E" w:rsidRPr="009D23EF" w:rsidRDefault="00C1698E" w:rsidP="00C1698E">
      <w:pPr>
        <w:spacing w:before="60" w:after="60"/>
        <w:rPr>
          <w:color w:val="000000" w:themeColor="text1"/>
          <w:sz w:val="20"/>
          <w:szCs w:val="20"/>
          <w:lang w:val="lt-LT"/>
        </w:rPr>
      </w:pPr>
      <w:r w:rsidRPr="006F4E41">
        <w:rPr>
          <w:color w:val="000000" w:themeColor="text1"/>
          <w:sz w:val="20"/>
          <w:szCs w:val="20"/>
          <w:lang w:val="lt-LT"/>
        </w:rPr>
        <w:t>Įvertinus šiluminės energijos suvartojimo pokyčius (nuo 7 965,9 GWh 2007 m. iki 6 857,4 GWh 2015 m.), nustatyta, jog ES struktūrinės lėšos, investuotos į pastatų renovaciją, turi kaupiamąjį efektą, t.</w:t>
      </w:r>
      <w:r>
        <w:rPr>
          <w:color w:val="000000" w:themeColor="text1"/>
          <w:sz w:val="20"/>
          <w:szCs w:val="20"/>
          <w:lang w:val="lt-LT"/>
        </w:rPr>
        <w:t xml:space="preserve"> </w:t>
      </w:r>
      <w:r w:rsidRPr="006F4E41">
        <w:rPr>
          <w:color w:val="000000" w:themeColor="text1"/>
          <w:sz w:val="20"/>
          <w:szCs w:val="20"/>
          <w:lang w:val="lt-LT"/>
        </w:rPr>
        <w:t>y. investuoti pinigai poveikį gali turėti ir trumpalaikėje (esamu laikotarpiu), ir ilgalaikėje (po 10-ies metų) perspektyvose. Per 2007‒2013 m. laikotarpį investuotos ES lėšos turi išliekamąjį poveikį ir sukuria ekonominę naudą ‒ investuotos lėšos statistiškai reikšmingai koreliuoja su suvartojamu energijos kiekiu. Atsižvelgiant į tai, kad poveikis nėra trumpalaikis, o investicijos prisideda prie didėjančio energijos vartojimo efektyvumo, vertinama, jog tikslingos investicijos į pastatų renovaciją turi reikšming</w:t>
      </w:r>
      <w:r>
        <w:rPr>
          <w:color w:val="000000" w:themeColor="text1"/>
          <w:sz w:val="20"/>
          <w:szCs w:val="20"/>
          <w:lang w:val="lt-LT"/>
        </w:rPr>
        <w:t>os</w:t>
      </w:r>
      <w:r w:rsidRPr="006F4E41">
        <w:rPr>
          <w:color w:val="000000" w:themeColor="text1"/>
          <w:sz w:val="20"/>
          <w:szCs w:val="20"/>
          <w:lang w:val="lt-LT"/>
        </w:rPr>
        <w:t xml:space="preserve"> įtak</w:t>
      </w:r>
      <w:r>
        <w:rPr>
          <w:color w:val="000000" w:themeColor="text1"/>
          <w:sz w:val="20"/>
          <w:szCs w:val="20"/>
          <w:lang w:val="lt-LT"/>
        </w:rPr>
        <w:t>os</w:t>
      </w:r>
      <w:r w:rsidRPr="006F4E41">
        <w:rPr>
          <w:color w:val="000000" w:themeColor="text1"/>
          <w:sz w:val="20"/>
          <w:szCs w:val="20"/>
          <w:lang w:val="lt-LT"/>
        </w:rPr>
        <w:t xml:space="preserve"> šiluminės energijos vartojimo mažėjimui, lemianči</w:t>
      </w:r>
      <w:r>
        <w:rPr>
          <w:color w:val="000000" w:themeColor="text1"/>
          <w:sz w:val="20"/>
          <w:szCs w:val="20"/>
          <w:lang w:val="lt-LT"/>
        </w:rPr>
        <w:t>os</w:t>
      </w:r>
      <w:r w:rsidRPr="006F4E41">
        <w:rPr>
          <w:color w:val="000000" w:themeColor="text1"/>
          <w:sz w:val="20"/>
          <w:szCs w:val="20"/>
          <w:lang w:val="lt-LT"/>
        </w:rPr>
        <w:t xml:space="preserve"> ekonominę naudą (sukurta ekonominė nauda siekia </w:t>
      </w:r>
      <w:r w:rsidRPr="006F4E41">
        <w:rPr>
          <w:rFonts w:ascii="Calibri" w:eastAsia="Times New Roman" w:hAnsi="Calibri" w:cs="Times New Roman"/>
          <w:bCs w:val="0"/>
          <w:color w:val="000000" w:themeColor="text1"/>
          <w:sz w:val="20"/>
          <w:szCs w:val="20"/>
          <w:lang w:val="lt-LT" w:eastAsia="lt-LT"/>
        </w:rPr>
        <w:t>107,198 mln. Eur)</w:t>
      </w:r>
      <w:r w:rsidRPr="006F4E41">
        <w:rPr>
          <w:color w:val="000000" w:themeColor="text1"/>
          <w:sz w:val="20"/>
          <w:szCs w:val="20"/>
          <w:lang w:val="lt-LT"/>
        </w:rPr>
        <w:t>.</w:t>
      </w:r>
      <w:r w:rsidRPr="009D23EF">
        <w:rPr>
          <w:color w:val="000000" w:themeColor="text1"/>
          <w:sz w:val="20"/>
          <w:szCs w:val="20"/>
          <w:lang w:val="lt-LT"/>
        </w:rPr>
        <w:t xml:space="preserve"> </w:t>
      </w:r>
    </w:p>
    <w:p w:rsidR="00C1698E" w:rsidRPr="009D23EF" w:rsidRDefault="00C1698E" w:rsidP="00C1698E">
      <w:pPr>
        <w:spacing w:before="60" w:after="60"/>
        <w:rPr>
          <w:color w:val="000000" w:themeColor="text1"/>
          <w:sz w:val="20"/>
          <w:szCs w:val="20"/>
          <w:lang w:val="lt-LT"/>
        </w:rPr>
      </w:pPr>
      <w:r w:rsidRPr="009D23EF">
        <w:rPr>
          <w:color w:val="000000" w:themeColor="text1"/>
          <w:sz w:val="20"/>
          <w:szCs w:val="20"/>
          <w:lang w:val="lt-LT"/>
        </w:rPr>
        <w:t xml:space="preserve">Išlaidų pastatų šildymui mažėjimą taip pat lėmė CŠT sistemų modernizavimas keičiant vamzdynus. Visgi šis poveikis pasireiškė siauresniam mastui – tik CŠT naudotojams. </w:t>
      </w:r>
    </w:p>
    <w:p w:rsidR="00C1698E" w:rsidRPr="009D23EF" w:rsidRDefault="00C1698E" w:rsidP="00C1698E">
      <w:pPr>
        <w:spacing w:before="60" w:after="60"/>
        <w:rPr>
          <w:color w:val="000000" w:themeColor="text1"/>
          <w:sz w:val="20"/>
          <w:szCs w:val="20"/>
          <w:lang w:val="lt-LT"/>
        </w:rPr>
      </w:pPr>
      <w:r w:rsidRPr="009D23EF">
        <w:rPr>
          <w:color w:val="000000" w:themeColor="text1"/>
          <w:sz w:val="20"/>
          <w:szCs w:val="20"/>
          <w:lang w:val="lt-LT"/>
        </w:rPr>
        <w:t>Energijos tiekimo elektros energijos skirstymo ir perdavimo sistemų modernizavimas suteikė galimybes vartotojams patikimiau gauti elektros energiją. Skirstymo sistemoje vidutinė elektros energijos tiekimo nutraukimų trukmė 2008‒2015 m. (SAIDI) vidutiniškai kasmet mažėjo 7,8 proc., perdavimo sistemoje 2010‒2015 m. mažėjimas siekė 13,7 proc.</w:t>
      </w:r>
    </w:p>
    <w:p w:rsidR="00C1698E" w:rsidRPr="003B5AC5" w:rsidRDefault="00C1698E" w:rsidP="00C1698E">
      <w:pPr>
        <w:rPr>
          <w:b/>
          <w:lang w:val="lt-LT"/>
        </w:rPr>
      </w:pPr>
      <w:r w:rsidRPr="003B5AC5">
        <w:rPr>
          <w:b/>
          <w:sz w:val="20"/>
          <w:lang w:val="lt-LT"/>
        </w:rPr>
        <w:t>Pokyčiai po 2007‒2013 m. energetikos srities plėtros ir energijos vartojimo efektyvumo didinimo priemonių įgyvendinimo</w:t>
      </w:r>
      <w:r w:rsidRPr="003B5AC5">
        <w:rPr>
          <w:b/>
          <w:lang w:val="lt-LT"/>
        </w:rPr>
        <w:t xml:space="preserve"> </w:t>
      </w:r>
    </w:p>
    <w:p w:rsidR="00C1698E" w:rsidRPr="009D23EF" w:rsidRDefault="00C1698E" w:rsidP="00C1698E">
      <w:pPr>
        <w:pStyle w:val="Bullet"/>
        <w:numPr>
          <w:ilvl w:val="0"/>
          <w:numId w:val="0"/>
        </w:numPr>
        <w:spacing w:before="120" w:after="0"/>
        <w:rPr>
          <w:rFonts w:cstheme="minorHAnsi"/>
          <w:color w:val="auto"/>
          <w:sz w:val="20"/>
          <w:szCs w:val="20"/>
          <w:lang w:val="lt-LT"/>
        </w:rPr>
      </w:pPr>
      <w:r w:rsidRPr="009D23EF">
        <w:rPr>
          <w:rFonts w:cstheme="minorHAnsi"/>
          <w:color w:val="auto"/>
          <w:sz w:val="20"/>
          <w:szCs w:val="20"/>
          <w:lang w:val="lt-LT"/>
        </w:rPr>
        <w:t>2007–2013 m. ES struktūrinės paramos lėšomis finansuotos energetikos srities ir energijos vartojimo efektyvumo didinimo priemonės lėmė šiuos pagrindinius pokyčius:</w:t>
      </w:r>
    </w:p>
    <w:p w:rsidR="00C1698E" w:rsidRPr="009D23EF" w:rsidRDefault="00C1698E" w:rsidP="00C1698E">
      <w:pPr>
        <w:pStyle w:val="Bullet"/>
        <w:rPr>
          <w:color w:val="auto"/>
          <w:sz w:val="20"/>
          <w:szCs w:val="20"/>
          <w:lang w:val="lt-LT"/>
        </w:rPr>
      </w:pPr>
      <w:r w:rsidRPr="009D23EF">
        <w:rPr>
          <w:color w:val="auto"/>
          <w:sz w:val="20"/>
          <w:szCs w:val="20"/>
          <w:lang w:val="lt-LT"/>
        </w:rPr>
        <w:t xml:space="preserve">Lietuvos dujų perdavimo sistemos </w:t>
      </w:r>
      <w:r>
        <w:rPr>
          <w:color w:val="auto"/>
          <w:sz w:val="20"/>
          <w:szCs w:val="20"/>
          <w:lang w:val="lt-LT"/>
        </w:rPr>
        <w:t>suž</w:t>
      </w:r>
      <w:r w:rsidRPr="009D23EF">
        <w:rPr>
          <w:color w:val="auto"/>
          <w:sz w:val="20"/>
          <w:szCs w:val="20"/>
          <w:lang w:val="lt-LT"/>
        </w:rPr>
        <w:t>iedijimas sukūrė prielaidas ilgalaikėje perspektyvoje užtikrinti alternatyvius gamtinių dujų šaltinius ir konkurencingą dujų rinką. Priemonės pagalba sukurtos prielaidos SGD terminal</w:t>
      </w:r>
      <w:r>
        <w:rPr>
          <w:color w:val="auto"/>
          <w:sz w:val="20"/>
          <w:szCs w:val="20"/>
          <w:lang w:val="lt-LT"/>
        </w:rPr>
        <w:t>ui</w:t>
      </w:r>
      <w:r w:rsidRPr="009D23EF">
        <w:rPr>
          <w:color w:val="auto"/>
          <w:sz w:val="20"/>
          <w:szCs w:val="20"/>
          <w:lang w:val="lt-LT"/>
        </w:rPr>
        <w:t xml:space="preserve"> prijung</w:t>
      </w:r>
      <w:r>
        <w:rPr>
          <w:color w:val="auto"/>
          <w:sz w:val="20"/>
          <w:szCs w:val="20"/>
          <w:lang w:val="lt-LT"/>
        </w:rPr>
        <w:t>t</w:t>
      </w:r>
      <w:r w:rsidRPr="009D23EF">
        <w:rPr>
          <w:color w:val="auto"/>
          <w:sz w:val="20"/>
          <w:szCs w:val="20"/>
          <w:lang w:val="lt-LT"/>
        </w:rPr>
        <w:t>i prie Lietuvos gamtinių dujų perdavimo sistemos.</w:t>
      </w:r>
    </w:p>
    <w:p w:rsidR="00C1698E" w:rsidRPr="00066A51" w:rsidRDefault="00C1698E" w:rsidP="00C1698E">
      <w:pPr>
        <w:pStyle w:val="Bullet"/>
        <w:rPr>
          <w:color w:val="auto"/>
          <w:sz w:val="20"/>
          <w:szCs w:val="20"/>
          <w:lang w:val="lt-LT"/>
        </w:rPr>
      </w:pPr>
      <w:r w:rsidRPr="009D23EF">
        <w:rPr>
          <w:color w:val="auto"/>
          <w:sz w:val="20"/>
          <w:szCs w:val="20"/>
          <w:lang w:val="lt-LT"/>
        </w:rPr>
        <w:lastRenderedPageBreak/>
        <w:t xml:space="preserve">Šilumos ūkyje biokuras reikšmingai pakeitė dujas, išvengta priklausomybės nuo vienintelio energijos tiekėjo. </w:t>
      </w:r>
    </w:p>
    <w:p w:rsidR="00C1698E" w:rsidRPr="009D23EF" w:rsidRDefault="00C1698E" w:rsidP="00C1698E">
      <w:pPr>
        <w:pStyle w:val="Bullet"/>
        <w:rPr>
          <w:color w:val="auto"/>
          <w:sz w:val="20"/>
          <w:szCs w:val="20"/>
        </w:rPr>
      </w:pPr>
      <w:r w:rsidRPr="00066A51">
        <w:rPr>
          <w:color w:val="auto"/>
          <w:sz w:val="20"/>
          <w:szCs w:val="20"/>
          <w:lang w:val="lt-LT"/>
        </w:rPr>
        <w:t xml:space="preserve">Energijos vartojimo efektyvumo padidėjimas. Atnaujinus 763 daugiabučius namus pagal JESSICA kontroliuojantįjį fondą, renovuotų daugiabučių energijos vartojimo efektyvumo padidėjimas siekia 67,3 proc. </w:t>
      </w:r>
      <w:r w:rsidRPr="009D23EF">
        <w:rPr>
          <w:color w:val="auto"/>
          <w:sz w:val="20"/>
          <w:szCs w:val="20"/>
        </w:rPr>
        <w:t>Atnaujinus viešosios paskirties pastatus</w:t>
      </w:r>
      <w:r>
        <w:rPr>
          <w:color w:val="auto"/>
          <w:sz w:val="20"/>
          <w:szCs w:val="20"/>
        </w:rPr>
        <w:t>,</w:t>
      </w:r>
      <w:r w:rsidRPr="009D23EF">
        <w:rPr>
          <w:color w:val="auto"/>
          <w:sz w:val="20"/>
          <w:szCs w:val="20"/>
        </w:rPr>
        <w:t xml:space="preserve"> energijos sutaupymai sudarė 279,22 GWh</w:t>
      </w:r>
      <w:r>
        <w:rPr>
          <w:color w:val="auto"/>
          <w:sz w:val="20"/>
          <w:szCs w:val="20"/>
        </w:rPr>
        <w:t>.</w:t>
      </w:r>
    </w:p>
    <w:p w:rsidR="00C1698E" w:rsidRPr="009D23EF" w:rsidRDefault="00C1698E" w:rsidP="00C1698E">
      <w:pPr>
        <w:pStyle w:val="Bullet"/>
        <w:spacing w:after="120"/>
        <w:ind w:left="714" w:hanging="357"/>
        <w:rPr>
          <w:sz w:val="20"/>
          <w:szCs w:val="20"/>
        </w:rPr>
      </w:pPr>
      <w:r w:rsidRPr="009D23EF">
        <w:rPr>
          <w:color w:val="auto"/>
          <w:sz w:val="20"/>
          <w:szCs w:val="20"/>
        </w:rPr>
        <w:t>Energijos perdavimo nuostolių sumažėjimas. Modernizavus šilumos trasas</w:t>
      </w:r>
      <w:r>
        <w:rPr>
          <w:color w:val="auto"/>
          <w:sz w:val="20"/>
          <w:szCs w:val="20"/>
        </w:rPr>
        <w:t>,</w:t>
      </w:r>
      <w:r w:rsidRPr="009D23EF">
        <w:rPr>
          <w:color w:val="auto"/>
          <w:sz w:val="20"/>
          <w:szCs w:val="20"/>
        </w:rPr>
        <w:t xml:space="preserve"> šiluminės energijos transportavimo nuostoliai buvo sumažinti 3,5 proc. Elektros energijos transportavimo nuostoliai sumažinti 3,23 proc.</w:t>
      </w:r>
    </w:p>
    <w:p w:rsidR="00C1698E" w:rsidRPr="003B5AC5" w:rsidRDefault="00C1698E" w:rsidP="00C1698E">
      <w:pPr>
        <w:rPr>
          <w:b/>
          <w:lang w:val="lt-LT"/>
        </w:rPr>
      </w:pPr>
      <w:r w:rsidRPr="003B5AC5">
        <w:rPr>
          <w:b/>
          <w:sz w:val="20"/>
          <w:lang w:val="lt-LT"/>
        </w:rPr>
        <w:t xml:space="preserve">2007‒2013 m. ES struktūrinės paramos lėšomis įgyvendintų projektų sukurto poveikio įtaka energetikos sektoriaus konkurencingumo didinimui </w:t>
      </w:r>
    </w:p>
    <w:p w:rsidR="00C1698E" w:rsidRPr="009D23EF" w:rsidRDefault="00C1698E" w:rsidP="00C1698E">
      <w:pPr>
        <w:spacing w:before="60" w:after="60"/>
        <w:rPr>
          <w:sz w:val="20"/>
          <w:szCs w:val="20"/>
          <w:lang w:val="lt-LT"/>
        </w:rPr>
      </w:pPr>
      <w:r w:rsidRPr="009D23EF">
        <w:rPr>
          <w:sz w:val="20"/>
          <w:szCs w:val="20"/>
          <w:lang w:val="lt-LT"/>
        </w:rPr>
        <w:t xml:space="preserve">Po 2007‒2013 m. ES struktūrinių lėšų finansavimo periodo pabaigos konkurencingumo situacija energetikos sektoriuje pakito ‒ gamtinių dujų biržų kiekis sumažintas iki vienos (UAB </w:t>
      </w:r>
      <w:r>
        <w:rPr>
          <w:sz w:val="20"/>
          <w:szCs w:val="20"/>
          <w:lang w:val="lt-LT"/>
        </w:rPr>
        <w:t>„</w:t>
      </w:r>
      <w:r w:rsidRPr="009D23EF">
        <w:rPr>
          <w:sz w:val="20"/>
          <w:szCs w:val="20"/>
          <w:lang w:val="lt-LT"/>
        </w:rPr>
        <w:t>Get Baltic</w:t>
      </w:r>
      <w:r>
        <w:rPr>
          <w:sz w:val="20"/>
          <w:szCs w:val="20"/>
          <w:lang w:val="lt-LT"/>
        </w:rPr>
        <w:t>“</w:t>
      </w:r>
      <w:r w:rsidRPr="009D23EF">
        <w:rPr>
          <w:sz w:val="20"/>
          <w:szCs w:val="20"/>
          <w:lang w:val="lt-LT"/>
        </w:rPr>
        <w:t>), atverta biokuro rinka, restruktūrizuotas elektros energijos skirstymo tinklas (UAB „Rytų skirstomieji tinklai“ ir UAB „VST“ tapo vienu skirstomųjų tinklų operatoriumi ‒ AB L</w:t>
      </w:r>
      <w:r>
        <w:rPr>
          <w:sz w:val="20"/>
          <w:szCs w:val="20"/>
          <w:lang w:val="lt-LT"/>
        </w:rPr>
        <w:t>ESTO</w:t>
      </w:r>
      <w:r w:rsidRPr="009D23EF">
        <w:rPr>
          <w:sz w:val="20"/>
          <w:szCs w:val="20"/>
          <w:lang w:val="lt-LT"/>
        </w:rPr>
        <w:t xml:space="preserve">), padidinta energijos tiekėjų diversifikacija. </w:t>
      </w:r>
    </w:p>
    <w:p w:rsidR="00C1698E" w:rsidRPr="009D23EF" w:rsidRDefault="00C1698E" w:rsidP="00C1698E">
      <w:pPr>
        <w:rPr>
          <w:sz w:val="20"/>
          <w:szCs w:val="20"/>
          <w:lang w:val="lt-LT"/>
        </w:rPr>
      </w:pPr>
      <w:r w:rsidRPr="009D23EF">
        <w:rPr>
          <w:sz w:val="20"/>
          <w:szCs w:val="20"/>
          <w:lang w:val="lt-LT"/>
        </w:rPr>
        <w:t>ES investicijos labiausiai prisidėjo prie šilumos gamybos rinkos konkurencingumo (sumažėjo rinkos koncentracija). Nors elektros ir dujų sektoriuose konkurencingumas išaugo, į šio vertinimo apimtį patenkančios investicijos tiesioginės įtakos neturėjo, atsižvelgiant į mažą jų dalį bendrame energetikos sektoriui skirtų ES struktūrinių fondų lėšų kontekste</w:t>
      </w:r>
      <w:r>
        <w:rPr>
          <w:sz w:val="20"/>
          <w:szCs w:val="20"/>
          <w:lang w:val="lt-LT"/>
        </w:rPr>
        <w:t>,</w:t>
      </w:r>
      <w:r w:rsidRPr="009D23EF">
        <w:rPr>
          <w:sz w:val="20"/>
          <w:szCs w:val="20"/>
          <w:lang w:val="lt-LT"/>
        </w:rPr>
        <w:t xml:space="preserve"> ‒ dujų ūkiui ‒ 12,02 proc., elektros ūkiui ‒ 6,0 proc.).</w:t>
      </w:r>
    </w:p>
    <w:p w:rsidR="00C1698E" w:rsidRPr="009D23EF" w:rsidRDefault="00C1698E" w:rsidP="00C1698E">
      <w:pPr>
        <w:rPr>
          <w:b/>
          <w:sz w:val="20"/>
          <w:szCs w:val="20"/>
          <w:lang w:val="lt-LT"/>
        </w:rPr>
      </w:pPr>
      <w:bookmarkStart w:id="2" w:name="_Toc483484576"/>
      <w:r w:rsidRPr="009D23EF">
        <w:rPr>
          <w:b/>
          <w:sz w:val="20"/>
          <w:szCs w:val="20"/>
          <w:lang w:val="lt-LT"/>
        </w:rPr>
        <w:t>2007‒2013 m. ES struktūrinės paramos lėšomis įgyvendintų projektų sukurto poveikio įtaka galutinei energijos kainai</w:t>
      </w:r>
      <w:bookmarkEnd w:id="2"/>
    </w:p>
    <w:p w:rsidR="00C1698E" w:rsidRPr="009D23EF" w:rsidRDefault="00C1698E" w:rsidP="00C1698E">
      <w:pPr>
        <w:spacing w:before="60" w:after="60"/>
        <w:rPr>
          <w:sz w:val="20"/>
          <w:szCs w:val="20"/>
          <w:lang w:val="lt-LT"/>
        </w:rPr>
      </w:pPr>
      <w:r w:rsidRPr="009D23EF">
        <w:rPr>
          <w:sz w:val="20"/>
          <w:szCs w:val="20"/>
          <w:lang w:val="lt-LT"/>
        </w:rPr>
        <w:t>Didelę įtaką šilumos kainų mažėjimui turėjo perėjimas prie biokuro šilumos energijos gamybo</w:t>
      </w:r>
      <w:r>
        <w:rPr>
          <w:sz w:val="20"/>
          <w:szCs w:val="20"/>
          <w:lang w:val="lt-LT"/>
        </w:rPr>
        <w:t>s</w:t>
      </w:r>
      <w:r w:rsidRPr="009D23EF">
        <w:rPr>
          <w:sz w:val="20"/>
          <w:szCs w:val="20"/>
          <w:lang w:val="lt-LT"/>
        </w:rPr>
        <w:t xml:space="preserve"> ‒ skaičiuojama, jei šilumos energijos gamybai naudojamo kuro santykis būtų likęs toks pat kaip 2007 m. (77,7 proc. gamtinės dujos, 16,2 proc. ‒ biokuras)</w:t>
      </w:r>
      <w:r>
        <w:rPr>
          <w:sz w:val="20"/>
          <w:szCs w:val="20"/>
          <w:lang w:val="lt-LT"/>
        </w:rPr>
        <w:t>,</w:t>
      </w:r>
      <w:r w:rsidRPr="009D23EF">
        <w:rPr>
          <w:sz w:val="20"/>
          <w:szCs w:val="20"/>
          <w:lang w:val="lt-LT"/>
        </w:rPr>
        <w:t xml:space="preserve"> šilumos kainos vartotojams padidėjimas galėtų siekti iki 57,2 proc. </w:t>
      </w:r>
    </w:p>
    <w:p w:rsidR="00C1698E" w:rsidRPr="003527B9" w:rsidRDefault="00C1698E" w:rsidP="00C1698E">
      <w:pPr>
        <w:spacing w:before="60"/>
        <w:rPr>
          <w:color w:val="000000" w:themeColor="text1"/>
          <w:sz w:val="20"/>
          <w:szCs w:val="20"/>
          <w:lang w:val="lt-LT"/>
        </w:rPr>
      </w:pPr>
      <w:r w:rsidRPr="003527B9">
        <w:rPr>
          <w:color w:val="000000" w:themeColor="text1"/>
          <w:sz w:val="20"/>
          <w:szCs w:val="20"/>
          <w:lang w:val="lt-LT"/>
        </w:rPr>
        <w:t xml:space="preserve">Elektros kainos pokyčiams vartotojams didesnę įtaką turėjo IAE uždarymas, lėmęs, jog elektros energijos importo poreikis sudarė beveik 50 proc. galutinės elektros energijos kainos. </w:t>
      </w:r>
      <w:r>
        <w:rPr>
          <w:color w:val="000000" w:themeColor="text1"/>
          <w:sz w:val="20"/>
          <w:szCs w:val="20"/>
          <w:lang w:val="lt-LT"/>
        </w:rPr>
        <w:t xml:space="preserve">Pažymėtina, jog </w:t>
      </w:r>
      <w:r w:rsidRPr="003527B9">
        <w:rPr>
          <w:color w:val="000000" w:themeColor="text1"/>
          <w:sz w:val="20"/>
          <w:szCs w:val="20"/>
          <w:lang w:val="lt-LT"/>
        </w:rPr>
        <w:t>ES investicijos sudarė 4,79 proc. visų investicijų</w:t>
      </w:r>
      <w:r>
        <w:rPr>
          <w:color w:val="000000" w:themeColor="text1"/>
          <w:sz w:val="20"/>
          <w:szCs w:val="20"/>
          <w:lang w:val="lt-LT"/>
        </w:rPr>
        <w:t>,</w:t>
      </w:r>
      <w:r w:rsidRPr="003527B9">
        <w:rPr>
          <w:color w:val="000000" w:themeColor="text1"/>
          <w:sz w:val="20"/>
          <w:szCs w:val="20"/>
          <w:lang w:val="lt-LT"/>
        </w:rPr>
        <w:t xml:space="preserve"> skirtų elektros energijos sektoriui 2007‒2013 m. laikotarpiu, taigi šiuo dydžiu netiesiogiai lemtas kainos nepadidėjimas ir vartotojams (nepadidinta, palyginti su atveju, jei investicijos būtų iš pačių įmonių). </w:t>
      </w:r>
    </w:p>
    <w:p w:rsidR="00C1698E" w:rsidRPr="009D23EF" w:rsidRDefault="00C1698E" w:rsidP="00C1698E">
      <w:pPr>
        <w:rPr>
          <w:b/>
          <w:sz w:val="20"/>
          <w:szCs w:val="20"/>
          <w:lang w:val="lt-LT"/>
        </w:rPr>
      </w:pPr>
      <w:r w:rsidRPr="009D23EF">
        <w:rPr>
          <w:b/>
          <w:sz w:val="20"/>
          <w:szCs w:val="20"/>
          <w:lang w:val="lt-LT"/>
        </w:rPr>
        <w:t>2007‒2013 m. laikotarpio pamokos</w:t>
      </w:r>
    </w:p>
    <w:p w:rsidR="00C1698E" w:rsidRPr="009D23EF" w:rsidRDefault="00C1698E" w:rsidP="00C1698E">
      <w:pPr>
        <w:pStyle w:val="Bullet"/>
        <w:rPr>
          <w:sz w:val="20"/>
          <w:szCs w:val="20"/>
          <w:lang w:val="lt-LT"/>
        </w:rPr>
      </w:pPr>
      <w:r w:rsidRPr="009D23EF">
        <w:rPr>
          <w:sz w:val="20"/>
          <w:szCs w:val="20"/>
          <w:lang w:val="lt-LT"/>
        </w:rPr>
        <w:t xml:space="preserve">Kompleksiškumo </w:t>
      </w:r>
      <w:r w:rsidRPr="003527B9">
        <w:rPr>
          <w:sz w:val="20"/>
          <w:szCs w:val="20"/>
          <w:lang w:val="lt-LT"/>
        </w:rPr>
        <w:t>užtikrinimas energijos vartojimo efektyvumo sritye (pastatų ūkyje) – svarbu, kad planuojamos priemonės viena kitą papildytų, o papildančių priemonių įgyvendinmas techniniu požiūriu vykt</w:t>
      </w:r>
      <w:r>
        <w:rPr>
          <w:sz w:val="20"/>
          <w:szCs w:val="20"/>
          <w:lang w:val="lt-LT"/>
        </w:rPr>
        <w:t>ų</w:t>
      </w:r>
      <w:r w:rsidRPr="003527B9">
        <w:rPr>
          <w:sz w:val="20"/>
          <w:szCs w:val="20"/>
          <w:lang w:val="lt-LT"/>
        </w:rPr>
        <w:t xml:space="preserve"> tuo </w:t>
      </w:r>
      <w:r>
        <w:rPr>
          <w:sz w:val="20"/>
          <w:szCs w:val="20"/>
          <w:lang w:val="lt-LT"/>
        </w:rPr>
        <w:t>p</w:t>
      </w:r>
      <w:r w:rsidRPr="003527B9">
        <w:rPr>
          <w:sz w:val="20"/>
          <w:szCs w:val="20"/>
          <w:lang w:val="lt-LT"/>
        </w:rPr>
        <w:t>ačiu metu tam pačiam objektui.</w:t>
      </w:r>
    </w:p>
    <w:p w:rsidR="00C1698E" w:rsidRPr="009D23EF" w:rsidRDefault="00C1698E" w:rsidP="00C1698E">
      <w:pPr>
        <w:pStyle w:val="Bullet"/>
        <w:rPr>
          <w:sz w:val="20"/>
          <w:szCs w:val="20"/>
          <w:lang w:val="lt-LT"/>
        </w:rPr>
      </w:pPr>
      <w:r w:rsidRPr="009D23EF">
        <w:rPr>
          <w:sz w:val="20"/>
          <w:szCs w:val="20"/>
          <w:lang w:val="lt-LT"/>
        </w:rPr>
        <w:t>Potencialo įvertinimas – svarbu, kad planuojant šilumos perdavimo (CŠT) ir gamybos pajėgumus, būtų įvertinami ir šilumos vartojimo potencialo pokyčiai, siejami su pastatų renovacijos procesais.</w:t>
      </w:r>
    </w:p>
    <w:p w:rsidR="00C1698E" w:rsidRPr="009D23EF" w:rsidRDefault="00C1698E" w:rsidP="00C1698E">
      <w:pPr>
        <w:pStyle w:val="Bullet"/>
        <w:rPr>
          <w:sz w:val="20"/>
          <w:szCs w:val="20"/>
          <w:lang w:val="lt-LT"/>
        </w:rPr>
      </w:pPr>
      <w:r w:rsidRPr="009D23EF">
        <w:rPr>
          <w:sz w:val="20"/>
          <w:szCs w:val="20"/>
          <w:lang w:val="lt-LT"/>
        </w:rPr>
        <w:t>Energijos vartojimo efektyvumo kriterijų ir rodiklių taikymas pastatų ūkio priemonėms – svarbu, kad energijos vartojimo efektyvumo priemonių įgyvendinimas siekiant kitokių pirminių tikslų (pvz.</w:t>
      </w:r>
      <w:r>
        <w:rPr>
          <w:sz w:val="20"/>
          <w:szCs w:val="20"/>
          <w:lang w:val="lt-LT"/>
        </w:rPr>
        <w:t>,</w:t>
      </w:r>
      <w:r w:rsidRPr="009D23EF">
        <w:rPr>
          <w:sz w:val="20"/>
          <w:szCs w:val="20"/>
          <w:lang w:val="lt-LT"/>
        </w:rPr>
        <w:t xml:space="preserve"> regioninės politikos įgyvendinimo) būtų vykdomas taikant visoms techniniu požiūriu panašioms priemonėms (pastatų renovavimui) tuos pačius atrankos kriterijus (finansuojant didžiausius energijos sutaupymus lemiančius projektus) ir matuojant tais pačiais rodikliais. </w:t>
      </w:r>
    </w:p>
    <w:p w:rsidR="00C1698E" w:rsidRPr="009D23EF" w:rsidRDefault="00C1698E" w:rsidP="00C1698E">
      <w:pPr>
        <w:pStyle w:val="Bullet"/>
        <w:rPr>
          <w:sz w:val="20"/>
          <w:szCs w:val="20"/>
          <w:lang w:val="lt-LT"/>
        </w:rPr>
      </w:pPr>
      <w:r w:rsidRPr="009D23EF">
        <w:rPr>
          <w:sz w:val="20"/>
          <w:szCs w:val="20"/>
          <w:lang w:val="lt-LT"/>
        </w:rPr>
        <w:t>Energijos efektyvumo priemonių naudojimas minimaliems higienos reikalavimams pasiekti – svarbu įvertinti, kad dalis energijos efektyvumo priemonių realių finansinių sutaupymų projektų vykdytojams gali negeneruoti, o pastatų apšiltinimas tik užtikrina higienos reikalavimų pasiekimą. Esant tik skaičiuotinam, o ne faktin</w:t>
      </w:r>
      <w:r>
        <w:rPr>
          <w:sz w:val="20"/>
          <w:szCs w:val="20"/>
          <w:lang w:val="lt-LT"/>
        </w:rPr>
        <w:t>i</w:t>
      </w:r>
      <w:r w:rsidRPr="009D23EF">
        <w:rPr>
          <w:sz w:val="20"/>
          <w:szCs w:val="20"/>
          <w:lang w:val="lt-LT"/>
        </w:rPr>
        <w:t xml:space="preserve">am sutaupymui – finansų inžinerijos priemonės taikymas ir energijos taupymo paslaugų teikėjo (ETPT įmonės) pritraukimas būtų sunkiai įgyvendinamas. Tai aktualu ne tik pastatų ūkyje, bet ir viešųjų erdvių, gatvių apšvietimo ūkyje (kuris yra remiamas 2014–2020 m. programavimo periode). </w:t>
      </w:r>
    </w:p>
    <w:p w:rsidR="00C1698E" w:rsidRPr="009D23EF" w:rsidRDefault="00C1698E" w:rsidP="00C1698E">
      <w:pPr>
        <w:pStyle w:val="Bullet"/>
        <w:rPr>
          <w:sz w:val="20"/>
          <w:szCs w:val="20"/>
          <w:lang w:val="lt-LT"/>
        </w:rPr>
      </w:pPr>
      <w:r w:rsidRPr="009D23EF">
        <w:rPr>
          <w:sz w:val="20"/>
          <w:szCs w:val="20"/>
          <w:lang w:val="lt-LT"/>
        </w:rPr>
        <w:t xml:space="preserve">Rodiklių planavimas ir rodiklių duomenų informacija ‒ planuojant rodiklius svarbu užtikrinti, kad informacija apie rodiklį yra ir bus renkama, o rodiklių aktualios reikšmės bus atnaujinamos ES struktūrinės paramos kompiuterinėje informacinėje valdymo ir priežiūros sistemoje (SFMIS). </w:t>
      </w:r>
    </w:p>
    <w:p w:rsidR="00C1698E" w:rsidRPr="003B5AC5" w:rsidRDefault="00C1698E" w:rsidP="00C1698E">
      <w:pPr>
        <w:pStyle w:val="Bullet"/>
        <w:rPr>
          <w:sz w:val="20"/>
          <w:szCs w:val="20"/>
          <w:lang w:val="lt-LT"/>
        </w:rPr>
      </w:pPr>
      <w:r w:rsidRPr="009D23EF">
        <w:rPr>
          <w:sz w:val="20"/>
          <w:szCs w:val="20"/>
          <w:lang w:val="lt-LT"/>
        </w:rPr>
        <w:lastRenderedPageBreak/>
        <w:t xml:space="preserve">Energijos vartojimo efektyvumo prioriteto užtikrinimas </w:t>
      </w:r>
      <w:r>
        <w:rPr>
          <w:sz w:val="20"/>
          <w:szCs w:val="20"/>
          <w:lang w:val="lt-LT"/>
        </w:rPr>
        <w:t xml:space="preserve">įgyvendinant </w:t>
      </w:r>
      <w:r w:rsidRPr="009D23EF">
        <w:rPr>
          <w:sz w:val="20"/>
          <w:szCs w:val="20"/>
          <w:lang w:val="lt-LT"/>
        </w:rPr>
        <w:t>regionin</w:t>
      </w:r>
      <w:r>
        <w:rPr>
          <w:sz w:val="20"/>
          <w:szCs w:val="20"/>
          <w:lang w:val="lt-LT"/>
        </w:rPr>
        <w:t>ę</w:t>
      </w:r>
      <w:r w:rsidRPr="009D23EF">
        <w:rPr>
          <w:sz w:val="20"/>
          <w:szCs w:val="20"/>
          <w:lang w:val="lt-LT"/>
        </w:rPr>
        <w:t xml:space="preserve"> politik</w:t>
      </w:r>
      <w:r>
        <w:rPr>
          <w:sz w:val="20"/>
          <w:szCs w:val="20"/>
          <w:lang w:val="lt-LT"/>
        </w:rPr>
        <w:t>ą</w:t>
      </w:r>
      <w:r w:rsidRPr="009D23EF">
        <w:rPr>
          <w:sz w:val="20"/>
          <w:szCs w:val="20"/>
          <w:lang w:val="lt-LT"/>
        </w:rPr>
        <w:t xml:space="preserve"> ‒ svarbu užtikrinti, kad regionų plėtros tarybos</w:t>
      </w:r>
      <w:r>
        <w:rPr>
          <w:sz w:val="20"/>
          <w:szCs w:val="20"/>
          <w:lang w:val="lt-LT"/>
        </w:rPr>
        <w:t>e</w:t>
      </w:r>
      <w:r w:rsidRPr="009D23EF">
        <w:rPr>
          <w:sz w:val="20"/>
          <w:szCs w:val="20"/>
          <w:lang w:val="lt-LT"/>
        </w:rPr>
        <w:t xml:space="preserve"> tvirtinant projektus</w:t>
      </w:r>
      <w:r>
        <w:rPr>
          <w:sz w:val="20"/>
          <w:szCs w:val="20"/>
          <w:lang w:val="lt-LT"/>
        </w:rPr>
        <w:t>,</w:t>
      </w:r>
      <w:r w:rsidRPr="009D23EF">
        <w:rPr>
          <w:sz w:val="20"/>
          <w:szCs w:val="20"/>
          <w:lang w:val="lt-LT"/>
        </w:rPr>
        <w:t xml:space="preserve"> įgyvendinamus pagal regioninio planavimo priemones, būtų laikomasi energetinio efektyvumo kriterijų.</w:t>
      </w:r>
    </w:p>
    <w:p w:rsidR="00C1698E" w:rsidRPr="009D23EF" w:rsidRDefault="00C1698E" w:rsidP="00C1698E">
      <w:pPr>
        <w:pStyle w:val="Bullet"/>
        <w:numPr>
          <w:ilvl w:val="0"/>
          <w:numId w:val="0"/>
        </w:numPr>
        <w:rPr>
          <w:b/>
          <w:sz w:val="20"/>
          <w:szCs w:val="20"/>
          <w:lang w:val="lt-LT"/>
        </w:rPr>
      </w:pPr>
      <w:r w:rsidRPr="009D23EF">
        <w:rPr>
          <w:b/>
          <w:sz w:val="20"/>
          <w:szCs w:val="20"/>
          <w:lang w:val="lt-LT"/>
        </w:rPr>
        <w:t>ES valstybių narių sektina praktika energetikos sektoriuje</w:t>
      </w:r>
    </w:p>
    <w:p w:rsidR="00C1698E" w:rsidRPr="009D23EF" w:rsidRDefault="00C1698E" w:rsidP="00C1698E">
      <w:pPr>
        <w:pStyle w:val="Bullet"/>
        <w:numPr>
          <w:ilvl w:val="0"/>
          <w:numId w:val="0"/>
        </w:numPr>
        <w:spacing w:before="60" w:after="0"/>
        <w:rPr>
          <w:sz w:val="20"/>
          <w:szCs w:val="20"/>
          <w:lang w:val="lt-LT"/>
        </w:rPr>
      </w:pPr>
      <w:r w:rsidRPr="009D23EF">
        <w:rPr>
          <w:sz w:val="20"/>
          <w:szCs w:val="20"/>
          <w:lang w:val="lt-LT"/>
        </w:rPr>
        <w:t>Išskiriamos sėkmingos praktikos, kurios gali būti pritaikomos ir Lietuvoje, įgyvendinant tolesnes priemones:</w:t>
      </w:r>
    </w:p>
    <w:p w:rsidR="00C1698E" w:rsidRPr="009D23EF" w:rsidRDefault="00C1698E" w:rsidP="00C1698E">
      <w:pPr>
        <w:pStyle w:val="Bullet"/>
        <w:spacing w:after="0"/>
        <w:ind w:left="714" w:hanging="357"/>
        <w:rPr>
          <w:sz w:val="20"/>
          <w:szCs w:val="20"/>
          <w:lang w:val="lt-LT"/>
        </w:rPr>
      </w:pPr>
      <w:r w:rsidRPr="009D23EF">
        <w:rPr>
          <w:b/>
          <w:color w:val="E7E6E6" w:themeColor="background2"/>
          <w:sz w:val="20"/>
          <w:szCs w:val="20"/>
          <w:lang w:val="lt-LT"/>
        </w:rPr>
        <w:t>Energetinio efektyvumo kriterijaus kaip horizontaliojo prioriteto išskyrimas</w:t>
      </w:r>
      <w:r w:rsidRPr="009D23EF">
        <w:rPr>
          <w:sz w:val="20"/>
          <w:szCs w:val="20"/>
          <w:lang w:val="lt-LT"/>
        </w:rPr>
        <w:t xml:space="preserve">. Tai lemtų energetinio efektyvumo užtikrinimą skirtingomis priemonėmis bei garantuotų visapusišką energijos vartojimo efektyvumo didinimą įgyvendinant ne vien energetikos sektoriaus priemones. Sėkmingas to pavyzdys ‒ Lenkija. Energetinio efektyvumo didinimas suteikia projektui daugiau balų atrankos procese, todėl skatina projektų vykdytojus užtikrinti šio rodiklio įgyvendinimą. </w:t>
      </w:r>
    </w:p>
    <w:p w:rsidR="00C1698E" w:rsidRPr="008E52D7" w:rsidRDefault="00C1698E" w:rsidP="00C1698E">
      <w:pPr>
        <w:pStyle w:val="Bullet"/>
        <w:spacing w:after="0"/>
        <w:ind w:left="714" w:hanging="357"/>
        <w:rPr>
          <w:sz w:val="20"/>
          <w:szCs w:val="20"/>
          <w:lang w:val="lt-LT"/>
        </w:rPr>
      </w:pPr>
      <w:r>
        <w:rPr>
          <w:b/>
          <w:color w:val="E7E6E6" w:themeColor="background2"/>
          <w:sz w:val="20"/>
          <w:szCs w:val="20"/>
          <w:lang w:val="lt-LT"/>
        </w:rPr>
        <w:t>Bendra</w:t>
      </w:r>
      <w:r w:rsidRPr="003527B9">
        <w:rPr>
          <w:b/>
          <w:color w:val="E7E6E6" w:themeColor="background2"/>
          <w:sz w:val="20"/>
          <w:szCs w:val="20"/>
          <w:lang w:val="lt-LT"/>
        </w:rPr>
        <w:t xml:space="preserve"> stebėsenos rodiklių sistema</w:t>
      </w:r>
      <w:r w:rsidRPr="003527B9">
        <w:rPr>
          <w:sz w:val="20"/>
          <w:szCs w:val="20"/>
          <w:lang w:val="lt-LT"/>
        </w:rPr>
        <w:t xml:space="preserve">. Tokios sistemos atsiradimą lemia tarpinstitucinis bendradarbiavimas, </w:t>
      </w:r>
      <w:r>
        <w:rPr>
          <w:sz w:val="20"/>
          <w:szCs w:val="20"/>
          <w:lang w:val="lt-LT"/>
        </w:rPr>
        <w:t>v</w:t>
      </w:r>
      <w:r w:rsidRPr="003527B9">
        <w:rPr>
          <w:sz w:val="20"/>
          <w:szCs w:val="20"/>
          <w:lang w:val="lt-LT"/>
        </w:rPr>
        <w:t xml:space="preserve">eiksmų programų prioritetų, o ne atskirų priemonių priskyrimas ministerijoms. Bendri rodikliai panašaus tipo priemonėms leistų palyginti priemones tarpusavyje ir taip tiksliau įvertinti jų sukuriamą naudą. Sistema, pritaikyta Estijoje, užtikrino priemonių valdymo funkcijų pasiskirstymą tarp ministerijų bei </w:t>
      </w:r>
      <w:r>
        <w:rPr>
          <w:sz w:val="20"/>
          <w:szCs w:val="20"/>
          <w:lang w:val="lt-LT"/>
        </w:rPr>
        <w:t>bendrą</w:t>
      </w:r>
      <w:r w:rsidRPr="003527B9">
        <w:rPr>
          <w:sz w:val="20"/>
          <w:szCs w:val="20"/>
          <w:lang w:val="lt-LT"/>
        </w:rPr>
        <w:t xml:space="preserve"> stebėsenos rodiklių sistemą.</w:t>
      </w:r>
    </w:p>
    <w:p w:rsidR="00C1698E" w:rsidRPr="00066A51" w:rsidRDefault="00C1698E" w:rsidP="00C1698E">
      <w:pPr>
        <w:rPr>
          <w:b/>
          <w:sz w:val="20"/>
          <w:szCs w:val="20"/>
          <w:lang w:val="lt-LT"/>
        </w:rPr>
      </w:pPr>
      <w:r w:rsidRPr="00066A51">
        <w:rPr>
          <w:b/>
          <w:sz w:val="20"/>
          <w:szCs w:val="20"/>
          <w:lang w:val="lt-LT"/>
        </w:rPr>
        <w:t>Rekomendacijos</w:t>
      </w:r>
    </w:p>
    <w:p w:rsidR="00C1698E" w:rsidRPr="00066A51" w:rsidRDefault="00C1698E" w:rsidP="00C1698E">
      <w:pPr>
        <w:rPr>
          <w:color w:val="000000" w:themeColor="text1"/>
          <w:sz w:val="20"/>
          <w:szCs w:val="20"/>
          <w:lang w:val="lt-LT"/>
        </w:rPr>
      </w:pPr>
      <w:r w:rsidRPr="00823B08">
        <w:rPr>
          <w:color w:val="000000" w:themeColor="text1"/>
          <w:sz w:val="20"/>
          <w:szCs w:val="20"/>
          <w:lang w:val="lt-LT"/>
        </w:rPr>
        <w:t>Strategini</w:t>
      </w:r>
      <w:r>
        <w:rPr>
          <w:color w:val="000000" w:themeColor="text1"/>
          <w:sz w:val="20"/>
          <w:szCs w:val="20"/>
          <w:lang w:val="lt-LT"/>
        </w:rPr>
        <w:t>ų</w:t>
      </w:r>
      <w:r w:rsidRPr="00823B08">
        <w:rPr>
          <w:color w:val="000000" w:themeColor="text1"/>
          <w:sz w:val="20"/>
          <w:szCs w:val="20"/>
          <w:lang w:val="lt-LT"/>
        </w:rPr>
        <w:t xml:space="preserve"> siūlymų kryptys 2014–2020 m. ES fondų investicijų energetikos srities ir energijos vartojimo efektyvumo didinimo srityse (</w:t>
      </w:r>
      <w:r>
        <w:rPr>
          <w:color w:val="000000" w:themeColor="text1"/>
          <w:sz w:val="20"/>
          <w:szCs w:val="20"/>
          <w:lang w:val="lt-LT"/>
        </w:rPr>
        <w:t>„</w:t>
      </w:r>
      <w:r w:rsidRPr="00823B08">
        <w:rPr>
          <w:color w:val="000000" w:themeColor="text1"/>
          <w:sz w:val="20"/>
          <w:szCs w:val="20"/>
          <w:lang w:val="lt-LT"/>
        </w:rPr>
        <w:t>Žinok tai</w:t>
      </w:r>
      <w:r>
        <w:rPr>
          <w:color w:val="000000" w:themeColor="text1"/>
          <w:sz w:val="20"/>
          <w:szCs w:val="20"/>
          <w:lang w:val="lt-LT"/>
        </w:rPr>
        <w:t>“</w:t>
      </w:r>
      <w:r w:rsidRPr="00823B08">
        <w:rPr>
          <w:color w:val="000000" w:themeColor="text1"/>
          <w:sz w:val="20"/>
          <w:szCs w:val="20"/>
          <w:lang w:val="lt-LT"/>
        </w:rPr>
        <w:t>):</w:t>
      </w:r>
    </w:p>
    <w:p w:rsidR="00C1698E" w:rsidRPr="003B5AC5" w:rsidRDefault="00C1698E" w:rsidP="00C1698E">
      <w:pPr>
        <w:pStyle w:val="ListParagraph"/>
        <w:numPr>
          <w:ilvl w:val="0"/>
          <w:numId w:val="3"/>
        </w:numPr>
        <w:tabs>
          <w:tab w:val="left" w:pos="3151"/>
        </w:tabs>
        <w:spacing w:before="60" w:after="60"/>
        <w:ind w:right="36"/>
        <w:rPr>
          <w:rFonts w:eastAsia="MS Gothic"/>
          <w:bCs w:val="0"/>
          <w:color w:val="auto"/>
          <w:sz w:val="20"/>
          <w:szCs w:val="20"/>
          <w:lang w:val="lt-LT" w:eastAsia="en-GB"/>
        </w:rPr>
      </w:pPr>
      <w:r w:rsidRPr="003B5AC5">
        <w:rPr>
          <w:rFonts w:eastAsia="MS Gothic"/>
          <w:bCs w:val="0"/>
          <w:color w:val="auto"/>
          <w:sz w:val="20"/>
          <w:szCs w:val="20"/>
          <w:lang w:val="lt-LT" w:eastAsia="en-GB"/>
        </w:rPr>
        <w:t>Priemonių tęstinumas energijos vartojimo efektyvumui didinti.</w:t>
      </w:r>
    </w:p>
    <w:p w:rsidR="00C1698E" w:rsidRPr="003B5AC5" w:rsidRDefault="00C1698E" w:rsidP="00C1698E">
      <w:pPr>
        <w:pStyle w:val="ListParagraph"/>
        <w:numPr>
          <w:ilvl w:val="0"/>
          <w:numId w:val="3"/>
        </w:numPr>
        <w:spacing w:before="60" w:after="60"/>
        <w:ind w:right="36"/>
        <w:rPr>
          <w:rFonts w:eastAsia="MS Gothic"/>
          <w:bCs w:val="0"/>
          <w:color w:val="auto"/>
          <w:sz w:val="20"/>
          <w:szCs w:val="20"/>
          <w:lang w:val="lt-LT" w:eastAsia="en-GB"/>
        </w:rPr>
      </w:pPr>
      <w:r w:rsidRPr="003B5AC5">
        <w:rPr>
          <w:rFonts w:eastAsia="MS Gothic"/>
          <w:bCs w:val="0"/>
          <w:color w:val="auto"/>
          <w:sz w:val="20"/>
          <w:szCs w:val="20"/>
          <w:lang w:val="lt-LT" w:eastAsia="en-GB"/>
        </w:rPr>
        <w:t>Finansavimo būdų tarpusavio derinimas.</w:t>
      </w:r>
    </w:p>
    <w:p w:rsidR="00C1698E" w:rsidRDefault="00C1698E" w:rsidP="00C1698E">
      <w:pPr>
        <w:pStyle w:val="ListParagraph"/>
        <w:numPr>
          <w:ilvl w:val="0"/>
          <w:numId w:val="3"/>
        </w:numPr>
        <w:spacing w:before="60" w:after="60"/>
        <w:rPr>
          <w:rFonts w:eastAsia="MS Gothic"/>
          <w:bCs w:val="0"/>
          <w:color w:val="auto"/>
          <w:sz w:val="20"/>
          <w:szCs w:val="20"/>
          <w:lang w:val="lt-LT" w:eastAsia="en-GB"/>
        </w:rPr>
      </w:pPr>
      <w:r w:rsidRPr="003B5AC5">
        <w:rPr>
          <w:rFonts w:eastAsia="MS Gothic"/>
          <w:bCs w:val="0"/>
          <w:color w:val="auto"/>
          <w:sz w:val="20"/>
          <w:szCs w:val="20"/>
          <w:lang w:val="lt-LT" w:eastAsia="en-GB"/>
        </w:rPr>
        <w:t>Tiesiogiai ir netiesiogiai pastatų renovavimą remiančių priemonių rodiklių nustatymas.</w:t>
      </w:r>
    </w:p>
    <w:p w:rsidR="00C1698E" w:rsidRPr="003B5AC5" w:rsidRDefault="00C1698E" w:rsidP="00C1698E">
      <w:pPr>
        <w:pStyle w:val="ListParagraph"/>
        <w:numPr>
          <w:ilvl w:val="0"/>
          <w:numId w:val="3"/>
        </w:numPr>
        <w:spacing w:before="60" w:after="60"/>
        <w:rPr>
          <w:rFonts w:eastAsia="MS Gothic"/>
          <w:bCs w:val="0"/>
          <w:color w:val="auto"/>
          <w:sz w:val="20"/>
          <w:szCs w:val="20"/>
          <w:lang w:val="lt-LT" w:eastAsia="en-GB"/>
        </w:rPr>
      </w:pPr>
      <w:r w:rsidRPr="004A3B8D">
        <w:rPr>
          <w:rFonts w:eastAsia="MS Gothic"/>
          <w:bCs w:val="0"/>
          <w:color w:val="auto"/>
          <w:sz w:val="20"/>
          <w:szCs w:val="20"/>
          <w:lang w:val="lt-LT" w:eastAsia="en-GB"/>
        </w:rPr>
        <w:t>Priemonių nuoseklumas šilumos ūkyje</w:t>
      </w:r>
      <w:r>
        <w:rPr>
          <w:rFonts w:eastAsia="MS Gothic"/>
          <w:bCs w:val="0"/>
          <w:color w:val="auto"/>
          <w:sz w:val="20"/>
          <w:szCs w:val="20"/>
          <w:lang w:val="lt-LT" w:eastAsia="en-GB"/>
        </w:rPr>
        <w:t>.</w:t>
      </w:r>
    </w:p>
    <w:p w:rsidR="00C1698E" w:rsidRPr="003B5AC5" w:rsidRDefault="00C1698E" w:rsidP="00C1698E">
      <w:pPr>
        <w:pStyle w:val="ListParagraph"/>
        <w:numPr>
          <w:ilvl w:val="0"/>
          <w:numId w:val="3"/>
        </w:numPr>
        <w:spacing w:before="60" w:after="60"/>
        <w:rPr>
          <w:rFonts w:eastAsia="MS Gothic"/>
          <w:bCs w:val="0"/>
          <w:color w:val="auto"/>
          <w:sz w:val="20"/>
          <w:szCs w:val="20"/>
          <w:lang w:val="lt-LT" w:eastAsia="en-GB"/>
        </w:rPr>
      </w:pPr>
      <w:r w:rsidRPr="003B5AC5">
        <w:rPr>
          <w:rFonts w:eastAsia="MS Gothic"/>
          <w:bCs w:val="0"/>
          <w:color w:val="auto"/>
          <w:sz w:val="20"/>
          <w:szCs w:val="20"/>
          <w:lang w:val="lt-LT" w:eastAsia="en-GB"/>
        </w:rPr>
        <w:t>Priemonių nekonkuravimo užtikrinimas.</w:t>
      </w:r>
    </w:p>
    <w:p w:rsidR="00C1698E" w:rsidRPr="003B5AC5" w:rsidRDefault="00C1698E" w:rsidP="00C1698E">
      <w:pPr>
        <w:pStyle w:val="ListParagraph"/>
        <w:numPr>
          <w:ilvl w:val="0"/>
          <w:numId w:val="3"/>
        </w:numPr>
        <w:spacing w:before="60" w:after="60"/>
        <w:rPr>
          <w:rFonts w:eastAsia="MS Gothic"/>
          <w:bCs w:val="0"/>
          <w:color w:val="auto"/>
          <w:sz w:val="20"/>
          <w:szCs w:val="20"/>
          <w:lang w:val="lt-LT" w:eastAsia="en-GB"/>
        </w:rPr>
      </w:pPr>
      <w:r w:rsidRPr="003B5AC5">
        <w:rPr>
          <w:rFonts w:eastAsia="MS Gothic"/>
          <w:bCs w:val="0"/>
          <w:color w:val="auto"/>
          <w:sz w:val="20"/>
          <w:szCs w:val="20"/>
          <w:lang w:val="lt-LT" w:eastAsia="en-GB"/>
        </w:rPr>
        <w:t>Energijos šaltinių diversifikacija šilumos ūkiui.</w:t>
      </w:r>
    </w:p>
    <w:p w:rsidR="00C1698E" w:rsidRPr="003B5AC5" w:rsidRDefault="00C1698E" w:rsidP="00C1698E">
      <w:pPr>
        <w:pStyle w:val="ListParagraph"/>
        <w:numPr>
          <w:ilvl w:val="0"/>
          <w:numId w:val="3"/>
        </w:numPr>
        <w:spacing w:before="60" w:after="60"/>
        <w:rPr>
          <w:rFonts w:eastAsia="MS Gothic"/>
          <w:bCs w:val="0"/>
          <w:color w:val="auto"/>
          <w:sz w:val="20"/>
          <w:szCs w:val="20"/>
          <w:lang w:val="lt-LT" w:eastAsia="en-GB"/>
        </w:rPr>
      </w:pPr>
      <w:r w:rsidRPr="003B5AC5">
        <w:rPr>
          <w:rFonts w:eastAsia="MS Gothic"/>
          <w:bCs w:val="0"/>
          <w:color w:val="auto"/>
          <w:sz w:val="20"/>
          <w:szCs w:val="20"/>
          <w:lang w:val="lt-LT" w:eastAsia="en-GB"/>
        </w:rPr>
        <w:t>Laiko tarp paraiškos pateikimo ir lėšų skyrimo mažinimas.</w:t>
      </w:r>
    </w:p>
    <w:p w:rsidR="00C1698E" w:rsidRPr="003B5AC5" w:rsidRDefault="00C1698E" w:rsidP="00C1698E">
      <w:pPr>
        <w:pStyle w:val="ListParagraph"/>
        <w:numPr>
          <w:ilvl w:val="0"/>
          <w:numId w:val="3"/>
        </w:numPr>
        <w:tabs>
          <w:tab w:val="left" w:pos="3151"/>
        </w:tabs>
        <w:spacing w:before="60" w:after="60"/>
        <w:ind w:right="36"/>
        <w:rPr>
          <w:rFonts w:eastAsia="MS Gothic"/>
          <w:bCs w:val="0"/>
          <w:color w:val="auto"/>
          <w:sz w:val="20"/>
          <w:szCs w:val="20"/>
          <w:lang w:val="lt-LT" w:eastAsia="en-GB"/>
        </w:rPr>
      </w:pPr>
      <w:r w:rsidRPr="003B5AC5">
        <w:rPr>
          <w:rFonts w:eastAsia="MS Gothic"/>
          <w:bCs w:val="0"/>
          <w:color w:val="auto"/>
          <w:sz w:val="20"/>
          <w:szCs w:val="20"/>
          <w:lang w:val="lt-LT" w:eastAsia="en-GB"/>
        </w:rPr>
        <w:t>Energijos taupymo priemonių finansavimo formos (derinti finansų inžinerijos priemones su kitomis priemonėmis).</w:t>
      </w:r>
    </w:p>
    <w:p w:rsidR="00C1698E" w:rsidRPr="00066A51" w:rsidRDefault="00C1698E" w:rsidP="00C1698E">
      <w:pPr>
        <w:rPr>
          <w:color w:val="000000" w:themeColor="text1"/>
          <w:sz w:val="20"/>
          <w:szCs w:val="20"/>
          <w:lang w:val="lt-LT"/>
        </w:rPr>
      </w:pPr>
      <w:r>
        <w:rPr>
          <w:color w:val="000000" w:themeColor="text1"/>
          <w:sz w:val="20"/>
          <w:szCs w:val="20"/>
          <w:lang w:val="lt-LT"/>
        </w:rPr>
        <w:t>Strategini</w:t>
      </w:r>
      <w:r w:rsidRPr="00823B08">
        <w:rPr>
          <w:color w:val="000000" w:themeColor="text1"/>
          <w:sz w:val="20"/>
          <w:szCs w:val="20"/>
          <w:lang w:val="lt-LT"/>
        </w:rPr>
        <w:t>ų siūlymų kryptys 2014–2020 m. ES fondų investicijų energetikos srities ir energijos vartoji</w:t>
      </w:r>
      <w:r>
        <w:rPr>
          <w:color w:val="000000" w:themeColor="text1"/>
          <w:sz w:val="20"/>
          <w:szCs w:val="20"/>
          <w:lang w:val="lt-LT"/>
        </w:rPr>
        <w:t>mo efektyvumo didinimo srityse („</w:t>
      </w:r>
      <w:r w:rsidRPr="00823B08">
        <w:rPr>
          <w:color w:val="000000" w:themeColor="text1"/>
          <w:sz w:val="20"/>
          <w:szCs w:val="20"/>
          <w:lang w:val="lt-LT"/>
        </w:rPr>
        <w:t>Daryk tai</w:t>
      </w:r>
      <w:r>
        <w:rPr>
          <w:color w:val="000000" w:themeColor="text1"/>
          <w:sz w:val="20"/>
          <w:szCs w:val="20"/>
          <w:lang w:val="lt-LT"/>
        </w:rPr>
        <w:t>“)</w:t>
      </w:r>
      <w:r w:rsidRPr="00823B08">
        <w:rPr>
          <w:color w:val="000000" w:themeColor="text1"/>
          <w:sz w:val="20"/>
          <w:szCs w:val="20"/>
          <w:lang w:val="lt-LT"/>
        </w:rPr>
        <w:t>:</w:t>
      </w:r>
    </w:p>
    <w:p w:rsidR="00C1698E" w:rsidRPr="003B5AC5" w:rsidRDefault="00C1698E" w:rsidP="00C1698E">
      <w:pPr>
        <w:pStyle w:val="ListParagraph"/>
        <w:numPr>
          <w:ilvl w:val="0"/>
          <w:numId w:val="3"/>
        </w:numPr>
        <w:spacing w:before="60" w:after="60"/>
        <w:rPr>
          <w:rFonts w:eastAsia="MS Gothic"/>
          <w:bCs w:val="0"/>
          <w:color w:val="auto"/>
          <w:sz w:val="20"/>
          <w:szCs w:val="20"/>
          <w:lang w:val="lt-LT" w:eastAsia="en-GB"/>
        </w:rPr>
      </w:pPr>
      <w:r w:rsidRPr="003B5AC5">
        <w:rPr>
          <w:rFonts w:eastAsia="MS Gothic"/>
          <w:bCs w:val="0"/>
          <w:color w:val="auto"/>
          <w:sz w:val="20"/>
          <w:szCs w:val="20"/>
          <w:lang w:val="lt-LT" w:eastAsia="en-GB"/>
        </w:rPr>
        <w:t>Priemonių įgyvendinimo laiko ir veiklų tarpusavio derinimas.</w:t>
      </w:r>
    </w:p>
    <w:p w:rsidR="00C1698E" w:rsidRPr="003B5AC5" w:rsidRDefault="00C1698E" w:rsidP="00C1698E">
      <w:pPr>
        <w:pStyle w:val="ListParagraph"/>
        <w:numPr>
          <w:ilvl w:val="0"/>
          <w:numId w:val="3"/>
        </w:numPr>
        <w:spacing w:before="60" w:after="60"/>
        <w:rPr>
          <w:rFonts w:eastAsia="MS Gothic"/>
          <w:bCs w:val="0"/>
          <w:color w:val="auto"/>
          <w:sz w:val="20"/>
          <w:szCs w:val="20"/>
          <w:lang w:val="lt-LT" w:eastAsia="en-GB"/>
        </w:rPr>
      </w:pPr>
      <w:r w:rsidRPr="003B5AC5">
        <w:rPr>
          <w:rFonts w:eastAsia="MS Gothic"/>
          <w:bCs w:val="0"/>
          <w:color w:val="auto"/>
          <w:sz w:val="20"/>
          <w:szCs w:val="20"/>
          <w:lang w:val="lt-LT" w:eastAsia="en-GB"/>
        </w:rPr>
        <w:t>Viešųjų pirkimų procedūrų stebėsena ir konsultacijos.</w:t>
      </w:r>
    </w:p>
    <w:p w:rsidR="00C1698E" w:rsidRPr="009D23EF" w:rsidRDefault="00C1698E" w:rsidP="00C1698E">
      <w:pPr>
        <w:pStyle w:val="ListParagraph"/>
        <w:numPr>
          <w:ilvl w:val="0"/>
          <w:numId w:val="3"/>
        </w:numPr>
        <w:spacing w:before="60" w:after="60"/>
        <w:rPr>
          <w:rFonts w:eastAsia="MS Gothic"/>
          <w:bCs w:val="0"/>
          <w:color w:val="E7E6E6" w:themeColor="background2"/>
          <w:sz w:val="20"/>
          <w:szCs w:val="20"/>
          <w:lang w:val="lt-LT" w:eastAsia="en-GB"/>
        </w:rPr>
      </w:pPr>
      <w:r w:rsidRPr="003B5AC5">
        <w:rPr>
          <w:rFonts w:eastAsia="MS Gothic"/>
          <w:bCs w:val="0"/>
          <w:color w:val="auto"/>
          <w:sz w:val="20"/>
          <w:szCs w:val="20"/>
          <w:lang w:val="lt-LT" w:eastAsia="en-GB"/>
        </w:rPr>
        <w:t>Energetinio efektyvumo kriterijai valstybės ir regionų planavimo projektuose.</w:t>
      </w:r>
    </w:p>
    <w:p w:rsidR="00C1698E" w:rsidRPr="00823B08" w:rsidRDefault="00C1698E" w:rsidP="00C1698E">
      <w:pPr>
        <w:rPr>
          <w:color w:val="000000" w:themeColor="text1"/>
          <w:sz w:val="20"/>
          <w:szCs w:val="20"/>
          <w:lang w:val="lt-LT"/>
        </w:rPr>
      </w:pPr>
      <w:r w:rsidRPr="00823B08">
        <w:rPr>
          <w:color w:val="000000" w:themeColor="text1"/>
          <w:sz w:val="20"/>
          <w:szCs w:val="20"/>
          <w:lang w:val="lt-LT"/>
        </w:rPr>
        <w:t>Rekomendacijų kryptys 2014–2020 m. ES fondų investicijų energetikos srities ir energijos vartoji</w:t>
      </w:r>
      <w:r>
        <w:rPr>
          <w:color w:val="000000" w:themeColor="text1"/>
          <w:sz w:val="20"/>
          <w:szCs w:val="20"/>
          <w:lang w:val="lt-LT"/>
        </w:rPr>
        <w:t>mo efektyvumo didinimo srityse (</w:t>
      </w:r>
      <w:r w:rsidRPr="00823B08">
        <w:rPr>
          <w:color w:val="000000" w:themeColor="text1"/>
          <w:sz w:val="20"/>
          <w:szCs w:val="20"/>
          <w:lang w:val="lt-LT"/>
        </w:rPr>
        <w:t>„Žinok tai“</w:t>
      </w:r>
      <w:r>
        <w:rPr>
          <w:color w:val="000000" w:themeColor="text1"/>
          <w:sz w:val="20"/>
          <w:szCs w:val="20"/>
          <w:lang w:val="lt-LT"/>
        </w:rPr>
        <w:t>)</w:t>
      </w:r>
      <w:r w:rsidRPr="00823B08">
        <w:rPr>
          <w:color w:val="000000" w:themeColor="text1"/>
          <w:sz w:val="20"/>
          <w:szCs w:val="20"/>
          <w:lang w:val="lt-LT"/>
        </w:rPr>
        <w:t>:</w:t>
      </w:r>
    </w:p>
    <w:p w:rsidR="00C1698E" w:rsidRDefault="00C1698E" w:rsidP="00C1698E">
      <w:pPr>
        <w:pStyle w:val="ListParagraph"/>
        <w:numPr>
          <w:ilvl w:val="0"/>
          <w:numId w:val="3"/>
        </w:numPr>
        <w:spacing w:before="60" w:after="60"/>
        <w:rPr>
          <w:rFonts w:eastAsia="MS Gothic"/>
          <w:bCs w:val="0"/>
          <w:color w:val="auto"/>
          <w:sz w:val="20"/>
          <w:szCs w:val="20"/>
          <w:lang w:val="lt-LT" w:eastAsia="en-GB"/>
        </w:rPr>
      </w:pPr>
      <w:r w:rsidRPr="004A3B8D">
        <w:rPr>
          <w:rFonts w:eastAsia="MS Gothic"/>
          <w:bCs w:val="0"/>
          <w:color w:val="auto"/>
          <w:sz w:val="20"/>
          <w:szCs w:val="20"/>
          <w:lang w:val="lt-LT" w:eastAsia="en-GB"/>
        </w:rPr>
        <w:t>Energijos gamybos efektyvumas ir AEI panaudojimo energijos gamyboje rėmimas</w:t>
      </w:r>
      <w:r>
        <w:rPr>
          <w:rFonts w:eastAsia="MS Gothic"/>
          <w:bCs w:val="0"/>
          <w:color w:val="auto"/>
          <w:sz w:val="20"/>
          <w:szCs w:val="20"/>
          <w:lang w:val="lt-LT" w:eastAsia="en-GB"/>
        </w:rPr>
        <w:t>.</w:t>
      </w:r>
    </w:p>
    <w:p w:rsidR="00C1698E" w:rsidRPr="004A3B8D" w:rsidRDefault="00C1698E" w:rsidP="00C1698E">
      <w:pPr>
        <w:pStyle w:val="ListParagraph"/>
        <w:numPr>
          <w:ilvl w:val="0"/>
          <w:numId w:val="3"/>
        </w:numPr>
        <w:spacing w:before="60" w:after="60"/>
        <w:rPr>
          <w:rFonts w:eastAsia="MS Gothic"/>
          <w:bCs w:val="0"/>
          <w:color w:val="auto"/>
          <w:sz w:val="20"/>
          <w:szCs w:val="20"/>
          <w:lang w:val="lt-LT" w:eastAsia="en-GB"/>
        </w:rPr>
      </w:pPr>
      <w:r w:rsidRPr="004A3B8D">
        <w:rPr>
          <w:rFonts w:eastAsia="MS Gothic"/>
          <w:bCs w:val="0"/>
          <w:color w:val="auto"/>
          <w:sz w:val="20"/>
          <w:szCs w:val="20"/>
          <w:lang w:val="lt-LT" w:eastAsia="en-GB"/>
        </w:rPr>
        <w:t>Energijos perdavimo ir skirstymo modernizavimo/plėtros  rėmimas skirtingomis finansavimo formomis.</w:t>
      </w:r>
    </w:p>
    <w:p w:rsidR="00C1698E" w:rsidRPr="003B5AC5" w:rsidRDefault="00C1698E" w:rsidP="00C1698E">
      <w:pPr>
        <w:pStyle w:val="ListParagraph"/>
        <w:numPr>
          <w:ilvl w:val="0"/>
          <w:numId w:val="3"/>
        </w:numPr>
        <w:spacing w:before="60" w:after="60"/>
        <w:rPr>
          <w:rFonts w:eastAsia="MS Gothic"/>
          <w:bCs w:val="0"/>
          <w:color w:val="auto"/>
          <w:sz w:val="20"/>
          <w:szCs w:val="20"/>
          <w:lang w:val="lt-LT" w:eastAsia="en-GB"/>
        </w:rPr>
      </w:pPr>
      <w:r w:rsidRPr="003B5AC5">
        <w:rPr>
          <w:rFonts w:eastAsia="MS Gothic"/>
          <w:bCs w:val="0"/>
          <w:color w:val="auto"/>
          <w:sz w:val="20"/>
          <w:szCs w:val="20"/>
          <w:lang w:val="lt-LT" w:eastAsia="en-GB"/>
        </w:rPr>
        <w:t>Skolinimosi limitai (ETPT įmonei tektų rangos ir paklausos rizika ir paskola nebūtų traukiama į savivaldybių skolinimosi limitų apskaitą).</w:t>
      </w:r>
    </w:p>
    <w:p w:rsidR="00C1698E" w:rsidRPr="003B5AC5" w:rsidRDefault="00C1698E" w:rsidP="00C1698E">
      <w:pPr>
        <w:pStyle w:val="ListParagraph"/>
        <w:numPr>
          <w:ilvl w:val="0"/>
          <w:numId w:val="3"/>
        </w:numPr>
        <w:spacing w:before="60" w:after="60"/>
        <w:rPr>
          <w:rFonts w:eastAsia="MS Gothic"/>
          <w:bCs w:val="0"/>
          <w:color w:val="auto"/>
          <w:sz w:val="20"/>
          <w:szCs w:val="20"/>
          <w:lang w:val="lt-LT" w:eastAsia="en-GB"/>
        </w:rPr>
      </w:pPr>
      <w:r w:rsidRPr="003B5AC5">
        <w:rPr>
          <w:rFonts w:eastAsia="MS Gothic"/>
          <w:bCs w:val="0"/>
          <w:color w:val="auto"/>
          <w:sz w:val="20"/>
          <w:szCs w:val="20"/>
          <w:lang w:val="lt-LT" w:eastAsia="en-GB"/>
        </w:rPr>
        <w:t>Finansavimo sąlygų keitimo dinamika (</w:t>
      </w:r>
      <w:r>
        <w:rPr>
          <w:rFonts w:eastAsia="MS Gothic"/>
          <w:bCs w:val="0"/>
          <w:color w:val="auto"/>
          <w:sz w:val="20"/>
          <w:szCs w:val="20"/>
          <w:lang w:val="lt-LT" w:eastAsia="en-GB"/>
        </w:rPr>
        <w:t>m</w:t>
      </w:r>
      <w:r w:rsidRPr="003B5AC5">
        <w:rPr>
          <w:rFonts w:eastAsia="MS Gothic"/>
          <w:bCs w:val="0"/>
          <w:color w:val="auto"/>
          <w:sz w:val="20"/>
          <w:szCs w:val="20"/>
          <w:lang w:val="lt-LT" w:eastAsia="en-GB"/>
        </w:rPr>
        <w:t>odeliu „nuo geresnių prie blogesnių</w:t>
      </w:r>
      <w:r>
        <w:rPr>
          <w:rFonts w:eastAsia="MS Gothic"/>
          <w:bCs w:val="0"/>
          <w:color w:val="auto"/>
          <w:sz w:val="20"/>
          <w:szCs w:val="20"/>
          <w:lang w:val="lt-LT" w:eastAsia="en-GB"/>
        </w:rPr>
        <w:t>“</w:t>
      </w:r>
      <w:r w:rsidRPr="003B5AC5">
        <w:rPr>
          <w:rFonts w:eastAsia="MS Gothic"/>
          <w:bCs w:val="0"/>
          <w:color w:val="auto"/>
          <w:sz w:val="20"/>
          <w:szCs w:val="20"/>
          <w:lang w:val="lt-LT" w:eastAsia="en-GB"/>
        </w:rPr>
        <w:t>).</w:t>
      </w:r>
    </w:p>
    <w:bookmarkEnd w:id="1"/>
    <w:p w:rsidR="00C1698E" w:rsidRPr="00066A51" w:rsidRDefault="00C1698E" w:rsidP="00C1698E">
      <w:pPr>
        <w:spacing w:after="0"/>
        <w:jc w:val="left"/>
        <w:rPr>
          <w:sz w:val="20"/>
          <w:szCs w:val="20"/>
          <w:lang w:val="lt-LT"/>
        </w:rPr>
      </w:pPr>
    </w:p>
    <w:p w:rsidR="00C1698E" w:rsidRDefault="00C1698E" w:rsidP="00C1698E">
      <w:pPr>
        <w:spacing w:after="0"/>
        <w:jc w:val="left"/>
        <w:rPr>
          <w:sz w:val="36"/>
          <w:lang w:val="lt-LT"/>
        </w:rPr>
      </w:pPr>
      <w:bookmarkStart w:id="3" w:name="_GoBack"/>
      <w:bookmarkEnd w:id="3"/>
    </w:p>
    <w:sectPr w:rsidR="00C1698E" w:rsidSect="00C1698E">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354" w:rsidRDefault="00C16354" w:rsidP="00C1698E">
      <w:pPr>
        <w:spacing w:after="0"/>
      </w:pPr>
      <w:r>
        <w:separator/>
      </w:r>
    </w:p>
  </w:endnote>
  <w:endnote w:type="continuationSeparator" w:id="0">
    <w:p w:rsidR="00C16354" w:rsidRDefault="00C16354" w:rsidP="00C169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354" w:rsidRDefault="00C16354" w:rsidP="00C1698E">
      <w:pPr>
        <w:spacing w:after="0"/>
      </w:pPr>
      <w:r>
        <w:separator/>
      </w:r>
    </w:p>
  </w:footnote>
  <w:footnote w:type="continuationSeparator" w:id="0">
    <w:p w:rsidR="00C16354" w:rsidRDefault="00C16354" w:rsidP="00C1698E">
      <w:pPr>
        <w:spacing w:after="0"/>
      </w:pPr>
      <w:r>
        <w:continuationSeparator/>
      </w:r>
    </w:p>
  </w:footnote>
  <w:footnote w:id="1">
    <w:p w:rsidR="00C1698E" w:rsidRPr="00CD13FD" w:rsidRDefault="00C1698E" w:rsidP="00C1698E">
      <w:pPr>
        <w:pStyle w:val="FootnoteText"/>
        <w:rPr>
          <w:sz w:val="16"/>
          <w:lang w:val="lt-LT"/>
        </w:rPr>
      </w:pPr>
      <w:r w:rsidRPr="00CD13FD">
        <w:rPr>
          <w:rStyle w:val="FootnoteReference"/>
          <w:sz w:val="16"/>
        </w:rPr>
        <w:footnoteRef/>
      </w:r>
      <w:r w:rsidRPr="00CD13FD">
        <w:rPr>
          <w:sz w:val="16"/>
          <w:lang w:val="lt-LT"/>
        </w:rPr>
        <w:t xml:space="preserve"> Elektros, dujų, šilumos, AEI, pastatų renovavimo.</w:t>
      </w:r>
    </w:p>
  </w:footnote>
  <w:footnote w:id="2">
    <w:p w:rsidR="00C1698E" w:rsidRPr="00D650C3" w:rsidRDefault="00C1698E" w:rsidP="00C1698E">
      <w:pPr>
        <w:pStyle w:val="FootnoteText"/>
        <w:rPr>
          <w:sz w:val="16"/>
          <w:lang w:val="lt-LT"/>
        </w:rPr>
      </w:pPr>
      <w:r w:rsidRPr="00D650C3">
        <w:rPr>
          <w:rStyle w:val="FootnoteReference"/>
          <w:sz w:val="16"/>
        </w:rPr>
        <w:footnoteRef/>
      </w:r>
      <w:r w:rsidRPr="00D650C3">
        <w:rPr>
          <w:sz w:val="16"/>
          <w:lang w:val="pl-PL"/>
        </w:rPr>
        <w:t xml:space="preserve"> </w:t>
      </w:r>
      <w:r w:rsidRPr="00A17B07">
        <w:rPr>
          <w:sz w:val="16"/>
          <w:lang w:val="lt-LT"/>
        </w:rPr>
        <w:t>Fokusuota</w:t>
      </w:r>
      <w:r w:rsidRPr="00D650C3">
        <w:rPr>
          <w:sz w:val="16"/>
          <w:lang w:val="lt-LT"/>
        </w:rPr>
        <w:t xml:space="preserve"> grupinė diskusija, 2017 m. kovo 23 d., Vilnius</w:t>
      </w:r>
      <w:r>
        <w:rPr>
          <w:sz w:val="16"/>
          <w:lang w:val="lt-LT"/>
        </w:rPr>
        <w:t>.</w:t>
      </w:r>
      <w:r w:rsidRPr="00D650C3">
        <w:rPr>
          <w:sz w:val="16"/>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F26C7"/>
    <w:multiLevelType w:val="hybridMultilevel"/>
    <w:tmpl w:val="40D0FA94"/>
    <w:lvl w:ilvl="0" w:tplc="9B6AA31E">
      <w:start w:val="1"/>
      <w:numFmt w:val="bullet"/>
      <w:pStyle w:val="Bullet"/>
      <w:lvlText w:val=""/>
      <w:lvlJc w:val="left"/>
      <w:pPr>
        <w:ind w:left="720" w:hanging="360"/>
      </w:pPr>
      <w:rPr>
        <w:rFonts w:ascii="Symbol" w:hAnsi="Symbol" w:hint="default"/>
        <w:color w:val="F0EFEF" w:themeColor="background2" w:themeTint="99"/>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D2316E"/>
    <w:multiLevelType w:val="hybridMultilevel"/>
    <w:tmpl w:val="0074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3363FF"/>
    <w:multiLevelType w:val="multilevel"/>
    <w:tmpl w:val="FEF81B36"/>
    <w:lvl w:ilvl="0">
      <w:start w:val="1"/>
      <w:numFmt w:val="decimal"/>
      <w:pStyle w:val="Heading1"/>
      <w:lvlText w:val="%1."/>
      <w:lvlJc w:val="left"/>
      <w:pPr>
        <w:ind w:left="360" w:hanging="360"/>
      </w:pPr>
      <w:rPr>
        <w:rFonts w:asciiTheme="minorHAnsi" w:eastAsia="SimSun" w:hAnsiTheme="minorHAnsi" w:cs="Cambria" w:hint="default"/>
      </w:rPr>
    </w:lvl>
    <w:lvl w:ilvl="1">
      <w:start w:val="1"/>
      <w:numFmt w:val="decimal"/>
      <w:pStyle w:val="Heading2"/>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8E"/>
    <w:rsid w:val="00255E06"/>
    <w:rsid w:val="002E5B24"/>
    <w:rsid w:val="00533AA6"/>
    <w:rsid w:val="00C16354"/>
    <w:rsid w:val="00C1698E"/>
    <w:rsid w:val="00F6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A3A9"/>
  <w15:chartTrackingRefBased/>
  <w15:docId w15:val="{F391F091-4D08-4DB2-9DA8-1CB4D00F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98E"/>
    <w:pPr>
      <w:spacing w:after="120" w:line="240" w:lineRule="auto"/>
      <w:jc w:val="both"/>
    </w:pPr>
    <w:rPr>
      <w:rFonts w:eastAsia="SimSun" w:cs="Cambria"/>
      <w:bCs/>
      <w:lang w:eastAsia="ja-JP"/>
    </w:rPr>
  </w:style>
  <w:style w:type="paragraph" w:styleId="Heading1">
    <w:name w:val="heading 1"/>
    <w:basedOn w:val="Normal"/>
    <w:next w:val="Normal"/>
    <w:link w:val="Heading1Char"/>
    <w:uiPriority w:val="99"/>
    <w:qFormat/>
    <w:rsid w:val="00C1698E"/>
    <w:pPr>
      <w:numPr>
        <w:numId w:val="1"/>
      </w:numPr>
      <w:spacing w:after="240"/>
      <w:outlineLvl w:val="0"/>
    </w:pPr>
    <w:rPr>
      <w:bCs w:val="0"/>
      <w:color w:val="3CA1BC"/>
      <w:sz w:val="40"/>
      <w:szCs w:val="40"/>
    </w:rPr>
  </w:style>
  <w:style w:type="paragraph" w:styleId="Heading2">
    <w:name w:val="heading 2"/>
    <w:basedOn w:val="ListParagraph"/>
    <w:next w:val="Normal"/>
    <w:link w:val="Heading2Char"/>
    <w:uiPriority w:val="99"/>
    <w:qFormat/>
    <w:rsid w:val="00C1698E"/>
    <w:pPr>
      <w:keepNext/>
      <w:numPr>
        <w:ilvl w:val="1"/>
        <w:numId w:val="1"/>
      </w:numPr>
      <w:spacing w:before="360" w:after="240"/>
      <w:outlineLvl w:val="1"/>
    </w:pPr>
    <w:rPr>
      <w:bCs w:val="0"/>
      <w:color w:val="4A252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1698E"/>
    <w:rPr>
      <w:rFonts w:eastAsia="SimSun" w:cs="Cambria"/>
      <w:color w:val="3CA1BC"/>
      <w:sz w:val="40"/>
      <w:szCs w:val="40"/>
      <w:lang w:eastAsia="ja-JP"/>
    </w:rPr>
  </w:style>
  <w:style w:type="character" w:customStyle="1" w:styleId="Heading2Char">
    <w:name w:val="Heading 2 Char"/>
    <w:basedOn w:val="DefaultParagraphFont"/>
    <w:link w:val="Heading2"/>
    <w:uiPriority w:val="99"/>
    <w:rsid w:val="00C1698E"/>
    <w:rPr>
      <w:rFonts w:eastAsia="SimSun" w:cs="Cambria"/>
      <w:color w:val="4A2523"/>
      <w:sz w:val="32"/>
      <w:szCs w:val="32"/>
      <w:lang w:eastAsia="ja-JP"/>
    </w:rPr>
  </w:style>
  <w:style w:type="paragraph" w:styleId="ListParagraph">
    <w:name w:val="List Paragraph"/>
    <w:aliases w:val="ERP-List Paragraph,List Paragraph11,Bullet EY,List Paragraph1,List Paragraph Red"/>
    <w:basedOn w:val="Normal"/>
    <w:link w:val="ListParagraphChar"/>
    <w:uiPriority w:val="34"/>
    <w:qFormat/>
    <w:rsid w:val="00C1698E"/>
    <w:pPr>
      <w:ind w:left="720"/>
    </w:pPr>
    <w:rPr>
      <w:color w:val="134753"/>
    </w:rPr>
  </w:style>
  <w:style w:type="paragraph" w:styleId="FootnoteText">
    <w:name w:val="footnote text"/>
    <w:basedOn w:val="Normal"/>
    <w:link w:val="FootnoteTextChar"/>
    <w:uiPriority w:val="99"/>
    <w:rsid w:val="00C1698E"/>
    <w:pPr>
      <w:spacing w:after="0"/>
    </w:pPr>
    <w:rPr>
      <w:sz w:val="20"/>
      <w:szCs w:val="20"/>
    </w:rPr>
  </w:style>
  <w:style w:type="character" w:customStyle="1" w:styleId="FootnoteTextChar">
    <w:name w:val="Footnote Text Char"/>
    <w:basedOn w:val="DefaultParagraphFont"/>
    <w:link w:val="FootnoteText"/>
    <w:uiPriority w:val="99"/>
    <w:rsid w:val="00C1698E"/>
    <w:rPr>
      <w:rFonts w:eastAsia="SimSun" w:cs="Cambria"/>
      <w:bCs/>
      <w:sz w:val="20"/>
      <w:szCs w:val="20"/>
      <w:lang w:eastAsia="ja-JP"/>
    </w:rPr>
  </w:style>
  <w:style w:type="character" w:styleId="FootnoteReference">
    <w:name w:val="footnote reference"/>
    <w:basedOn w:val="DefaultParagraphFont"/>
    <w:uiPriority w:val="99"/>
    <w:rsid w:val="00C1698E"/>
    <w:rPr>
      <w:vertAlign w:val="superscript"/>
    </w:rPr>
  </w:style>
  <w:style w:type="character" w:customStyle="1" w:styleId="ListParagraphChar">
    <w:name w:val="List Paragraph Char"/>
    <w:aliases w:val="ERP-List Paragraph Char,List Paragraph11 Char,Bullet EY Char,List Paragraph1 Char,List Paragraph Red Char"/>
    <w:basedOn w:val="DefaultParagraphFont"/>
    <w:link w:val="ListParagraph"/>
    <w:uiPriority w:val="34"/>
    <w:locked/>
    <w:rsid w:val="00C1698E"/>
    <w:rPr>
      <w:rFonts w:eastAsia="SimSun" w:cs="Cambria"/>
      <w:bCs/>
      <w:color w:val="134753"/>
      <w:lang w:eastAsia="ja-JP"/>
    </w:rPr>
  </w:style>
  <w:style w:type="paragraph" w:customStyle="1" w:styleId="Bullet">
    <w:name w:val="Bullet"/>
    <w:basedOn w:val="ListParagraph"/>
    <w:link w:val="BulletChar"/>
    <w:qFormat/>
    <w:rsid w:val="00C1698E"/>
    <w:pPr>
      <w:numPr>
        <w:numId w:val="2"/>
      </w:numPr>
      <w:spacing w:after="60"/>
    </w:pPr>
    <w:rPr>
      <w:rFonts w:eastAsia="MS Gothic"/>
      <w:bCs w:val="0"/>
      <w:color w:val="000000" w:themeColor="text1"/>
      <w:lang w:eastAsia="en-GB"/>
    </w:rPr>
  </w:style>
  <w:style w:type="character" w:customStyle="1" w:styleId="BulletChar">
    <w:name w:val="Bullet Char"/>
    <w:basedOn w:val="ListParagraphChar"/>
    <w:link w:val="Bullet"/>
    <w:rsid w:val="00C1698E"/>
    <w:rPr>
      <w:rFonts w:eastAsia="MS Gothic" w:cs="Cambria"/>
      <w:bCs w:val="0"/>
      <w:color w:val="000000" w:themeColor="tex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3067</Words>
  <Characters>17485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Tautkutė</dc:creator>
  <cp:keywords/>
  <dc:description/>
  <cp:lastModifiedBy>Ginta Tautkutė</cp:lastModifiedBy>
  <cp:revision>3</cp:revision>
  <dcterms:created xsi:type="dcterms:W3CDTF">2017-07-10T10:53:00Z</dcterms:created>
  <dcterms:modified xsi:type="dcterms:W3CDTF">2017-07-10T10:56:00Z</dcterms:modified>
</cp:coreProperties>
</file>