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FAC" w:rsidRDefault="00522FAC">
      <w:pPr>
        <w:jc w:val="center"/>
        <w:rPr>
          <w:rFonts w:ascii="Times New Roman" w:hAnsi="Times New Roman"/>
          <w:b/>
          <w:sz w:val="16"/>
          <w:szCs w:val="16"/>
          <w:lang w:eastAsia="ar-SA"/>
        </w:rPr>
      </w:pPr>
      <w:bookmarkStart w:id="0" w:name="_GoBack"/>
      <w:bookmarkEnd w:id="0"/>
    </w:p>
    <w:p w:rsidR="00522FAC" w:rsidRDefault="00C534DA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LIETUVOS RESPUBLIKOS SVEIKATOS APSAUGOS MINISTRAS</w:t>
      </w:r>
    </w:p>
    <w:p w:rsidR="00522FAC" w:rsidRDefault="00C534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ĮSAKYMAS</w:t>
      </w:r>
    </w:p>
    <w:p w:rsidR="00522FAC" w:rsidRDefault="00C534DA">
      <w:pPr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DĖL LIETUVOS RESPUBLIKOS SVEIKATOS APSAUGOS MINISTRO 2015 M. BIRŽELIO 22 D. ĮSAKYMO NR. V-783 „DĖL 2014–2020 METŲ EUROPOS </w:t>
      </w:r>
      <w:r>
        <w:rPr>
          <w:rFonts w:ascii="Times New Roman" w:hAnsi="Times New Roman"/>
          <w:b/>
          <w:color w:val="000000"/>
          <w:sz w:val="24"/>
          <w:szCs w:val="24"/>
        </w:rPr>
        <w:t>SĄJUNGOS FONDŲ INVESTICIJŲ VEIKSMŲ PROGRAMOS, PATVIRTINTOS 2014 M. RUGSĖJO 8 D. EUROPOS KOMISIJOS SPRENDIMU, 8 PRIORITETO „SOCIALINĖS ĮTRAUKTIES DIDINIMAS IR KOVA SU SKURDU“ 8.1.3 KONKRETAUS UŽDAVINIO „PAGERINTI SVEIKATOS PRIEŽIŪROS KOKYBĘ IR PRIEINAMUMĄ T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IKSLINĖMS GYVENTOJŲ GRUPĖMS BEI SUMAŽINTI SVEIKATOS NETOLYGUMUS“ IR 8.4.2 KONKRETAUS UŽDAVINIO „SUMAŽINTI SVEIKATOS NETOLYGUMUS, GERINANT SVEIKATOS PRIEŽIŪROS KOKYBĘ IR PRIEINAMUMĄ TIKSLINĖMS GYVENTOJŲ GRUPĖMS, IR SKATINTI SVEIKĄ SENĖJIMĄ“ PRIEMONIŲ </w:t>
      </w:r>
      <w:r>
        <w:rPr>
          <w:rFonts w:ascii="Times New Roman" w:hAnsi="Times New Roman"/>
          <w:b/>
          <w:sz w:val="24"/>
          <w:szCs w:val="24"/>
          <w:lang w:eastAsia="lt-LT"/>
        </w:rPr>
        <w:t>ĮGYVEN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DINIMO </w:t>
      </w:r>
      <w:r>
        <w:rPr>
          <w:rFonts w:ascii="Times New Roman" w:hAnsi="Times New Roman"/>
          <w:b/>
          <w:color w:val="000000"/>
          <w:sz w:val="24"/>
          <w:szCs w:val="24"/>
        </w:rPr>
        <w:t>PLANO IR NACIONALINIŲ STEBĖSENOS RODIKLIŲ SKAIČIAVIMO APRAŠO PATVIRTINIMO“ PAKEITIMO</w:t>
      </w:r>
    </w:p>
    <w:p w:rsidR="00522FAC" w:rsidRDefault="00522FAC">
      <w:pPr>
        <w:keepLines/>
        <w:jc w:val="center"/>
        <w:textAlignment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2FAC" w:rsidRDefault="00C534DA">
      <w:pPr>
        <w:keepLines/>
        <w:jc w:val="center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m. birželio           d. Nr. V-</w:t>
      </w:r>
    </w:p>
    <w:p w:rsidR="00522FAC" w:rsidRDefault="00C534DA">
      <w:pPr>
        <w:keepLines/>
        <w:jc w:val="center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:rsidR="00522FAC" w:rsidRDefault="00522FAC">
      <w:pPr>
        <w:keepLines/>
        <w:jc w:val="center"/>
        <w:textAlignment w:val="center"/>
        <w:rPr>
          <w:rFonts w:ascii="Times New Roman" w:hAnsi="Times New Roman"/>
          <w:sz w:val="24"/>
          <w:szCs w:val="24"/>
        </w:rPr>
      </w:pPr>
    </w:p>
    <w:p w:rsidR="00522FAC" w:rsidRDefault="00C534DA">
      <w:pPr>
        <w:keepLines/>
        <w:spacing w:after="0"/>
        <w:ind w:firstLine="851"/>
        <w:jc w:val="both"/>
        <w:textAlignment w:val="center"/>
      </w:pPr>
      <w:r>
        <w:rPr>
          <w:rFonts w:ascii="Times New Roman" w:hAnsi="Times New Roman"/>
          <w:sz w:val="24"/>
          <w:szCs w:val="24"/>
        </w:rPr>
        <w:t xml:space="preserve">P a k e i č i u  Lietuvos Respublikos sveikatos apsaugos ministro 2015 m. birželio 22 d. įsakymą Nr. V-783 „Dėl </w:t>
      </w:r>
      <w:r>
        <w:rPr>
          <w:rFonts w:ascii="Times New Roman" w:hAnsi="Times New Roman"/>
          <w:color w:val="000000"/>
          <w:sz w:val="24"/>
          <w:szCs w:val="24"/>
        </w:rPr>
        <w:t>2014–</w:t>
      </w:r>
      <w:r>
        <w:rPr>
          <w:rFonts w:ascii="Times New Roman" w:hAnsi="Times New Roman"/>
          <w:color w:val="000000"/>
          <w:sz w:val="24"/>
          <w:szCs w:val="24"/>
        </w:rPr>
        <w:t xml:space="preserve">2020 metų Europos Sąjungos fondų investicijų veiksmų programos, patvirtintos 2014 m. rugsėjo 8 d. Europos Komisijos sprendimu, 8 prioriteto „Socialinės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įtraukties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didinimas ir kova su skurdu“ 8.1.3 konkretaus uždavinio „Pagerinti sveikatos priežiūros kokyb</w:t>
      </w:r>
      <w:r>
        <w:rPr>
          <w:rFonts w:ascii="Times New Roman" w:hAnsi="Times New Roman"/>
          <w:color w:val="000000"/>
          <w:sz w:val="24"/>
          <w:szCs w:val="24"/>
        </w:rPr>
        <w:t>ę ir prieinamumą tikslinėms gyventojų grupėms bei sumažinti sveikatos netolygumus“ ir 8.4.2 konkretaus uždavinio „Sumažinti sveikatos netolygumus, gerinant sveikatos priežiūros kokybę ir prieinamumą tikslinėms gyventojų grupėms, ir skatinti sveiką senėjimą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priemonių įgyvendinimo plano ir Nacionalinių stebėsenos rodiklių skaičiavimo aprašo patvirtinimo“:</w:t>
      </w:r>
    </w:p>
    <w:p w:rsidR="00522FAC" w:rsidRDefault="00C534DA">
      <w:pPr>
        <w:keepLines/>
        <w:spacing w:after="0"/>
        <w:ind w:firstLine="851"/>
        <w:jc w:val="both"/>
        <w:textAlignment w:val="center"/>
      </w:pPr>
      <w:r>
        <w:rPr>
          <w:rFonts w:ascii="Times New Roman" w:hAnsi="Times New Roman"/>
          <w:sz w:val="24"/>
          <w:szCs w:val="24"/>
        </w:rPr>
        <w:t xml:space="preserve">1. Pakeičiu nurodytuoju įsakymu patvirtintą </w:t>
      </w:r>
      <w:r>
        <w:rPr>
          <w:rFonts w:ascii="Times New Roman" w:hAnsi="Times New Roman"/>
          <w:color w:val="000000"/>
          <w:sz w:val="24"/>
          <w:szCs w:val="24"/>
        </w:rPr>
        <w:t>2014–2020 metų Europos Sąjungos fondų investicijų veiksmų programos, patvirtintos 2014 m.  rugsėjo 8 d. Europos</w:t>
      </w:r>
      <w:r>
        <w:rPr>
          <w:rFonts w:ascii="Times New Roman" w:hAnsi="Times New Roman"/>
          <w:color w:val="000000"/>
          <w:sz w:val="24"/>
          <w:szCs w:val="24"/>
        </w:rPr>
        <w:t xml:space="preserve"> Komisijos sprendimu, 8 prioriteto „Socialinės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įtraukties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didinimas ir kova su skurdu“ 8.1.3 konkretaus uždavinio „Pagerinti sveikatos priežiūros kokybę ir prieinamumą tikslinėms gyventojų grupėms bei sumažinti sveikatos netolygumus“ ir 8.4.2 konkretaus už</w:t>
      </w:r>
      <w:r>
        <w:rPr>
          <w:rFonts w:ascii="Times New Roman" w:hAnsi="Times New Roman"/>
          <w:color w:val="000000"/>
          <w:sz w:val="24"/>
          <w:szCs w:val="24"/>
        </w:rPr>
        <w:t>davinio „Sumažinti sveikatos netolygumus, gerinant sveikatos priežiūros kokybę ir prieinamumą tikslinėms gyventojų grupėms, ir skatinti sveiką senėjimą“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priemonių įgyvendinimo planą:</w:t>
      </w:r>
    </w:p>
    <w:p w:rsidR="00522FAC" w:rsidRDefault="00C534DA">
      <w:pPr>
        <w:keepLines/>
        <w:spacing w:after="0"/>
        <w:ind w:firstLine="851"/>
        <w:jc w:val="both"/>
        <w:textAlignment w:val="center"/>
      </w:pPr>
      <w:r>
        <w:rPr>
          <w:rFonts w:ascii="Times New Roman" w:hAnsi="Times New Roman"/>
          <w:color w:val="000000"/>
          <w:sz w:val="24"/>
          <w:szCs w:val="24"/>
        </w:rPr>
        <w:t>1.1. Pakeičiu aštuntąjį skirsnį „Veiksmų programos prioriteto įgyvendinim</w:t>
      </w:r>
      <w:r>
        <w:rPr>
          <w:rFonts w:ascii="Times New Roman" w:hAnsi="Times New Roman"/>
          <w:color w:val="000000"/>
          <w:sz w:val="24"/>
          <w:szCs w:val="24"/>
        </w:rPr>
        <w:t>o priemonė Nr.</w:t>
      </w:r>
      <w:r>
        <w:rPr>
          <w:rFonts w:ascii="Times New Roman" w:hAnsi="Times New Roman"/>
          <w:bCs/>
          <w:sz w:val="24"/>
          <w:szCs w:val="24"/>
        </w:rPr>
        <w:t xml:space="preserve"> 08.1.3-CPVA-V-608 „Priklausomybės ligų profilaktikos, diagnostikos ir gydymo infrastruktūros tobulinimas“:</w:t>
      </w:r>
    </w:p>
    <w:p w:rsidR="00522FAC" w:rsidRDefault="00C534DA">
      <w:pPr>
        <w:keepLines/>
        <w:spacing w:after="0"/>
        <w:ind w:firstLine="851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1.1.1. Pakeičiu 1 punktą ir jį išdėstau taip:</w:t>
      </w:r>
    </w:p>
    <w:p w:rsidR="00522FAC" w:rsidRDefault="00522FAC">
      <w:pPr>
        <w:keepLines/>
        <w:spacing w:after="0"/>
        <w:ind w:firstLine="851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:rsidR="00522FAC" w:rsidRDefault="00C534DA">
      <w:pPr>
        <w:tabs>
          <w:tab w:val="left" w:pos="0"/>
          <w:tab w:val="left" w:pos="567"/>
        </w:tabs>
        <w:spacing w:after="0"/>
      </w:pPr>
      <w:r>
        <w:rPr>
          <w:rFonts w:ascii="Times New Roman" w:hAnsi="Times New Roman"/>
          <w:bCs/>
          <w:sz w:val="24"/>
          <w:szCs w:val="24"/>
        </w:rPr>
        <w:lastRenderedPageBreak/>
        <w:tab/>
        <w:t xml:space="preserve">   „1. </w:t>
      </w:r>
      <w:r>
        <w:rPr>
          <w:rFonts w:ascii="Times New Roman" w:hAnsi="Times New Roman"/>
          <w:sz w:val="24"/>
          <w:szCs w:val="24"/>
          <w:lang w:eastAsia="lt-LT"/>
        </w:rPr>
        <w:t>Priemonės aprašymas:</w:t>
      </w:r>
    </w:p>
    <w:tbl>
      <w:tblPr>
        <w:tblW w:w="143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2"/>
      </w:tblGrid>
      <w:tr w:rsidR="00522FAC">
        <w:tblPrEx>
          <w:tblCellMar>
            <w:top w:w="0" w:type="dxa"/>
            <w:bottom w:w="0" w:type="dxa"/>
          </w:tblCellMar>
        </w:tblPrEx>
        <w:tc>
          <w:tcPr>
            <w:tcW w:w="1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  <w:tab w:val="left" w:pos="567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1.1. Priemonės įgyvendinimas finansuojamas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Europos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regioninės plėtros fondo lėšomis;</w:t>
            </w:r>
          </w:p>
          <w:p w:rsidR="00522FAC" w:rsidRDefault="00C534DA">
            <w:pPr>
              <w:tabs>
                <w:tab w:val="left" w:pos="0"/>
                <w:tab w:val="left" w:pos="1026"/>
              </w:tabs>
              <w:spacing w:after="0"/>
              <w:ind w:left="34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1.2.</w:t>
            </w: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Įgyvendinant priemonę, prisidedama prie uždavinio „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Pagerinti sveikatos priežiūros kokybę ir prieinamumą tikslinėms gyventojų grupėms bei sumažinti sveikatos netolygumus“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įgyvendinimo;</w:t>
            </w:r>
          </w:p>
          <w:p w:rsidR="00522FAC" w:rsidRDefault="00522FAC">
            <w:pPr>
              <w:tabs>
                <w:tab w:val="left" w:pos="0"/>
                <w:tab w:val="left" w:pos="10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FAC" w:rsidRDefault="00C534DA">
            <w:pPr>
              <w:tabs>
                <w:tab w:val="left" w:pos="0"/>
                <w:tab w:val="left" w:pos="10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Remiamos veiklos:</w:t>
            </w:r>
          </w:p>
          <w:p w:rsidR="00522FAC" w:rsidRDefault="00C534DA">
            <w:pPr>
              <w:tabs>
                <w:tab w:val="left" w:pos="0"/>
                <w:tab w:val="left" w:pos="1026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1.3.1. pr</w:t>
            </w:r>
            <w:r>
              <w:rPr>
                <w:rFonts w:ascii="Times New Roman" w:hAnsi="Times New Roman"/>
                <w:sz w:val="24"/>
                <w:szCs w:val="24"/>
              </w:rPr>
              <w:t>iklausomybės ligų centrų infrastruktūros modernizavimas: statinių ir (ar) patalpų, susijusių su priklausomybės ligų profilaktika, diagnostika ir gydymu statyba, rekonstrukcija ir remontas;</w:t>
            </w:r>
          </w:p>
          <w:p w:rsidR="00522FAC" w:rsidRDefault="00C534DA">
            <w:pPr>
              <w:tabs>
                <w:tab w:val="left" w:pos="0"/>
                <w:tab w:val="left" w:pos="10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 priklausomybės ligų centrų įrangos ir baldų, skirtų priklaus</w:t>
            </w:r>
            <w:r>
              <w:rPr>
                <w:rFonts w:ascii="Times New Roman" w:hAnsi="Times New Roman"/>
                <w:sz w:val="24"/>
                <w:szCs w:val="24"/>
              </w:rPr>
              <w:t>omybės ligų profilaktikai, diagnostikai ir gydymui užtikrinti, įsigijimas;</w:t>
            </w:r>
          </w:p>
          <w:p w:rsidR="00522FAC" w:rsidRDefault="00C534DA">
            <w:pPr>
              <w:tabs>
                <w:tab w:val="left" w:pos="0"/>
                <w:tab w:val="left" w:pos="1026"/>
              </w:tabs>
              <w:spacing w:after="0"/>
              <w:jc w:val="both"/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1.3.3. priklausomybės ligų centrų aprūpinimas specialiais automobiliais mobilioms (išvažiuojamosioms konsultacijoms) sveikatos priežiūros paslaugoms teikti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22FAC" w:rsidRDefault="00522FAC">
            <w:pPr>
              <w:tabs>
                <w:tab w:val="left" w:pos="0"/>
                <w:tab w:val="left" w:pos="1026"/>
              </w:tabs>
              <w:spacing w:after="0"/>
              <w:jc w:val="both"/>
            </w:pPr>
          </w:p>
          <w:p w:rsidR="00522FAC" w:rsidRDefault="00C534DA">
            <w:pPr>
              <w:tabs>
                <w:tab w:val="left" w:pos="0"/>
                <w:tab w:val="left" w:pos="10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 Galimi pareiškėja</w:t>
            </w:r>
            <w:r>
              <w:rPr>
                <w:rFonts w:ascii="Times New Roman" w:hAnsi="Times New Roman"/>
                <w:sz w:val="24"/>
                <w:szCs w:val="24"/>
              </w:rPr>
              <w:t>i:</w:t>
            </w:r>
          </w:p>
          <w:p w:rsidR="00522FAC" w:rsidRDefault="00C534DA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1.4.1. 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>Lietuvos Respublikos sveikatos apsaugos ministerija ir (ar) jai pavaldžios įstaigos, Vilniaus, Kauno apskrities, Šiaulių, Klaipėdos ir Panevėžio priklausomybės ligų centrai.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Vilniaus priklausomybės ligų centras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(po reorganizavimo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Respublikinis </w:t>
            </w:r>
            <w:hyperlink r:id="rId7" w:history="1">
              <w:r>
                <w:rPr>
                  <w:rFonts w:ascii="Times New Roman" w:hAnsi="Times New Roman"/>
                  <w:b/>
                  <w:sz w:val="24"/>
                  <w:szCs w:val="24"/>
                </w:rPr>
                <w:t>priklausomybės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ligų centras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2FAC" w:rsidRDefault="00522FAC">
            <w:pPr>
              <w:spacing w:after="0"/>
              <w:jc w:val="both"/>
            </w:pPr>
          </w:p>
          <w:p w:rsidR="00522FAC" w:rsidRDefault="00C534DA">
            <w:pPr>
              <w:tabs>
                <w:tab w:val="left" w:pos="0"/>
                <w:tab w:val="left" w:pos="10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 Galimi partneriai:</w:t>
            </w:r>
          </w:p>
          <w:p w:rsidR="00522FAC" w:rsidRDefault="00C534DA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1.5.1.  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Lietuvos Respublikos sveikatos apsaugos ministerija ir (ar) jai pavaldžios įstaigos, 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>Vilniaus, Kauno apskrities, Šiaulių, Klaipėdos ir Panevėžio priklausomybės ligų centrai.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22FAC" w:rsidRDefault="00522FAC">
            <w:pPr>
              <w:spacing w:after="0"/>
              <w:jc w:val="both"/>
            </w:pPr>
          </w:p>
          <w:p w:rsidR="00522FAC" w:rsidRDefault="00C534DA">
            <w:pPr>
              <w:tabs>
                <w:tab w:val="left" w:pos="0"/>
                <w:tab w:val="left" w:pos="567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  <w:r>
              <w:t xml:space="preserve"> 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>Priemonė kartu su priemone Nr. 08.4.2-CPVA-V-621 „Priklausomybės ligų profilaktikos, diagnostikos ir gydymo kokybės ir prieinamumo gerinimas“ sudaro jungtinę p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>riemonę Nr. J04-CPVA-V „Priklausomybės ligų profilaktikos, diagnostikos ir gydymo kokybės ir prieinamumo gerinimas</w:t>
            </w:r>
            <w:r>
              <w:rPr>
                <w:rFonts w:ascii="Times New Roman" w:hAnsi="Times New Roman"/>
                <w:sz w:val="24"/>
                <w:szCs w:val="24"/>
              </w:rPr>
              <w:t>.“</w:t>
            </w:r>
          </w:p>
          <w:p w:rsidR="00522FAC" w:rsidRDefault="00522FAC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522FAC" w:rsidRDefault="00522FAC">
      <w:pPr>
        <w:keepLines/>
        <w:spacing w:after="0"/>
        <w:ind w:firstLine="851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:rsidR="00522FAC" w:rsidRDefault="00C534DA">
      <w:pPr>
        <w:keepLines/>
        <w:spacing w:after="0"/>
        <w:ind w:firstLine="851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1.1.2. Pakeičiu 6 punktą ir jį išdėstau taip:</w:t>
      </w:r>
    </w:p>
    <w:p w:rsidR="00522FAC" w:rsidRDefault="00C534DA">
      <w:pPr>
        <w:tabs>
          <w:tab w:val="left" w:pos="0"/>
          <w:tab w:val="left" w:pos="567"/>
        </w:tabs>
        <w:spacing w:after="0"/>
        <w:jc w:val="both"/>
      </w:pPr>
      <w:r>
        <w:rPr>
          <w:rFonts w:ascii="Times New Roman" w:hAnsi="Times New Roman"/>
          <w:sz w:val="24"/>
          <w:szCs w:val="24"/>
          <w:lang w:eastAsia="lt-LT"/>
        </w:rPr>
        <w:tab/>
        <w:t>„6. P</w:t>
      </w:r>
      <w:r>
        <w:rPr>
          <w:rFonts w:ascii="Times New Roman" w:hAnsi="Times New Roman"/>
          <w:bCs/>
          <w:sz w:val="24"/>
          <w:szCs w:val="24"/>
          <w:lang w:eastAsia="lt-LT"/>
        </w:rPr>
        <w:t>riemonės įgyvendinimo stebėsenos rodikliai:</w:t>
      </w:r>
    </w:p>
    <w:tbl>
      <w:tblPr>
        <w:tblW w:w="14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6180"/>
        <w:gridCol w:w="2127"/>
        <w:gridCol w:w="1984"/>
        <w:gridCol w:w="2268"/>
      </w:tblGrid>
      <w:tr w:rsidR="00522FAC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Stebėsenos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rodiklio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522FA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R.N.622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„Pakaitinio gydymo aprėptis“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Procentai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30</w:t>
            </w:r>
          </w:p>
        </w:tc>
      </w:tr>
      <w:tr w:rsidR="00522FA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P.S.363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,,Viešąsias sveikatos priežiūros paslaugas teikiančios įstaigos, kuriose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pagerinta paslaugų teikimo infrastruktūra“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</w:t>
            </w:r>
          </w:p>
        </w:tc>
      </w:tr>
      <w:tr w:rsidR="00522FA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P.B.236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lt-LT"/>
              </w:rPr>
              <w:t>„Gyventojai, turintys galimybę pasinaudoti pagerintomis sveikatos priežiūros paslaugomis“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Asmenys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10 000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/>
                <w:strike/>
                <w:sz w:val="24"/>
                <w:szCs w:val="24"/>
                <w:lang w:val="en-US" w:eastAsia="lt-LT"/>
              </w:rPr>
              <w:t>30 000</w:t>
            </w:r>
          </w:p>
        </w:tc>
      </w:tr>
      <w:tr w:rsidR="00522FA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R.N. 601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„Pacientai, kuriems pagerinta paslaugų kokybė ir prieinamumas“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5000</w:t>
            </w:r>
          </w:p>
        </w:tc>
      </w:tr>
    </w:tbl>
    <w:p w:rsidR="00522FAC" w:rsidRDefault="00522FAC">
      <w:pPr>
        <w:keepLines/>
        <w:spacing w:after="0"/>
        <w:ind w:firstLine="851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522FAC" w:rsidRDefault="00C534DA">
      <w:pPr>
        <w:keepLines/>
        <w:spacing w:after="0"/>
        <w:ind w:firstLine="851"/>
        <w:jc w:val="both"/>
        <w:textAlignment w:val="center"/>
      </w:pPr>
      <w:r>
        <w:rPr>
          <w:rFonts w:ascii="Times New Roman" w:hAnsi="Times New Roman"/>
          <w:sz w:val="24"/>
          <w:szCs w:val="24"/>
        </w:rPr>
        <w:t xml:space="preserve">2. Pakeičiu nurodytuoju įsakymu patvirtintą </w:t>
      </w:r>
      <w:r>
        <w:rPr>
          <w:rFonts w:ascii="Times New Roman" w:hAnsi="Times New Roman"/>
          <w:color w:val="000000"/>
          <w:sz w:val="24"/>
          <w:szCs w:val="24"/>
        </w:rPr>
        <w:t xml:space="preserve">2014–2020 metų Europos Sąjungos fondų investicijų veiksmų programos, patvirtintos 2014 m.  rugsėjo 8 d. Europos Komisijos sprendimu, 8 prioriteto „Socialinės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įtraukties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didinimas ir kova su </w:t>
      </w:r>
      <w:r>
        <w:rPr>
          <w:rFonts w:ascii="Times New Roman" w:hAnsi="Times New Roman"/>
          <w:color w:val="000000"/>
          <w:sz w:val="24"/>
          <w:szCs w:val="24"/>
        </w:rPr>
        <w:t xml:space="preserve">skurdu“ 8.1.3 konkretaus uždavinio „Pagerinti sveikatos priežiūros kokybę ir prieinamumą tikslinėms gyventojų grupėms bei sumažinti sveikatos netolygumus“ ir 8.4.2 konkretaus uždavinio „Sumažinti sveikatos netolygumus, gerinant sveikatos priežiūros kokybę </w:t>
      </w:r>
      <w:r>
        <w:rPr>
          <w:rFonts w:ascii="Times New Roman" w:hAnsi="Times New Roman"/>
          <w:color w:val="000000"/>
          <w:sz w:val="24"/>
          <w:szCs w:val="24"/>
        </w:rPr>
        <w:t>ir prieinamumą tikslinėms gyventojų grupėms, ir skatinti sveiką senėjimą“ priemonių nacionalinių stebėsenos rodiklių skaičiavimo aprašą:</w:t>
      </w:r>
    </w:p>
    <w:p w:rsidR="00522FAC" w:rsidRDefault="00C534DA">
      <w:pPr>
        <w:keepLines/>
        <w:spacing w:after="0"/>
        <w:ind w:firstLine="851"/>
        <w:jc w:val="both"/>
        <w:textAlignment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2.1. Pakeičiu rodiklio R. N. 601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„Pacientai, kuriems pagerinta paslaugų kokybė ir prieinamumas“ aprašymą ir išdėstau 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ip:</w:t>
      </w:r>
    </w:p>
    <w:p w:rsidR="00522FAC" w:rsidRDefault="00522FAC">
      <w:pPr>
        <w:keepLines/>
        <w:spacing w:after="0"/>
        <w:ind w:firstLine="851"/>
        <w:jc w:val="both"/>
        <w:textAlignment w:val="center"/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843"/>
        <w:gridCol w:w="1134"/>
        <w:gridCol w:w="2835"/>
        <w:gridCol w:w="998"/>
        <w:gridCol w:w="1960"/>
        <w:gridCol w:w="1750"/>
        <w:gridCol w:w="1954"/>
        <w:gridCol w:w="1418"/>
      </w:tblGrid>
      <w:tr w:rsidR="00522FAC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Rodiklio kodas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Rodiklio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Matavimo vienetas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Sąvokų apibrėžtys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Apskaičiavimo tipas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Skaičiavimo būdas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Duomenų šaltinis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Pasiekimo momentas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Institucija </w:t>
            </w:r>
          </w:p>
        </w:tc>
      </w:tr>
      <w:tr w:rsidR="00522FAC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22FAC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R.N. 601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„Pacientai, kuriems pagerinta paslaugų kokybė ir prieinamumas“</w:t>
            </w:r>
          </w:p>
          <w:p w:rsidR="00522FAC" w:rsidRDefault="00522FAC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Pacientas – asmuo, kuris naudojasi įstaigų teikiamomis paslaugomis, nesvarbu, ar jis sveikas, ar ligonis (šaltinis: Lietuvos Respublikos sveikatos priežiūros įstaigų įstatymas).</w:t>
            </w:r>
          </w:p>
          <w:p w:rsidR="00522FAC" w:rsidRDefault="00522FAC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22FAC" w:rsidRDefault="00C534DA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 xml:space="preserve">Pacientas, kuriam pagerinta paslaugų kokybė ir prieinamumas –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 xml:space="preserve">pacientas, kuriam per </w:t>
            </w: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</w:rPr>
              <w:t>vienerius kalendorinius metus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 xml:space="preserve"> buvo suteikta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lastRenderedPageBreak/>
              <w:t>konkreti asmens sveikatos priežiūros paslauga:</w:t>
            </w:r>
          </w:p>
          <w:p w:rsidR="00522FAC" w:rsidRDefault="00C534DA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 xml:space="preserve"> Pagal atitinkamus asmens sveikatos priežiūros paslaugų kodus, nustatytus Asmens sveikatos priežiūros paslaugų ir sveikatos programose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numatytų paslaugų, už kurias mokama iš Privalomojo sveikatos draudimo fondo biudžeto klasifikatoriuje) konkrečioje sveikatos priežiūros įstaigoje, kurios visa projekto sutartyje numatyta infrastruktūra buvo atnaujinta įgyvendinant projekto veiklas;</w:t>
            </w:r>
          </w:p>
          <w:p w:rsidR="00522FAC" w:rsidRDefault="00C534DA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</w:rPr>
              <w:t>2.  Pri</w:t>
            </w: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</w:rPr>
              <w:t>emonės 08.1.3-CPVA-V-608 projektams pagal „Priklausomybės ligų gydymo ir reabilitacijos standartus“* vertinama konkreti asmens sveikatos priežiūros paslauga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, suteikta konkrečioje sveikatos priežiūros įstaigoje, kurios visa projekto sutartyje numatyta infra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 xml:space="preserve">struktūra buvo atnaujinta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lastRenderedPageBreak/>
              <w:t>įgyvendinant projekto veiklas.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lastRenderedPageBreak/>
              <w:t>Apskaičiuojamas automatiškai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Skaičiuojama sumuojant unikalius pacientus (tą patį asmenį skaičiuojant vieną kartą), kuriems pagerinta paslaugų kokybė ir prieinamumas.</w:t>
            </w:r>
          </w:p>
          <w:p w:rsidR="00522FAC" w:rsidRDefault="00522FAC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22FAC" w:rsidRDefault="00C534DA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Pacientas skaičiuojamas kaip vie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nas unikalus vienetas,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net jei šiam pacientui konkrečioje sveikatos priežiūros įstaigoje, kurios visa projekto sutartyje numatyta infrastruktūra atnaujinta įgyvendinant projekto veiklas, per ataskaitinį laikotarpį buvo suteiktos kelios skirtingos sveikatos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priežiūros paslaugos arba kelis kartus ta pati sveikatos priežiūros paslauga, kurių kokybės ir prieinamumo gerinimui buvo skirtas projektas.</w:t>
            </w:r>
          </w:p>
          <w:p w:rsidR="00522FAC" w:rsidRDefault="00522FAC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22FAC" w:rsidRDefault="00C534DA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2FAC" w:rsidRDefault="00522FAC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22FAC" w:rsidRDefault="00522FAC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22FAC" w:rsidRDefault="00522FAC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u w:val="single"/>
              </w:rPr>
              <w:lastRenderedPageBreak/>
              <w:t>Pirminiai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u w:val="single"/>
              </w:rPr>
              <w:t>šaltiniai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:</w:t>
            </w:r>
          </w:p>
          <w:p w:rsidR="00522FAC" w:rsidRDefault="00C534DA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 vykdytojo pažymos ar kiti dokumentai, patvirtinantys pasiektą stebėsenos rodik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lio reikšmę, parengti vadovaujantis teritorinių ligonių kasų,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privalomojo sveikatos draudimo informacinės sistemos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Sveidra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arba kitais sveikatos priežiūros įstaigos duomenimis.</w:t>
            </w:r>
          </w:p>
          <w:p w:rsidR="00522FAC" w:rsidRDefault="00522FAC">
            <w:pPr>
              <w:pStyle w:val="prastasis1"/>
              <w:spacing w:after="0"/>
              <w:rPr>
                <w:color w:val="1F497D"/>
                <w:u w:val="single"/>
              </w:rPr>
            </w:pPr>
          </w:p>
          <w:p w:rsidR="00522FAC" w:rsidRDefault="00C534DA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u w:val="single"/>
              </w:rPr>
              <w:t>Antriniai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u w:val="single"/>
              </w:rPr>
              <w:t>šaltiniai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:</w:t>
            </w:r>
          </w:p>
          <w:p w:rsidR="00522FAC" w:rsidRDefault="00C534DA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Ataskaita po projekto finansavimo pabaigos.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  <w:jc w:val="both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lastRenderedPageBreak/>
              <w:t xml:space="preserve">Stebėsenos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 xml:space="preserve">rodiklis laikomas pasiektu, kai projekto vykdytojas su ataskaita, kurios ataskaitinis laikotarpis apima trečius kalendorinius metus po projekto finansavimo pabaigos, pateikia dokumentus, kuriuose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lastRenderedPageBreak/>
              <w:t>nustatyta per trečius kalendorinius metus po projekto finans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avimo pabaigos pasiekta stebėsenos rodiklio reikšmė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FAC" w:rsidRDefault="00C534DA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lastRenderedPageBreak/>
              <w:t xml:space="preserve">Už stebėsenos rodiklio pasiekimą ir duomenų apie pasiektą stebėsenos rodiklio reikšmę registravimą teikimą antriniuose šaltiniuose atsakingas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lastRenderedPageBreak/>
              <w:t>projekto vykdytojas</w:t>
            </w:r>
            <w:r>
              <w:rPr>
                <w:rStyle w:val="Numatytasispastraiposriftas1"/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522FAC" w:rsidRDefault="00C534DA">
      <w:pPr>
        <w:pStyle w:val="prastasis1"/>
        <w:numPr>
          <w:ilvl w:val="0"/>
          <w:numId w:val="1"/>
        </w:numPr>
        <w:ind w:left="426"/>
      </w:pPr>
      <w:r>
        <w:rPr>
          <w:rStyle w:val="Numatytasispastraiposriftas1"/>
          <w:rFonts w:ascii="Times New Roman" w:hAnsi="Times New Roman"/>
          <w:b/>
          <w:sz w:val="20"/>
          <w:szCs w:val="20"/>
        </w:rPr>
        <w:lastRenderedPageBreak/>
        <w:t xml:space="preserve">Į rodiklio pasiekimo reikšmę </w:t>
      </w:r>
      <w:r>
        <w:rPr>
          <w:rStyle w:val="Numatytasispastraiposriftas1"/>
          <w:rFonts w:ascii="Times New Roman" w:hAnsi="Times New Roman"/>
          <w:b/>
          <w:sz w:val="20"/>
          <w:szCs w:val="20"/>
        </w:rPr>
        <w:t xml:space="preserve">neįskaičiuojamos šios pirminio lygio paslaugos: 1. priklausomybės ligų psichiatro profilaktinė konsultacija; 2. medicininė apžiūra apsvaigimui nustatyti; 4. psichologo  </w:t>
      </w:r>
      <w:proofErr w:type="spellStart"/>
      <w:r>
        <w:rPr>
          <w:rStyle w:val="Numatytasispastraiposriftas1"/>
          <w:rFonts w:ascii="Times New Roman" w:hAnsi="Times New Roman"/>
          <w:b/>
          <w:sz w:val="20"/>
          <w:szCs w:val="20"/>
        </w:rPr>
        <w:t>psichodiagnostinis</w:t>
      </w:r>
      <w:proofErr w:type="spellEnd"/>
      <w:r>
        <w:rPr>
          <w:rStyle w:val="Numatytasispastraiposriftas1"/>
          <w:rFonts w:ascii="Times New Roman" w:hAnsi="Times New Roman"/>
          <w:b/>
          <w:sz w:val="20"/>
          <w:szCs w:val="20"/>
        </w:rPr>
        <w:t xml:space="preserve"> ištyrimas; 6. psichologo konsultacija; 7. socialinio darbuotojo kons</w:t>
      </w:r>
      <w:r>
        <w:rPr>
          <w:rStyle w:val="Numatytasispastraiposriftas1"/>
          <w:rFonts w:ascii="Times New Roman" w:hAnsi="Times New Roman"/>
          <w:b/>
          <w:sz w:val="20"/>
          <w:szCs w:val="20"/>
        </w:rPr>
        <w:t>ultacija; taip pat šios antrinio lygio paslaugos: 2. medicininė apžiūra apsvaigimui nustatyti; 3. psichologo, psichoterapeuto  konsultacija; 4. socialinio darbuotojo konsultacija</w:t>
      </w:r>
      <w:r>
        <w:rPr>
          <w:rStyle w:val="Numatytasispastraiposriftas1"/>
          <w:rFonts w:ascii="Times New Roman" w:hAnsi="Times New Roman"/>
          <w:sz w:val="20"/>
          <w:szCs w:val="20"/>
        </w:rPr>
        <w:t>.</w:t>
      </w:r>
    </w:p>
    <w:p w:rsidR="00522FAC" w:rsidRDefault="00522FA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AC" w:rsidRDefault="00522FAC">
      <w:pPr>
        <w:rPr>
          <w:rFonts w:ascii="Times New Roman" w:hAnsi="Times New Roman"/>
          <w:sz w:val="24"/>
          <w:szCs w:val="24"/>
        </w:rPr>
      </w:pPr>
    </w:p>
    <w:p w:rsidR="00522FAC" w:rsidRDefault="00522FAC">
      <w:pPr>
        <w:rPr>
          <w:rFonts w:ascii="Times New Roman" w:hAnsi="Times New Roman"/>
          <w:sz w:val="24"/>
          <w:szCs w:val="24"/>
        </w:rPr>
      </w:pPr>
    </w:p>
    <w:p w:rsidR="00522FAC" w:rsidRDefault="00C534DA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Sveikatos apsaugos ministras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522FAC" w:rsidRDefault="00522FAC">
      <w:pPr>
        <w:rPr>
          <w:rFonts w:ascii="Times New Roman" w:hAnsi="Times New Roman"/>
          <w:sz w:val="24"/>
          <w:szCs w:val="24"/>
        </w:rPr>
      </w:pPr>
    </w:p>
    <w:sectPr w:rsidR="00522FAC">
      <w:headerReference w:type="default" r:id="rId8"/>
      <w:pgSz w:w="16838" w:h="11906" w:orient="landscape"/>
      <w:pgMar w:top="1701" w:right="1701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4DA" w:rsidRDefault="00C534DA">
      <w:pPr>
        <w:spacing w:after="0"/>
      </w:pPr>
      <w:r>
        <w:separator/>
      </w:r>
    </w:p>
  </w:endnote>
  <w:endnote w:type="continuationSeparator" w:id="0">
    <w:p w:rsidR="00C534DA" w:rsidRDefault="00C534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4DA" w:rsidRDefault="00C534D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534DA" w:rsidRDefault="00C534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5FF" w:rsidRDefault="00C534DA">
    <w:pPr>
      <w:pStyle w:val="Antrats"/>
    </w:pPr>
    <w:r>
      <w:tab/>
      <w:t xml:space="preserve">                                                                                                                                                                                                         </w:t>
    </w:r>
    <w:r>
      <w:t xml:space="preserve">                                    </w:t>
    </w:r>
    <w:r>
      <w:rPr>
        <w:rFonts w:ascii="Times New Roman" w:hAnsi="Times New Roman"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2D05"/>
    <w:multiLevelType w:val="multilevel"/>
    <w:tmpl w:val="A81E1552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22FAC"/>
    <w:rsid w:val="00522FAC"/>
    <w:rsid w:val="00C534DA"/>
    <w:rsid w:val="00DC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A7F20-4DB5-4BCF-987A-E0E4987C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tlex.sam.lt/Litlex/LL.DLL?Tekstas=1?Id=163392&amp;Zd=priklaus%2Bkoncepc&amp;BF=4#60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5684</Words>
  <Characters>3241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Raukštienė</dc:creator>
  <dc:description/>
  <cp:lastModifiedBy>Agnė Raukštienė</cp:lastModifiedBy>
  <cp:revision>2</cp:revision>
  <cp:lastPrinted>2017-05-25T08:21:00Z</cp:lastPrinted>
  <dcterms:created xsi:type="dcterms:W3CDTF">2017-07-12T06:46:00Z</dcterms:created>
  <dcterms:modified xsi:type="dcterms:W3CDTF">2017-07-12T06:46:00Z</dcterms:modified>
</cp:coreProperties>
</file>