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08A" w:rsidRPr="00C75324" w:rsidRDefault="00FB6137" w:rsidP="00C75324">
      <w:pPr>
        <w:jc w:val="center"/>
        <w:rPr>
          <w:rFonts w:ascii="Times New Roman" w:hAnsi="Times New Roman"/>
          <w:b/>
          <w:sz w:val="24"/>
          <w:szCs w:val="24"/>
          <w:lang w:eastAsia="lt-LT"/>
        </w:rPr>
      </w:pPr>
      <w:bookmarkStart w:id="0" w:name="_GoBack"/>
      <w:bookmarkEnd w:id="0"/>
      <w:r w:rsidRPr="00533937">
        <w:rPr>
          <w:rFonts w:ascii="Times New Roman" w:hAnsi="Times New Roman"/>
          <w:b/>
          <w:bCs/>
          <w:sz w:val="24"/>
          <w:szCs w:val="24"/>
        </w:rPr>
        <w:t xml:space="preserve">2014–2020 METŲ EUROPOS SĄJUNGOS FONDŲ INVESTICIJŲ VEIKSMŲ PROGRAMOS </w:t>
      </w:r>
      <w:r w:rsidRPr="00533937">
        <w:rPr>
          <w:rFonts w:ascii="Times New Roman" w:hAnsi="Times New Roman"/>
          <w:b/>
          <w:sz w:val="24"/>
          <w:szCs w:val="24"/>
        </w:rPr>
        <w:t xml:space="preserve">PRIORITETŲ ĮGYVENDINIMO </w:t>
      </w:r>
      <w:r w:rsidR="00533937">
        <w:rPr>
          <w:rFonts w:ascii="Times New Roman" w:hAnsi="Times New Roman"/>
          <w:b/>
          <w:sz w:val="24"/>
          <w:szCs w:val="24"/>
          <w:lang w:eastAsia="lt-LT"/>
        </w:rPr>
        <w:t>PR</w:t>
      </w:r>
      <w:r w:rsidR="00533937" w:rsidRPr="00C243AB">
        <w:rPr>
          <w:rFonts w:ascii="Times New Roman" w:hAnsi="Times New Roman"/>
          <w:b/>
          <w:sz w:val="24"/>
          <w:szCs w:val="24"/>
          <w:lang w:eastAsia="lt-LT"/>
        </w:rPr>
        <w:t>IEMONĖ</w:t>
      </w:r>
      <w:r w:rsidR="00533937">
        <w:rPr>
          <w:rFonts w:ascii="Times New Roman" w:hAnsi="Times New Roman"/>
          <w:b/>
          <w:sz w:val="24"/>
          <w:szCs w:val="24"/>
          <w:lang w:eastAsia="lt-LT"/>
        </w:rPr>
        <w:t>S</w:t>
      </w:r>
      <w:r w:rsidR="00533937" w:rsidRPr="00C243AB">
        <w:rPr>
          <w:rFonts w:ascii="Times New Roman" w:hAnsi="Times New Roman"/>
          <w:sz w:val="24"/>
          <w:szCs w:val="24"/>
          <w:lang w:eastAsia="lt-LT"/>
        </w:rPr>
        <w:t xml:space="preserve"> </w:t>
      </w:r>
      <w:r w:rsidR="00533937" w:rsidRPr="00C243AB">
        <w:rPr>
          <w:rFonts w:ascii="Times New Roman" w:hAnsi="Times New Roman"/>
          <w:b/>
          <w:sz w:val="24"/>
          <w:szCs w:val="24"/>
          <w:lang w:eastAsia="lt-LT"/>
        </w:rPr>
        <w:t>NR.</w:t>
      </w:r>
      <w:r w:rsidR="00533937" w:rsidRPr="00C243AB">
        <w:rPr>
          <w:rFonts w:ascii="Times New Roman" w:hAnsi="Times New Roman"/>
          <w:sz w:val="24"/>
          <w:szCs w:val="24"/>
          <w:lang w:eastAsia="lt-LT"/>
        </w:rPr>
        <w:t xml:space="preserve"> </w:t>
      </w:r>
      <w:r w:rsidR="0063708A">
        <w:rPr>
          <w:rFonts w:ascii="Times New Roman" w:hAnsi="Times New Roman"/>
          <w:b/>
          <w:sz w:val="24"/>
          <w:szCs w:val="24"/>
          <w:lang w:eastAsia="lt-LT"/>
        </w:rPr>
        <w:t>08.4</w:t>
      </w:r>
      <w:r w:rsidR="00533937" w:rsidRPr="00C243AB">
        <w:rPr>
          <w:rFonts w:ascii="Times New Roman" w:hAnsi="Times New Roman"/>
          <w:b/>
          <w:sz w:val="24"/>
          <w:szCs w:val="24"/>
          <w:lang w:eastAsia="lt-LT"/>
        </w:rPr>
        <w:t>.</w:t>
      </w:r>
      <w:r w:rsidR="0063708A">
        <w:rPr>
          <w:rFonts w:ascii="Times New Roman" w:hAnsi="Times New Roman"/>
          <w:b/>
          <w:sz w:val="24"/>
          <w:szCs w:val="24"/>
          <w:lang w:eastAsia="lt-LT"/>
        </w:rPr>
        <w:t>2</w:t>
      </w:r>
      <w:r w:rsidR="00533937" w:rsidRPr="00C243AB">
        <w:rPr>
          <w:rFonts w:ascii="Times New Roman" w:hAnsi="Times New Roman"/>
          <w:b/>
          <w:sz w:val="24"/>
          <w:szCs w:val="24"/>
          <w:lang w:eastAsia="lt-LT"/>
        </w:rPr>
        <w:t>.-</w:t>
      </w:r>
      <w:r w:rsidR="0092228D">
        <w:rPr>
          <w:rFonts w:ascii="Times New Roman" w:hAnsi="Times New Roman"/>
          <w:b/>
          <w:sz w:val="24"/>
          <w:szCs w:val="24"/>
          <w:lang w:eastAsia="lt-LT"/>
        </w:rPr>
        <w:t>ESFA</w:t>
      </w:r>
      <w:r w:rsidR="00601647">
        <w:rPr>
          <w:rFonts w:ascii="Times New Roman" w:hAnsi="Times New Roman"/>
          <w:b/>
          <w:sz w:val="24"/>
          <w:szCs w:val="24"/>
          <w:lang w:eastAsia="lt-LT"/>
        </w:rPr>
        <w:t>-</w:t>
      </w:r>
      <w:r w:rsidR="0092228D">
        <w:rPr>
          <w:rFonts w:ascii="Times New Roman" w:hAnsi="Times New Roman"/>
          <w:b/>
          <w:sz w:val="24"/>
          <w:szCs w:val="24"/>
          <w:lang w:eastAsia="lt-LT"/>
        </w:rPr>
        <w:t>K</w:t>
      </w:r>
      <w:r w:rsidR="00601647">
        <w:rPr>
          <w:rFonts w:ascii="Times New Roman" w:hAnsi="Times New Roman"/>
          <w:b/>
          <w:sz w:val="24"/>
          <w:szCs w:val="24"/>
          <w:lang w:eastAsia="lt-LT"/>
        </w:rPr>
        <w:t>-62</w:t>
      </w:r>
      <w:r w:rsidR="00287A55">
        <w:rPr>
          <w:rFonts w:ascii="Times New Roman" w:hAnsi="Times New Roman"/>
          <w:b/>
          <w:sz w:val="24"/>
          <w:szCs w:val="24"/>
          <w:lang w:eastAsia="lt-LT"/>
        </w:rPr>
        <w:t>9</w:t>
      </w:r>
      <w:r w:rsidR="00533937" w:rsidRPr="00C243AB">
        <w:rPr>
          <w:rFonts w:ascii="Times New Roman" w:hAnsi="Times New Roman"/>
          <w:b/>
          <w:sz w:val="24"/>
          <w:szCs w:val="24"/>
          <w:lang w:eastAsia="lt-LT"/>
        </w:rPr>
        <w:t xml:space="preserve"> „</w:t>
      </w:r>
      <w:r w:rsidR="00F9798D">
        <w:rPr>
          <w:rFonts w:ascii="Times New Roman" w:hAnsi="Times New Roman"/>
          <w:b/>
          <w:sz w:val="24"/>
          <w:szCs w:val="24"/>
          <w:lang w:eastAsia="lt-LT"/>
        </w:rPr>
        <w:t>BENDRADARBIAVIMO SKATINIMAS SVEIKATOS NETOLYGUMŲ MAŽINIMO IR SVEIKO SENĖJIMO SRITYJE</w:t>
      </w:r>
      <w:r w:rsidR="00533937" w:rsidRPr="00C243AB">
        <w:rPr>
          <w:rFonts w:ascii="Times New Roman" w:hAnsi="Times New Roman"/>
          <w:b/>
          <w:sz w:val="24"/>
          <w:szCs w:val="24"/>
          <w:lang w:eastAsia="lt-LT"/>
        </w:rPr>
        <w:t>“</w:t>
      </w:r>
      <w:r w:rsidR="00533937">
        <w:rPr>
          <w:rFonts w:ascii="Times New Roman" w:hAnsi="Times New Roman"/>
          <w:b/>
          <w:sz w:val="24"/>
          <w:szCs w:val="24"/>
          <w:lang w:eastAsia="lt-LT"/>
        </w:rPr>
        <w:t xml:space="preserve"> PAGRINDIMAS</w:t>
      </w:r>
    </w:p>
    <w:tbl>
      <w:tblPr>
        <w:tblStyle w:val="Lentelstinklelis"/>
        <w:tblW w:w="10348" w:type="dxa"/>
        <w:tblInd w:w="-743" w:type="dxa"/>
        <w:tblLayout w:type="fixed"/>
        <w:tblLook w:val="04A0" w:firstRow="1" w:lastRow="0" w:firstColumn="1" w:lastColumn="0" w:noHBand="0" w:noVBand="1"/>
      </w:tblPr>
      <w:tblGrid>
        <w:gridCol w:w="567"/>
        <w:gridCol w:w="2836"/>
        <w:gridCol w:w="6945"/>
      </w:tblGrid>
      <w:tr w:rsidR="00FB6137" w:rsidRPr="00807A15" w:rsidTr="00465660">
        <w:tc>
          <w:tcPr>
            <w:tcW w:w="567" w:type="dxa"/>
            <w:shd w:val="clear" w:color="auto" w:fill="F2F2F2" w:themeFill="background1" w:themeFillShade="F2"/>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 xml:space="preserve">Nr. </w:t>
            </w:r>
          </w:p>
        </w:tc>
        <w:tc>
          <w:tcPr>
            <w:tcW w:w="2836" w:type="dxa"/>
            <w:shd w:val="clear" w:color="auto" w:fill="F2F2F2" w:themeFill="background1" w:themeFillShade="F2"/>
          </w:tcPr>
          <w:p w:rsidR="00FB6137" w:rsidRPr="00807A15" w:rsidRDefault="00FB6137" w:rsidP="00465660">
            <w:pPr>
              <w:tabs>
                <w:tab w:val="left" w:pos="567"/>
              </w:tabs>
              <w:jc w:val="center"/>
              <w:rPr>
                <w:rFonts w:ascii="Times New Roman" w:hAnsi="Times New Roman"/>
                <w:sz w:val="24"/>
                <w:szCs w:val="24"/>
              </w:rPr>
            </w:pPr>
            <w:r w:rsidRPr="00807A15">
              <w:rPr>
                <w:rFonts w:ascii="Times New Roman" w:hAnsi="Times New Roman"/>
                <w:sz w:val="24"/>
                <w:szCs w:val="24"/>
              </w:rPr>
              <w:t>Klausimas</w:t>
            </w:r>
          </w:p>
        </w:tc>
        <w:tc>
          <w:tcPr>
            <w:tcW w:w="6945" w:type="dxa"/>
            <w:shd w:val="clear" w:color="auto" w:fill="F2F2F2" w:themeFill="background1" w:themeFillShade="F2"/>
          </w:tcPr>
          <w:p w:rsidR="00FB6137" w:rsidRPr="00807A15" w:rsidRDefault="00FB6137" w:rsidP="00465660">
            <w:pPr>
              <w:tabs>
                <w:tab w:val="left" w:pos="567"/>
              </w:tabs>
              <w:jc w:val="center"/>
              <w:rPr>
                <w:rFonts w:ascii="Times New Roman" w:hAnsi="Times New Roman"/>
                <w:sz w:val="24"/>
                <w:szCs w:val="24"/>
              </w:rPr>
            </w:pPr>
            <w:r w:rsidRPr="00807A15">
              <w:rPr>
                <w:rFonts w:ascii="Times New Roman" w:hAnsi="Times New Roman"/>
                <w:sz w:val="24"/>
                <w:szCs w:val="24"/>
              </w:rPr>
              <w:t>Ministerijos pateikta informacija</w:t>
            </w:r>
          </w:p>
          <w:p w:rsidR="00FB6137" w:rsidRPr="00807A15" w:rsidRDefault="00FB6137" w:rsidP="00465660">
            <w:pPr>
              <w:tabs>
                <w:tab w:val="left" w:pos="567"/>
              </w:tabs>
              <w:jc w:val="center"/>
              <w:rPr>
                <w:rFonts w:ascii="Times New Roman" w:hAnsi="Times New Roman"/>
                <w:sz w:val="24"/>
                <w:szCs w:val="24"/>
              </w:rPr>
            </w:pPr>
            <w:r w:rsidRPr="00807A15">
              <w:rPr>
                <w:rFonts w:ascii="Times New Roman" w:hAnsi="Times New Roman"/>
                <w:sz w:val="24"/>
                <w:szCs w:val="24"/>
              </w:rPr>
              <w:t>(pildymo instrukcija)</w:t>
            </w:r>
          </w:p>
        </w:tc>
      </w:tr>
      <w:tr w:rsidR="00FB6137" w:rsidRPr="00807A15" w:rsidTr="00465660">
        <w:tc>
          <w:tcPr>
            <w:tcW w:w="10348" w:type="dxa"/>
            <w:gridSpan w:val="3"/>
            <w:shd w:val="clear" w:color="auto" w:fill="F2F2F2" w:themeFill="background1" w:themeFillShade="F2"/>
          </w:tcPr>
          <w:p w:rsidR="00FB6137" w:rsidRPr="00807A15" w:rsidRDefault="00FB6137" w:rsidP="00FB6137">
            <w:pPr>
              <w:pStyle w:val="Sraopastraipa"/>
              <w:numPr>
                <w:ilvl w:val="0"/>
                <w:numId w:val="3"/>
              </w:numPr>
              <w:tabs>
                <w:tab w:val="left" w:pos="567"/>
              </w:tabs>
              <w:jc w:val="center"/>
              <w:rPr>
                <w:rFonts w:ascii="Times New Roman" w:hAnsi="Times New Roman"/>
                <w:sz w:val="24"/>
                <w:szCs w:val="24"/>
              </w:rPr>
            </w:pPr>
            <w:r w:rsidRPr="00807A15">
              <w:rPr>
                <w:rFonts w:ascii="Times New Roman" w:hAnsi="Times New Roman"/>
                <w:sz w:val="24"/>
                <w:szCs w:val="24"/>
              </w:rPr>
              <w:t>Priemonės aprašymas</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left="0" w:firstLine="0"/>
              <w:rPr>
                <w:rFonts w:ascii="Times New Roman" w:hAnsi="Times New Roman"/>
                <w:sz w:val="24"/>
                <w:szCs w:val="24"/>
              </w:rPr>
            </w:pP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 xml:space="preserve">Priemonės atitiktis </w:t>
            </w:r>
            <w:r w:rsidRPr="00807A15">
              <w:rPr>
                <w:rFonts w:ascii="Times New Roman" w:hAnsi="Times New Roman"/>
                <w:bCs/>
                <w:sz w:val="24"/>
                <w:szCs w:val="24"/>
              </w:rPr>
              <w:t xml:space="preserve">2014–2020 metų Europos Sąjungos fondų investicijų </w:t>
            </w:r>
            <w:r w:rsidRPr="00807A15">
              <w:rPr>
                <w:rFonts w:ascii="Times New Roman" w:hAnsi="Times New Roman"/>
                <w:sz w:val="24"/>
                <w:szCs w:val="24"/>
              </w:rPr>
              <w:t>veiksmų programos (toliau – veiksmų programa) nuostatoms</w:t>
            </w:r>
          </w:p>
        </w:tc>
        <w:tc>
          <w:tcPr>
            <w:tcW w:w="6945" w:type="dxa"/>
          </w:tcPr>
          <w:p w:rsidR="00A84155" w:rsidRDefault="00354BC3" w:rsidP="0082157B">
            <w:pPr>
              <w:tabs>
                <w:tab w:val="left" w:pos="567"/>
              </w:tabs>
              <w:jc w:val="both"/>
              <w:rPr>
                <w:rFonts w:ascii="Times New Roman" w:hAnsi="Times New Roman"/>
                <w:sz w:val="24"/>
                <w:szCs w:val="24"/>
              </w:rPr>
            </w:pPr>
            <w:r w:rsidRPr="00354BC3">
              <w:rPr>
                <w:rFonts w:ascii="Times New Roman" w:hAnsi="Times New Roman"/>
                <w:sz w:val="24"/>
                <w:szCs w:val="24"/>
              </w:rPr>
              <w:t xml:space="preserve">Priemonė </w:t>
            </w:r>
            <w:r w:rsidR="00345AAD" w:rsidRPr="00345AAD">
              <w:rPr>
                <w:rFonts w:ascii="Times New Roman" w:hAnsi="Times New Roman"/>
                <w:sz w:val="24"/>
                <w:szCs w:val="24"/>
              </w:rPr>
              <w:t>NR. 08.4.2.-ESFA-K-629 „</w:t>
            </w:r>
            <w:r w:rsidR="00345AAD">
              <w:rPr>
                <w:rFonts w:ascii="Times New Roman" w:hAnsi="Times New Roman"/>
                <w:sz w:val="24"/>
                <w:szCs w:val="24"/>
              </w:rPr>
              <w:t>B</w:t>
            </w:r>
            <w:r w:rsidR="00345AAD" w:rsidRPr="00345AAD">
              <w:rPr>
                <w:rFonts w:ascii="Times New Roman" w:hAnsi="Times New Roman"/>
                <w:sz w:val="24"/>
                <w:szCs w:val="24"/>
              </w:rPr>
              <w:t xml:space="preserve">endradarbiavimo skatinimas sveikatos netolygumų mažinimo ir sveiko senėjimo srityje“ </w:t>
            </w:r>
            <w:r w:rsidR="00345AAD">
              <w:rPr>
                <w:rFonts w:ascii="Times New Roman" w:hAnsi="Times New Roman"/>
                <w:sz w:val="24"/>
                <w:szCs w:val="24"/>
              </w:rPr>
              <w:t xml:space="preserve">(toliau – Priemonė) </w:t>
            </w:r>
            <w:r w:rsidRPr="00354BC3">
              <w:rPr>
                <w:rFonts w:ascii="Times New Roman" w:hAnsi="Times New Roman"/>
                <w:sz w:val="24"/>
                <w:szCs w:val="24"/>
              </w:rPr>
              <w:t>prisideda prie 2</w:t>
            </w:r>
            <w:r>
              <w:rPr>
                <w:rFonts w:ascii="Times New Roman" w:hAnsi="Times New Roman"/>
                <w:sz w:val="24"/>
                <w:szCs w:val="24"/>
              </w:rPr>
              <w:t xml:space="preserve">014–2020 metų Europos Sąjungos </w:t>
            </w:r>
            <w:r w:rsidRPr="00354BC3">
              <w:rPr>
                <w:rFonts w:ascii="Times New Roman" w:hAnsi="Times New Roman"/>
                <w:sz w:val="24"/>
                <w:szCs w:val="24"/>
              </w:rPr>
              <w:t xml:space="preserve">fondų investicijų veiksmų programos </w:t>
            </w:r>
            <w:r w:rsidR="00015D0C">
              <w:rPr>
                <w:rFonts w:ascii="Times New Roman" w:hAnsi="Times New Roman"/>
                <w:sz w:val="24"/>
                <w:szCs w:val="24"/>
              </w:rPr>
              <w:t xml:space="preserve">(toliau – Veiksmų programa) </w:t>
            </w:r>
            <w:r>
              <w:rPr>
                <w:rFonts w:ascii="Times New Roman" w:hAnsi="Times New Roman"/>
                <w:sz w:val="24"/>
                <w:szCs w:val="24"/>
              </w:rPr>
              <w:t>8</w:t>
            </w:r>
            <w:r w:rsidRPr="00354BC3">
              <w:rPr>
                <w:rFonts w:ascii="Times New Roman" w:hAnsi="Times New Roman"/>
                <w:sz w:val="24"/>
                <w:szCs w:val="24"/>
              </w:rPr>
              <w:t xml:space="preserve"> prioriteto „</w:t>
            </w:r>
            <w:r>
              <w:rPr>
                <w:rFonts w:ascii="Times New Roman" w:hAnsi="Times New Roman"/>
                <w:sz w:val="24"/>
                <w:szCs w:val="24"/>
              </w:rPr>
              <w:t>Socialinės įtraukties didinimas ir kova su skurdu</w:t>
            </w:r>
            <w:r w:rsidRPr="00354BC3">
              <w:rPr>
                <w:rFonts w:ascii="Times New Roman" w:hAnsi="Times New Roman"/>
                <w:sz w:val="24"/>
                <w:szCs w:val="24"/>
              </w:rPr>
              <w:t xml:space="preserve">“ </w:t>
            </w:r>
            <w:r w:rsidR="00CB35C5">
              <w:rPr>
                <w:rFonts w:ascii="Times New Roman" w:hAnsi="Times New Roman"/>
                <w:sz w:val="24"/>
                <w:szCs w:val="24"/>
              </w:rPr>
              <w:t xml:space="preserve">8.4. </w:t>
            </w:r>
            <w:r w:rsidR="00D43FAF">
              <w:rPr>
                <w:rFonts w:ascii="Times New Roman" w:hAnsi="Times New Roman"/>
                <w:sz w:val="24"/>
                <w:szCs w:val="24"/>
              </w:rPr>
              <w:t>investicinio prioriteto „Galimybių gauti įperkamas, darnias ir aukštos kokybės paslaugas didinimas, įskaitant sveikatos priežiūrą ir visuotinės svarbos socialines paslaugas“</w:t>
            </w:r>
            <w:r w:rsidR="00AE62B0">
              <w:rPr>
                <w:rFonts w:ascii="Times New Roman" w:hAnsi="Times New Roman"/>
                <w:sz w:val="24"/>
                <w:szCs w:val="24"/>
              </w:rPr>
              <w:t xml:space="preserve"> 8.4.2</w:t>
            </w:r>
            <w:r w:rsidR="00913307">
              <w:rPr>
                <w:rFonts w:ascii="Times New Roman" w:hAnsi="Times New Roman"/>
                <w:sz w:val="24"/>
                <w:szCs w:val="24"/>
              </w:rPr>
              <w:t xml:space="preserve"> konkretaus uždavinio „Sumažinti sveikatos netolygumus, gerinant sveikatos priežiūros kokybę ir prieinamumą tikslinėms gyventojų grupėms ir skatinti sveiką senėjimą“</w:t>
            </w:r>
            <w:r w:rsidR="00BA50D0">
              <w:rPr>
                <w:rFonts w:ascii="Times New Roman" w:hAnsi="Times New Roman"/>
                <w:sz w:val="24"/>
                <w:szCs w:val="24"/>
              </w:rPr>
              <w:t xml:space="preserve">. </w:t>
            </w:r>
            <w:r w:rsidR="00F9798D">
              <w:rPr>
                <w:rFonts w:ascii="Times New Roman" w:hAnsi="Times New Roman"/>
                <w:sz w:val="24"/>
                <w:szCs w:val="24"/>
              </w:rPr>
              <w:t xml:space="preserve">Įgyvendinant šį uždavinį </w:t>
            </w:r>
            <w:r w:rsidR="00E41AD4">
              <w:rPr>
                <w:rFonts w:ascii="Times New Roman" w:hAnsi="Times New Roman"/>
                <w:sz w:val="24"/>
                <w:szCs w:val="24"/>
              </w:rPr>
              <w:t>planuojama</w:t>
            </w:r>
            <w:r w:rsidR="00F9798D">
              <w:rPr>
                <w:rFonts w:ascii="Times New Roman" w:hAnsi="Times New Roman"/>
                <w:sz w:val="24"/>
                <w:szCs w:val="24"/>
              </w:rPr>
              <w:t xml:space="preserve"> padidint</w:t>
            </w:r>
            <w:r w:rsidR="00E41AD4">
              <w:rPr>
                <w:rFonts w:ascii="Times New Roman" w:hAnsi="Times New Roman"/>
                <w:sz w:val="24"/>
                <w:szCs w:val="24"/>
              </w:rPr>
              <w:t>i</w:t>
            </w:r>
            <w:r w:rsidR="00F9798D">
              <w:rPr>
                <w:rFonts w:ascii="Times New Roman" w:hAnsi="Times New Roman"/>
                <w:sz w:val="24"/>
                <w:szCs w:val="24"/>
              </w:rPr>
              <w:t xml:space="preserve"> </w:t>
            </w:r>
            <w:r w:rsidR="00E41AD4">
              <w:rPr>
                <w:rFonts w:ascii="Times New Roman" w:hAnsi="Times New Roman"/>
                <w:sz w:val="24"/>
                <w:szCs w:val="24"/>
              </w:rPr>
              <w:t>tikslinių grupių gyventojų sveikatos raštingumą</w:t>
            </w:r>
            <w:r w:rsidR="00F9798D">
              <w:rPr>
                <w:rFonts w:ascii="Times New Roman" w:hAnsi="Times New Roman"/>
                <w:sz w:val="24"/>
                <w:szCs w:val="24"/>
              </w:rPr>
              <w:t xml:space="preserve">, </w:t>
            </w:r>
            <w:r w:rsidR="00E41AD4">
              <w:rPr>
                <w:rFonts w:ascii="Times New Roman" w:hAnsi="Times New Roman"/>
                <w:sz w:val="24"/>
                <w:szCs w:val="24"/>
              </w:rPr>
              <w:t>formuoti sveikos gyvensenos įgūdžius</w:t>
            </w:r>
            <w:r w:rsidR="00F9798D">
              <w:rPr>
                <w:rFonts w:ascii="Times New Roman" w:hAnsi="Times New Roman"/>
                <w:sz w:val="24"/>
                <w:szCs w:val="24"/>
              </w:rPr>
              <w:t xml:space="preserve">, </w:t>
            </w:r>
            <w:r w:rsidR="00E41AD4">
              <w:rPr>
                <w:rFonts w:ascii="Times New Roman" w:hAnsi="Times New Roman"/>
                <w:sz w:val="24"/>
                <w:szCs w:val="24"/>
              </w:rPr>
              <w:t xml:space="preserve">skatinti </w:t>
            </w:r>
            <w:r w:rsidR="00991166">
              <w:rPr>
                <w:rFonts w:ascii="Times New Roman" w:hAnsi="Times New Roman"/>
                <w:sz w:val="24"/>
                <w:szCs w:val="24"/>
              </w:rPr>
              <w:t xml:space="preserve">socialiai </w:t>
            </w:r>
            <w:r w:rsidR="00FA6FCD">
              <w:rPr>
                <w:rFonts w:ascii="Times New Roman" w:hAnsi="Times New Roman"/>
                <w:sz w:val="24"/>
                <w:szCs w:val="24"/>
              </w:rPr>
              <w:t>pažeidžiam</w:t>
            </w:r>
            <w:r w:rsidR="00991166">
              <w:rPr>
                <w:rFonts w:ascii="Times New Roman" w:hAnsi="Times New Roman"/>
                <w:sz w:val="24"/>
                <w:szCs w:val="24"/>
              </w:rPr>
              <w:t>us</w:t>
            </w:r>
            <w:r w:rsidR="00FA6FCD">
              <w:rPr>
                <w:rFonts w:ascii="Times New Roman" w:hAnsi="Times New Roman"/>
                <w:sz w:val="24"/>
                <w:szCs w:val="24"/>
              </w:rPr>
              <w:t xml:space="preserve"> asmen</w:t>
            </w:r>
            <w:r w:rsidR="00991166">
              <w:rPr>
                <w:rFonts w:ascii="Times New Roman" w:hAnsi="Times New Roman"/>
                <w:sz w:val="24"/>
                <w:szCs w:val="24"/>
              </w:rPr>
              <w:t>i</w:t>
            </w:r>
            <w:r w:rsidR="00FA6FCD">
              <w:rPr>
                <w:rFonts w:ascii="Times New Roman" w:hAnsi="Times New Roman"/>
                <w:sz w:val="24"/>
                <w:szCs w:val="24"/>
              </w:rPr>
              <w:t>s laiku ir pagal iškilusius sveikatos būklės poreikius pasinaudoti teikiamomis s</w:t>
            </w:r>
            <w:r w:rsidR="00991166">
              <w:rPr>
                <w:rFonts w:ascii="Times New Roman" w:hAnsi="Times New Roman"/>
                <w:sz w:val="24"/>
                <w:szCs w:val="24"/>
              </w:rPr>
              <w:t xml:space="preserve">veikatos priežiūros paslaugomis. Taip pat </w:t>
            </w:r>
            <w:r w:rsidR="00FA6FCD">
              <w:rPr>
                <w:rFonts w:ascii="Times New Roman" w:hAnsi="Times New Roman"/>
                <w:sz w:val="24"/>
                <w:szCs w:val="24"/>
              </w:rPr>
              <w:t>bus sudaromos prielaidos tikslinėms gyventojų grupėms ilgesniam ir sveikesniam gyvenimui</w:t>
            </w:r>
            <w:r w:rsidR="00CF58F9">
              <w:rPr>
                <w:rFonts w:ascii="Times New Roman" w:hAnsi="Times New Roman"/>
                <w:sz w:val="24"/>
                <w:szCs w:val="24"/>
              </w:rPr>
              <w:t>, prisidedama prie priešlaikinių mirčių rizikos</w:t>
            </w:r>
            <w:r w:rsidR="005C3222">
              <w:rPr>
                <w:rFonts w:ascii="Times New Roman" w:hAnsi="Times New Roman"/>
                <w:sz w:val="24"/>
                <w:szCs w:val="24"/>
              </w:rPr>
              <w:t>,</w:t>
            </w:r>
            <w:r w:rsidR="00CF58F9">
              <w:rPr>
                <w:rFonts w:ascii="Times New Roman" w:hAnsi="Times New Roman"/>
                <w:sz w:val="24"/>
                <w:szCs w:val="24"/>
              </w:rPr>
              <w:t xml:space="preserve"> psichinės ir fizinės sveikatos lygio skirtumų maž</w:t>
            </w:r>
            <w:r w:rsidR="00991166">
              <w:rPr>
                <w:rFonts w:ascii="Times New Roman" w:hAnsi="Times New Roman"/>
                <w:sz w:val="24"/>
                <w:szCs w:val="24"/>
              </w:rPr>
              <w:t>inimo</w:t>
            </w:r>
            <w:r w:rsidR="00CF58F9">
              <w:rPr>
                <w:rFonts w:ascii="Times New Roman" w:hAnsi="Times New Roman"/>
                <w:sz w:val="24"/>
                <w:szCs w:val="24"/>
              </w:rPr>
              <w:t>.</w:t>
            </w:r>
            <w:r w:rsidR="00A84155">
              <w:rPr>
                <w:rFonts w:ascii="Times New Roman" w:hAnsi="Times New Roman"/>
                <w:sz w:val="24"/>
                <w:szCs w:val="24"/>
              </w:rPr>
              <w:t xml:space="preserve"> </w:t>
            </w:r>
          </w:p>
          <w:p w:rsidR="0044177D" w:rsidRDefault="005C3222" w:rsidP="0082157B">
            <w:pPr>
              <w:tabs>
                <w:tab w:val="left" w:pos="567"/>
              </w:tabs>
              <w:jc w:val="both"/>
              <w:rPr>
                <w:rFonts w:ascii="Times New Roman" w:hAnsi="Times New Roman"/>
                <w:sz w:val="24"/>
                <w:szCs w:val="24"/>
              </w:rPr>
            </w:pPr>
            <w:r>
              <w:rPr>
                <w:rFonts w:ascii="Times New Roman" w:hAnsi="Times New Roman"/>
                <w:sz w:val="23"/>
                <w:szCs w:val="23"/>
              </w:rPr>
              <w:t>Priemonės įgyvendinimo plane nurodytos veiklos prisideda prie šių 8.4.2 konkretaus uždavinio veiklų, nurodytų Veiksmų programoje, įgyvendinimo</w:t>
            </w:r>
            <w:r w:rsidR="00081C35" w:rsidRPr="00B0166D">
              <w:rPr>
                <w:rFonts w:ascii="Times New Roman" w:hAnsi="Times New Roman"/>
                <w:sz w:val="24"/>
                <w:szCs w:val="24"/>
              </w:rPr>
              <w:t>:</w:t>
            </w:r>
            <w:r w:rsidR="001D468C" w:rsidRPr="00B0166D">
              <w:rPr>
                <w:rFonts w:ascii="Times New Roman" w:hAnsi="Times New Roman"/>
                <w:sz w:val="24"/>
                <w:szCs w:val="24"/>
              </w:rPr>
              <w:t xml:space="preserve"> </w:t>
            </w:r>
          </w:p>
          <w:p w:rsidR="00C4790E" w:rsidRDefault="00C4790E" w:rsidP="0082157B">
            <w:pPr>
              <w:tabs>
                <w:tab w:val="left" w:pos="567"/>
              </w:tabs>
              <w:jc w:val="both"/>
              <w:rPr>
                <w:rFonts w:ascii="Times New Roman" w:hAnsi="Times New Roman"/>
                <w:sz w:val="24"/>
                <w:szCs w:val="24"/>
              </w:rPr>
            </w:pPr>
            <w:r>
              <w:rPr>
                <w:rFonts w:ascii="Times New Roman" w:hAnsi="Times New Roman"/>
                <w:sz w:val="24"/>
                <w:szCs w:val="24"/>
              </w:rPr>
              <w:t xml:space="preserve">- </w:t>
            </w:r>
            <w:r w:rsidR="00D1024F">
              <w:rPr>
                <w:rFonts w:ascii="Times New Roman" w:hAnsi="Times New Roman"/>
                <w:sz w:val="24"/>
                <w:szCs w:val="24"/>
              </w:rPr>
              <w:t>I</w:t>
            </w:r>
            <w:r>
              <w:rPr>
                <w:rFonts w:ascii="Times New Roman" w:hAnsi="Times New Roman"/>
                <w:sz w:val="24"/>
                <w:szCs w:val="24"/>
              </w:rPr>
              <w:t>nformacijos teikimas tikslinėms gyventojų grupėms, jų švietimas ir mokymas sveikos gyvensenos, sveikatos išsaugojimo ir stiprinimo, ligų prevencijos bei kontrolės temomis (sveika mityba, fizinis aktyvumas, infekcinių ir neinfekcinių ligų profilaktika, savižudybių, smurto netyčinių sužalojimų bei žalingų įpročių (alkoholio ir tabako vartojimo) prevencija). Taip pat šių iniciatyvų efektyvumo stebėsena ir vertinimas.</w:t>
            </w:r>
            <w:r w:rsidR="00886B9C">
              <w:rPr>
                <w:rFonts w:ascii="Times New Roman" w:hAnsi="Times New Roman"/>
                <w:sz w:val="24"/>
                <w:szCs w:val="24"/>
              </w:rPr>
              <w:t xml:space="preserve"> Prie šios 8.4.2 konkretaus uždavinio veiklos įgyvendinimo prisidedama Priemonės įgyvendinimo plano 1.3.1,  1.3.3</w:t>
            </w:r>
            <w:r w:rsidR="00DC774C">
              <w:rPr>
                <w:rFonts w:ascii="Times New Roman" w:hAnsi="Times New Roman"/>
                <w:sz w:val="24"/>
                <w:szCs w:val="24"/>
              </w:rPr>
              <w:t>, 1.3.5.</w:t>
            </w:r>
            <w:r w:rsidR="00886B9C">
              <w:rPr>
                <w:rFonts w:ascii="Times New Roman" w:hAnsi="Times New Roman"/>
                <w:sz w:val="24"/>
                <w:szCs w:val="24"/>
              </w:rPr>
              <w:t xml:space="preserve"> </w:t>
            </w:r>
            <w:r w:rsidR="00210F13">
              <w:rPr>
                <w:rFonts w:ascii="Times New Roman" w:hAnsi="Times New Roman"/>
                <w:sz w:val="24"/>
                <w:szCs w:val="24"/>
              </w:rPr>
              <w:t>ir 1.3.6 pap</w:t>
            </w:r>
            <w:r w:rsidR="00A92E64">
              <w:rPr>
                <w:rFonts w:ascii="Times New Roman" w:hAnsi="Times New Roman"/>
                <w:sz w:val="24"/>
                <w:szCs w:val="24"/>
              </w:rPr>
              <w:t xml:space="preserve">unkčiuose nurodytomis veiklomis, </w:t>
            </w:r>
            <w:r w:rsidR="00A92E64" w:rsidRPr="00A92E64">
              <w:rPr>
                <w:rFonts w:ascii="Times New Roman" w:hAnsi="Times New Roman"/>
                <w:sz w:val="24"/>
                <w:szCs w:val="24"/>
              </w:rPr>
              <w:t xml:space="preserve">pagal kurias numatyta remti asmenų, patyrusių krizines situacijas, saviraišką, t. y. skleisti informaciją, pasidalinti patirtimi apie krizinių situacijų problemų sprendimą, apie sveikos gyvensenos privalomumus šalinant krizinių situacijų atsiradimo priežastis. Taip pat įgyvendinant šias veiklas numatytas </w:t>
            </w:r>
            <w:r w:rsidR="00A92E64">
              <w:rPr>
                <w:rFonts w:ascii="Times New Roman" w:hAnsi="Times New Roman"/>
                <w:sz w:val="24"/>
                <w:szCs w:val="24"/>
              </w:rPr>
              <w:t xml:space="preserve">vaikų ir paauglių iki 18 metų </w:t>
            </w:r>
            <w:r w:rsidR="00DC774C">
              <w:rPr>
                <w:rFonts w:ascii="Times New Roman" w:hAnsi="Times New Roman"/>
                <w:sz w:val="24"/>
                <w:szCs w:val="24"/>
              </w:rPr>
              <w:t>skatinimas rinktis sveiką ir aktyvų gyvenimo būdą per įvairių laisvalaikio formų organizavimą: meno renginiai, konkursai ir kt. projektai</w:t>
            </w:r>
            <w:r w:rsidR="00A92E64">
              <w:rPr>
                <w:rFonts w:ascii="Times New Roman" w:hAnsi="Times New Roman"/>
                <w:sz w:val="24"/>
                <w:szCs w:val="24"/>
              </w:rPr>
              <w:t xml:space="preserve"> bei tikslinių grupių asmenų</w:t>
            </w:r>
            <w:r w:rsidR="00DC774C">
              <w:rPr>
                <w:rFonts w:ascii="Times New Roman" w:hAnsi="Times New Roman"/>
                <w:sz w:val="24"/>
                <w:szCs w:val="24"/>
              </w:rPr>
              <w:t xml:space="preserve"> </w:t>
            </w:r>
            <w:r w:rsidR="00CB2BC5">
              <w:rPr>
                <w:rFonts w:ascii="Times New Roman" w:hAnsi="Times New Roman"/>
                <w:sz w:val="24"/>
                <w:szCs w:val="24"/>
              </w:rPr>
              <w:t>sveikatos raštingumo didinimas per sveiko ir aktyvaus gyvenimo būdo propagavimą ir prevencijos priemonių mokymą.</w:t>
            </w:r>
            <w:r w:rsidR="00A92E64">
              <w:rPr>
                <w:rFonts w:ascii="Times New Roman" w:hAnsi="Times New Roman"/>
                <w:sz w:val="24"/>
                <w:szCs w:val="24"/>
              </w:rPr>
              <w:t xml:space="preserve"> </w:t>
            </w:r>
            <w:r w:rsidR="00A92E64" w:rsidRPr="00A92E64">
              <w:rPr>
                <w:rFonts w:ascii="Times New Roman" w:hAnsi="Times New Roman"/>
                <w:sz w:val="24"/>
                <w:szCs w:val="24"/>
              </w:rPr>
              <w:t xml:space="preserve"> </w:t>
            </w:r>
          </w:p>
          <w:p w:rsidR="00C4790E" w:rsidRDefault="00DF7F2E" w:rsidP="0082157B">
            <w:pPr>
              <w:tabs>
                <w:tab w:val="left" w:pos="567"/>
              </w:tabs>
              <w:jc w:val="both"/>
              <w:rPr>
                <w:rFonts w:ascii="Times New Roman" w:hAnsi="Times New Roman"/>
                <w:sz w:val="24"/>
                <w:szCs w:val="24"/>
              </w:rPr>
            </w:pPr>
            <w:r>
              <w:rPr>
                <w:rFonts w:ascii="Times New Roman" w:hAnsi="Times New Roman"/>
                <w:sz w:val="24"/>
                <w:szCs w:val="24"/>
              </w:rPr>
              <w:t xml:space="preserve">- </w:t>
            </w:r>
            <w:r w:rsidR="00D1024F">
              <w:rPr>
                <w:rFonts w:ascii="Times New Roman" w:hAnsi="Times New Roman"/>
                <w:sz w:val="24"/>
                <w:szCs w:val="24"/>
              </w:rPr>
              <w:t xml:space="preserve">Tikslinių gyventojų grupių įgalinimo aktyviai dalyvauti sveikatos priežiūros veikloje didinimas. Investicijomis bus stiprinamas atitinkamų pacientų, NVO, vietos bendruomenių ir </w:t>
            </w:r>
            <w:r w:rsidR="00ED473C">
              <w:rPr>
                <w:rFonts w:ascii="Times New Roman" w:hAnsi="Times New Roman"/>
                <w:sz w:val="24"/>
                <w:szCs w:val="24"/>
              </w:rPr>
              <w:t xml:space="preserve">sveikatos </w:t>
            </w:r>
            <w:r w:rsidR="00ED473C">
              <w:rPr>
                <w:rFonts w:ascii="Times New Roman" w:hAnsi="Times New Roman"/>
                <w:sz w:val="24"/>
                <w:szCs w:val="24"/>
              </w:rPr>
              <w:lastRenderedPageBreak/>
              <w:t xml:space="preserve">priežiūros specialistų bendradarbiavimas, lygiavertė partnerystė bei sveikatos raštingumas nustatytose srityse. Prie šios </w:t>
            </w:r>
            <w:r w:rsidR="00ED473C" w:rsidRPr="00ED473C">
              <w:rPr>
                <w:rFonts w:ascii="Times New Roman" w:hAnsi="Times New Roman"/>
                <w:sz w:val="24"/>
                <w:szCs w:val="24"/>
              </w:rPr>
              <w:t>8.4.2 konkretaus uždavinio veiklos įgyvendinimo prisidedama Priemonės įgyvendinimo plano 1.3.</w:t>
            </w:r>
            <w:r w:rsidR="00ED473C">
              <w:rPr>
                <w:rFonts w:ascii="Times New Roman" w:hAnsi="Times New Roman"/>
                <w:sz w:val="24"/>
                <w:szCs w:val="24"/>
              </w:rPr>
              <w:t xml:space="preserve">2 </w:t>
            </w:r>
            <w:r w:rsidR="00ED473C" w:rsidRPr="00ED473C">
              <w:rPr>
                <w:rFonts w:ascii="Times New Roman" w:hAnsi="Times New Roman"/>
                <w:sz w:val="24"/>
                <w:szCs w:val="24"/>
              </w:rPr>
              <w:t>papunk</w:t>
            </w:r>
            <w:r w:rsidR="00ED473C">
              <w:rPr>
                <w:rFonts w:ascii="Times New Roman" w:hAnsi="Times New Roman"/>
                <w:sz w:val="24"/>
                <w:szCs w:val="24"/>
              </w:rPr>
              <w:t>tyje</w:t>
            </w:r>
            <w:r w:rsidR="00ED473C" w:rsidRPr="00ED473C">
              <w:rPr>
                <w:rFonts w:ascii="Times New Roman" w:hAnsi="Times New Roman"/>
                <w:sz w:val="24"/>
                <w:szCs w:val="24"/>
              </w:rPr>
              <w:t xml:space="preserve"> nurodyt</w:t>
            </w:r>
            <w:r w:rsidR="00ED473C">
              <w:rPr>
                <w:rFonts w:ascii="Times New Roman" w:hAnsi="Times New Roman"/>
                <w:sz w:val="24"/>
                <w:szCs w:val="24"/>
              </w:rPr>
              <w:t>a</w:t>
            </w:r>
            <w:r w:rsidR="00ED473C" w:rsidRPr="00ED473C">
              <w:rPr>
                <w:rFonts w:ascii="Times New Roman" w:hAnsi="Times New Roman"/>
                <w:sz w:val="24"/>
                <w:szCs w:val="24"/>
              </w:rPr>
              <w:t xml:space="preserve"> veikl</w:t>
            </w:r>
            <w:r w:rsidR="00ED473C">
              <w:rPr>
                <w:rFonts w:ascii="Times New Roman" w:hAnsi="Times New Roman"/>
                <w:sz w:val="24"/>
                <w:szCs w:val="24"/>
              </w:rPr>
              <w:t>a, pagal kurią bus stiprinami bendruomenių, nevyriausybinių organizacijų narių gebėjimai teikti priežiūros bei pagalbos paslaugas neįgaliesiems ir negalintiems apsitarnauti žmonėms namuose, taip pat bus remiamas priežiūros bei pagalbos paslaugas neįgaliesiems ir negalintiems apsitarnauti žmonėms namuose programų sudarymas bei įgyvendinimas</w:t>
            </w:r>
            <w:r w:rsidR="005F64D6">
              <w:rPr>
                <w:rFonts w:ascii="Times New Roman" w:hAnsi="Times New Roman"/>
                <w:sz w:val="24"/>
                <w:szCs w:val="24"/>
              </w:rPr>
              <w:t xml:space="preserve">. </w:t>
            </w:r>
          </w:p>
          <w:p w:rsidR="0082157B" w:rsidRPr="00AF4772" w:rsidRDefault="005F64D6" w:rsidP="00AF4772">
            <w:pPr>
              <w:tabs>
                <w:tab w:val="left" w:pos="567"/>
              </w:tabs>
              <w:jc w:val="both"/>
              <w:rPr>
                <w:rFonts w:ascii="Times New Roman" w:hAnsi="Times New Roman"/>
                <w:sz w:val="24"/>
                <w:szCs w:val="24"/>
              </w:rPr>
            </w:pPr>
            <w:r>
              <w:rPr>
                <w:rFonts w:ascii="Times New Roman" w:hAnsi="Times New Roman"/>
                <w:sz w:val="24"/>
                <w:szCs w:val="24"/>
              </w:rPr>
              <w:t>- Efektyvių ir inov</w:t>
            </w:r>
            <w:r w:rsidR="0014118C">
              <w:rPr>
                <w:rFonts w:ascii="Times New Roman" w:hAnsi="Times New Roman"/>
                <w:sz w:val="24"/>
                <w:szCs w:val="24"/>
              </w:rPr>
              <w:t xml:space="preserve">atyvių </w:t>
            </w:r>
            <w:r w:rsidR="00A84155" w:rsidRPr="0044177D">
              <w:rPr>
                <w:rFonts w:ascii="Times New Roman" w:hAnsi="Times New Roman"/>
                <w:sz w:val="24"/>
                <w:szCs w:val="24"/>
              </w:rPr>
              <w:t xml:space="preserve">sveikatos priežiūros paslaugų teikimo modelių ir sprendimų, skirtų gerinti sveikatos priežiūros (kraujotakos sistemos ligų, onkologinių susirgimų, </w:t>
            </w:r>
            <w:proofErr w:type="spellStart"/>
            <w:r w:rsidR="00A84155" w:rsidRPr="0044177D">
              <w:rPr>
                <w:rFonts w:ascii="Times New Roman" w:hAnsi="Times New Roman"/>
                <w:sz w:val="24"/>
                <w:szCs w:val="24"/>
              </w:rPr>
              <w:t>cerebrovaskulinių</w:t>
            </w:r>
            <w:proofErr w:type="spellEnd"/>
            <w:r w:rsidR="00A84155" w:rsidRPr="0044177D">
              <w:rPr>
                <w:rFonts w:ascii="Times New Roman" w:hAnsi="Times New Roman"/>
                <w:sz w:val="24"/>
                <w:szCs w:val="24"/>
              </w:rPr>
              <w:t xml:space="preserve"> ligų, išorinių priežasčių srityse) kokybę ir prieinamumą tikslinėms gyventojų grupėms, sukūrimas, išbandymas, diegimas ir plėtra, įgyvendinimo stebėsena ir efektyvumo vertinimas</w:t>
            </w:r>
            <w:r w:rsidR="008D54ED">
              <w:rPr>
                <w:rFonts w:ascii="Times New Roman" w:hAnsi="Times New Roman"/>
                <w:sz w:val="24"/>
                <w:szCs w:val="24"/>
              </w:rPr>
              <w:t xml:space="preserve">. </w:t>
            </w:r>
            <w:r w:rsidR="0026574E" w:rsidRPr="0026574E">
              <w:rPr>
                <w:rFonts w:ascii="Times New Roman" w:hAnsi="Times New Roman"/>
                <w:sz w:val="24"/>
                <w:szCs w:val="24"/>
              </w:rPr>
              <w:t>Prie šios 8.4.2 konkretaus uždavinio veiklos įgyvendinimo prisidedama Pr</w:t>
            </w:r>
            <w:r w:rsidR="0026574E">
              <w:rPr>
                <w:rFonts w:ascii="Times New Roman" w:hAnsi="Times New Roman"/>
                <w:sz w:val="24"/>
                <w:szCs w:val="24"/>
              </w:rPr>
              <w:t xml:space="preserve">iemonės įgyvendinimo plano 1.3.4 papunktyje nurodyta veikla, pagal kurią numatoma sukurti ir įdiegti sveikatos priežiūros teikimo modelį, skirtą vyresnio amžiaus  (55 m. ir vyresni) žmonėms, sergantiems lėtinėmis ligomis. Naujais metodais numatoma pagerinti sveikatos priežiūros paslaugų teikimo kokybę. Taip pat </w:t>
            </w:r>
            <w:r w:rsidR="00AE62B0">
              <w:rPr>
                <w:rFonts w:ascii="Times New Roman" w:hAnsi="Times New Roman"/>
                <w:sz w:val="24"/>
                <w:szCs w:val="24"/>
              </w:rPr>
              <w:t>p</w:t>
            </w:r>
            <w:r w:rsidR="00AE62B0" w:rsidRPr="00AE62B0">
              <w:rPr>
                <w:rFonts w:ascii="Times New Roman" w:hAnsi="Times New Roman"/>
                <w:sz w:val="24"/>
                <w:szCs w:val="24"/>
              </w:rPr>
              <w:t xml:space="preserve">rie šios 8.4.2 konkretaus uždavinio veiklos įgyvendinimo </w:t>
            </w:r>
            <w:r w:rsidR="0026574E">
              <w:rPr>
                <w:rFonts w:ascii="Times New Roman" w:hAnsi="Times New Roman"/>
                <w:sz w:val="24"/>
                <w:szCs w:val="24"/>
              </w:rPr>
              <w:t xml:space="preserve">dalinai prisideda Priemonės įgyvendinimo plane 1.3.5 ir 1.3.6 papunkčiuose </w:t>
            </w:r>
            <w:r w:rsidR="00AE62B0">
              <w:rPr>
                <w:rFonts w:ascii="Times New Roman" w:hAnsi="Times New Roman"/>
                <w:sz w:val="24"/>
                <w:szCs w:val="24"/>
              </w:rPr>
              <w:t>nurodytos veiklos. Pagal 1.3.5</w:t>
            </w:r>
            <w:r w:rsidR="0026574E">
              <w:rPr>
                <w:rFonts w:ascii="Times New Roman" w:hAnsi="Times New Roman"/>
                <w:sz w:val="24"/>
                <w:szCs w:val="24"/>
              </w:rPr>
              <w:t xml:space="preserve"> </w:t>
            </w:r>
            <w:r w:rsidR="00D20DF3">
              <w:rPr>
                <w:rFonts w:ascii="Times New Roman" w:hAnsi="Times New Roman"/>
                <w:sz w:val="24"/>
                <w:szCs w:val="24"/>
              </w:rPr>
              <w:t>papunkčio</w:t>
            </w:r>
            <w:r w:rsidR="00AE62B0">
              <w:rPr>
                <w:rFonts w:ascii="Times New Roman" w:hAnsi="Times New Roman"/>
                <w:sz w:val="24"/>
                <w:szCs w:val="24"/>
              </w:rPr>
              <w:t xml:space="preserve"> </w:t>
            </w:r>
            <w:r w:rsidR="00D20DF3">
              <w:rPr>
                <w:rFonts w:ascii="Times New Roman" w:hAnsi="Times New Roman"/>
                <w:sz w:val="24"/>
                <w:szCs w:val="24"/>
              </w:rPr>
              <w:t xml:space="preserve">veiklą onkologinėmis ligomis sergantiems asmenims numatoma teikti psichologinę ir </w:t>
            </w:r>
            <w:r w:rsidR="00AE62B0">
              <w:rPr>
                <w:rFonts w:ascii="Times New Roman" w:hAnsi="Times New Roman"/>
                <w:sz w:val="24"/>
                <w:szCs w:val="24"/>
              </w:rPr>
              <w:t xml:space="preserve">socialinę pagalbą, pagal 1.3.6 </w:t>
            </w:r>
            <w:r w:rsidR="00D20DF3">
              <w:rPr>
                <w:rFonts w:ascii="Times New Roman" w:hAnsi="Times New Roman"/>
                <w:sz w:val="24"/>
                <w:szCs w:val="24"/>
              </w:rPr>
              <w:t xml:space="preserve">papunkčio veiklą – tikslinių grupių asmenims teikti reikiamą informaciją apie kraujotakos sistemos ligų prevenciją. </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left="0" w:firstLine="0"/>
              <w:rPr>
                <w:rFonts w:ascii="Times New Roman" w:hAnsi="Times New Roman"/>
                <w:sz w:val="24"/>
                <w:szCs w:val="24"/>
              </w:rPr>
            </w:pP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Priemonės atitiktis strateginio planavimo dokumentų nuostatoms</w:t>
            </w:r>
          </w:p>
        </w:tc>
        <w:tc>
          <w:tcPr>
            <w:tcW w:w="6945" w:type="dxa"/>
          </w:tcPr>
          <w:p w:rsidR="002B473D" w:rsidRDefault="00F50759" w:rsidP="00482A04">
            <w:pPr>
              <w:tabs>
                <w:tab w:val="left" w:pos="567"/>
              </w:tabs>
              <w:jc w:val="both"/>
              <w:rPr>
                <w:rFonts w:ascii="Times New Roman" w:hAnsi="Times New Roman"/>
                <w:sz w:val="24"/>
                <w:szCs w:val="24"/>
              </w:rPr>
            </w:pPr>
            <w:r>
              <w:rPr>
                <w:rFonts w:ascii="Times New Roman" w:hAnsi="Times New Roman"/>
                <w:sz w:val="24"/>
                <w:szCs w:val="24"/>
              </w:rPr>
              <w:t xml:space="preserve"> P</w:t>
            </w:r>
            <w:r w:rsidR="00162CA1">
              <w:rPr>
                <w:rFonts w:ascii="Times New Roman" w:hAnsi="Times New Roman"/>
                <w:sz w:val="24"/>
                <w:szCs w:val="24"/>
              </w:rPr>
              <w:t>riemonės veiklos atitinka šių strateginių planavimo dokumentų nuostatas, tikslus ir (ar) uždavinius:</w:t>
            </w:r>
          </w:p>
          <w:p w:rsidR="00A6244E" w:rsidRDefault="002B473D" w:rsidP="00482A04">
            <w:pPr>
              <w:tabs>
                <w:tab w:val="left" w:pos="567"/>
              </w:tabs>
              <w:jc w:val="both"/>
              <w:rPr>
                <w:rFonts w:ascii="Times New Roman" w:hAnsi="Times New Roman"/>
                <w:sz w:val="24"/>
                <w:szCs w:val="24"/>
              </w:rPr>
            </w:pPr>
            <w:r w:rsidRPr="002B473D">
              <w:rPr>
                <w:rFonts w:ascii="Times New Roman" w:hAnsi="Times New Roman"/>
                <w:sz w:val="24"/>
                <w:szCs w:val="24"/>
              </w:rPr>
              <w:t>-</w:t>
            </w:r>
            <w:r>
              <w:rPr>
                <w:rFonts w:ascii="Times New Roman" w:hAnsi="Times New Roman"/>
                <w:sz w:val="24"/>
                <w:szCs w:val="24"/>
              </w:rPr>
              <w:t xml:space="preserve"> </w:t>
            </w:r>
            <w:r w:rsidR="00CA4C74" w:rsidRPr="002B473D">
              <w:rPr>
                <w:rFonts w:ascii="Times New Roman" w:hAnsi="Times New Roman"/>
                <w:sz w:val="24"/>
                <w:szCs w:val="24"/>
              </w:rPr>
              <w:t>Lietuvos sveikatos 2014–2025 metų programos, patvirtintos Lietuvos Respublikos Seimo 2014 m. birželio 26 d. nutarimu Nr. XII-964 „Dėl Lietuvos sveikatos 2014–2025 metų programos patvirtinimo“,</w:t>
            </w:r>
            <w:r w:rsidR="00C73521" w:rsidRPr="002B473D">
              <w:rPr>
                <w:rFonts w:ascii="Times New Roman" w:hAnsi="Times New Roman"/>
                <w:sz w:val="24"/>
                <w:szCs w:val="24"/>
              </w:rPr>
              <w:t xml:space="preserve"> </w:t>
            </w:r>
            <w:r w:rsidR="00331886" w:rsidRPr="002B473D">
              <w:rPr>
                <w:rFonts w:ascii="Times New Roman" w:hAnsi="Times New Roman"/>
                <w:sz w:val="24"/>
                <w:szCs w:val="24"/>
              </w:rPr>
              <w:t>pirmo</w:t>
            </w:r>
            <w:r w:rsidR="00A6244E" w:rsidRPr="002B473D">
              <w:rPr>
                <w:rFonts w:ascii="Times New Roman" w:hAnsi="Times New Roman"/>
                <w:sz w:val="24"/>
                <w:szCs w:val="24"/>
              </w:rPr>
              <w:t xml:space="preserve"> tikslo</w:t>
            </w:r>
            <w:r w:rsidR="00CA4C74" w:rsidRPr="002B473D">
              <w:rPr>
                <w:rFonts w:ascii="Times New Roman" w:hAnsi="Times New Roman"/>
                <w:sz w:val="24"/>
                <w:szCs w:val="24"/>
              </w:rPr>
              <w:t xml:space="preserve"> – </w:t>
            </w:r>
            <w:r w:rsidR="00996B78" w:rsidRPr="002B473D">
              <w:rPr>
                <w:rFonts w:ascii="Times New Roman" w:hAnsi="Times New Roman"/>
                <w:sz w:val="24"/>
                <w:szCs w:val="24"/>
              </w:rPr>
              <w:t>„Su</w:t>
            </w:r>
            <w:r w:rsidR="00331886" w:rsidRPr="002B473D">
              <w:rPr>
                <w:rFonts w:ascii="Times New Roman" w:hAnsi="Times New Roman"/>
                <w:sz w:val="24"/>
                <w:szCs w:val="24"/>
              </w:rPr>
              <w:t xml:space="preserve">kurti saugesnę socialinę aplinką, </w:t>
            </w:r>
            <w:r w:rsidR="00996B78" w:rsidRPr="002B473D">
              <w:rPr>
                <w:rFonts w:ascii="Times New Roman" w:hAnsi="Times New Roman"/>
                <w:sz w:val="24"/>
                <w:szCs w:val="24"/>
              </w:rPr>
              <w:t xml:space="preserve">mažinti </w:t>
            </w:r>
            <w:r w:rsidR="007200C6" w:rsidRPr="002B473D">
              <w:rPr>
                <w:rFonts w:ascii="Times New Roman" w:hAnsi="Times New Roman"/>
                <w:sz w:val="24"/>
                <w:szCs w:val="24"/>
              </w:rPr>
              <w:t xml:space="preserve">sveikatos netolygumus ir socialinę atskirtį“ </w:t>
            </w:r>
            <w:r w:rsidR="00A6244E" w:rsidRPr="002B473D">
              <w:rPr>
                <w:rFonts w:ascii="Times New Roman" w:hAnsi="Times New Roman"/>
                <w:sz w:val="24"/>
                <w:szCs w:val="24"/>
              </w:rPr>
              <w:t>4</w:t>
            </w:r>
            <w:r w:rsidR="00996B78" w:rsidRPr="002B473D">
              <w:rPr>
                <w:rFonts w:ascii="Times New Roman" w:hAnsi="Times New Roman"/>
                <w:sz w:val="24"/>
                <w:szCs w:val="24"/>
              </w:rPr>
              <w:t>9</w:t>
            </w:r>
            <w:r w:rsidR="00A6244E" w:rsidRPr="002B473D">
              <w:rPr>
                <w:rFonts w:ascii="Times New Roman" w:hAnsi="Times New Roman"/>
                <w:sz w:val="24"/>
                <w:szCs w:val="24"/>
              </w:rPr>
              <w:t>.5</w:t>
            </w:r>
            <w:r w:rsidR="00162CA1">
              <w:rPr>
                <w:rFonts w:ascii="Times New Roman" w:hAnsi="Times New Roman"/>
                <w:sz w:val="24"/>
                <w:szCs w:val="24"/>
              </w:rPr>
              <w:t xml:space="preserve"> papunktį</w:t>
            </w:r>
            <w:r w:rsidR="00996B78" w:rsidRPr="002B473D">
              <w:rPr>
                <w:rFonts w:ascii="Times New Roman" w:hAnsi="Times New Roman"/>
                <w:sz w:val="24"/>
                <w:szCs w:val="24"/>
              </w:rPr>
              <w:t>,</w:t>
            </w:r>
            <w:r w:rsidR="00F91D46">
              <w:rPr>
                <w:rFonts w:ascii="Times New Roman" w:hAnsi="Times New Roman"/>
                <w:sz w:val="24"/>
                <w:szCs w:val="24"/>
              </w:rPr>
              <w:t xml:space="preserve">  </w:t>
            </w:r>
            <w:r w:rsidR="008B3399" w:rsidRPr="002B473D">
              <w:rPr>
                <w:rFonts w:ascii="Times New Roman" w:hAnsi="Times New Roman"/>
                <w:sz w:val="24"/>
                <w:szCs w:val="24"/>
              </w:rPr>
              <w:t>taip pat prisidedama prie trečio programos tikslo – „</w:t>
            </w:r>
            <w:r w:rsidR="00E0728B" w:rsidRPr="002B473D">
              <w:rPr>
                <w:rFonts w:ascii="Times New Roman" w:hAnsi="Times New Roman"/>
                <w:sz w:val="24"/>
                <w:szCs w:val="24"/>
              </w:rPr>
              <w:t>Formuoti sveiką gyvenseną ir jos kultūrą</w:t>
            </w:r>
            <w:r w:rsidR="00DE383D" w:rsidRPr="002B473D">
              <w:rPr>
                <w:rFonts w:ascii="Times New Roman" w:hAnsi="Times New Roman"/>
                <w:sz w:val="24"/>
                <w:szCs w:val="24"/>
              </w:rPr>
              <w:t xml:space="preserve">“ </w:t>
            </w:r>
            <w:r w:rsidR="00162CA1">
              <w:rPr>
                <w:rFonts w:ascii="Times New Roman" w:hAnsi="Times New Roman"/>
                <w:sz w:val="24"/>
                <w:szCs w:val="24"/>
              </w:rPr>
              <w:t>68.3</w:t>
            </w:r>
            <w:r w:rsidR="00916AB6" w:rsidRPr="002B473D">
              <w:rPr>
                <w:rFonts w:ascii="Times New Roman" w:hAnsi="Times New Roman"/>
                <w:sz w:val="24"/>
                <w:szCs w:val="24"/>
              </w:rPr>
              <w:t>,</w:t>
            </w:r>
            <w:r w:rsidR="00D955A3" w:rsidRPr="002B473D">
              <w:rPr>
                <w:rFonts w:ascii="Times New Roman" w:hAnsi="Times New Roman"/>
                <w:sz w:val="24"/>
                <w:szCs w:val="24"/>
              </w:rPr>
              <w:t xml:space="preserve"> 82.2,</w:t>
            </w:r>
            <w:r w:rsidR="00162CA1">
              <w:rPr>
                <w:rFonts w:ascii="Times New Roman" w:hAnsi="Times New Roman"/>
                <w:sz w:val="24"/>
                <w:szCs w:val="24"/>
              </w:rPr>
              <w:t xml:space="preserve"> 94.1 papunkčius</w:t>
            </w:r>
            <w:r w:rsidR="00F91D46">
              <w:rPr>
                <w:rFonts w:ascii="Times New Roman" w:hAnsi="Times New Roman"/>
                <w:sz w:val="24"/>
                <w:szCs w:val="24"/>
              </w:rPr>
              <w:t>;</w:t>
            </w:r>
          </w:p>
          <w:p w:rsidR="00214ACA" w:rsidRDefault="002B473D" w:rsidP="00482A04">
            <w:pPr>
              <w:tabs>
                <w:tab w:val="left" w:pos="567"/>
              </w:tabs>
              <w:jc w:val="both"/>
              <w:rPr>
                <w:rFonts w:ascii="Times New Roman" w:hAnsi="Times New Roman"/>
                <w:sz w:val="24"/>
                <w:szCs w:val="24"/>
              </w:rPr>
            </w:pPr>
            <w:r>
              <w:rPr>
                <w:rFonts w:ascii="Times New Roman" w:hAnsi="Times New Roman"/>
                <w:sz w:val="24"/>
                <w:szCs w:val="24"/>
              </w:rPr>
              <w:t xml:space="preserve">- </w:t>
            </w:r>
            <w:r w:rsidR="00A3192E" w:rsidRPr="00482A04">
              <w:rPr>
                <w:rFonts w:ascii="Times New Roman" w:hAnsi="Times New Roman"/>
                <w:sz w:val="24"/>
                <w:szCs w:val="24"/>
              </w:rPr>
              <w:t>2014–2020 metų nacionalinės pažangos programos</w:t>
            </w:r>
            <w:r w:rsidR="00A3192E">
              <w:rPr>
                <w:rFonts w:ascii="Times New Roman" w:hAnsi="Times New Roman"/>
                <w:sz w:val="24"/>
                <w:szCs w:val="24"/>
              </w:rPr>
              <w:t xml:space="preserve">, patvirtintos </w:t>
            </w:r>
            <w:r w:rsidR="00B80F6D">
              <w:rPr>
                <w:rFonts w:ascii="Times New Roman" w:hAnsi="Times New Roman"/>
                <w:sz w:val="24"/>
                <w:szCs w:val="24"/>
              </w:rPr>
              <w:t>LR Vyriausybės 2012-11-28 nutarimu Nr. 1482</w:t>
            </w:r>
            <w:r w:rsidR="00B80F6D" w:rsidRPr="00482A04">
              <w:rPr>
                <w:rFonts w:ascii="Times New Roman" w:hAnsi="Times New Roman"/>
                <w:sz w:val="24"/>
                <w:szCs w:val="24"/>
              </w:rPr>
              <w:t xml:space="preserve"> </w:t>
            </w:r>
            <w:r w:rsidR="00A3192E">
              <w:rPr>
                <w:rFonts w:ascii="Times New Roman" w:hAnsi="Times New Roman"/>
                <w:sz w:val="24"/>
                <w:szCs w:val="24"/>
              </w:rPr>
              <w:t xml:space="preserve">„Dėl </w:t>
            </w:r>
            <w:r w:rsidR="00A3192E" w:rsidRPr="00482A04">
              <w:rPr>
                <w:rFonts w:ascii="Times New Roman" w:hAnsi="Times New Roman"/>
                <w:sz w:val="24"/>
                <w:szCs w:val="24"/>
              </w:rPr>
              <w:t>2014–2020 metų nacionalinės pažangos programos</w:t>
            </w:r>
            <w:r w:rsidR="00A3192E">
              <w:rPr>
                <w:rFonts w:ascii="Times New Roman" w:hAnsi="Times New Roman"/>
                <w:sz w:val="24"/>
                <w:szCs w:val="24"/>
              </w:rPr>
              <w:t xml:space="preserve"> </w:t>
            </w:r>
            <w:r w:rsidR="00B80F6D">
              <w:rPr>
                <w:rFonts w:ascii="Times New Roman" w:hAnsi="Times New Roman"/>
                <w:sz w:val="24"/>
                <w:szCs w:val="24"/>
              </w:rPr>
              <w:t>patvirtin</w:t>
            </w:r>
            <w:r w:rsidR="00A3192E">
              <w:rPr>
                <w:rFonts w:ascii="Times New Roman" w:hAnsi="Times New Roman"/>
                <w:sz w:val="24"/>
                <w:szCs w:val="24"/>
              </w:rPr>
              <w:t>imo“</w:t>
            </w:r>
            <w:r w:rsidR="00B80F6D">
              <w:rPr>
                <w:rFonts w:ascii="Times New Roman" w:hAnsi="Times New Roman"/>
                <w:sz w:val="24"/>
                <w:szCs w:val="24"/>
              </w:rPr>
              <w:t xml:space="preserve"> </w:t>
            </w:r>
            <w:r w:rsidR="000B662C">
              <w:rPr>
                <w:rFonts w:ascii="Times New Roman" w:hAnsi="Times New Roman"/>
                <w:sz w:val="24"/>
                <w:szCs w:val="24"/>
              </w:rPr>
              <w:t>1 prioriteto „Visuomenės ugdymas, mokslas ir kultūra“ 1.5. tikslo „Skatinti sveikatos ir gamtinės aplinkos tausojimą</w:t>
            </w:r>
            <w:r w:rsidR="000D3853">
              <w:rPr>
                <w:rFonts w:ascii="Times New Roman" w:hAnsi="Times New Roman"/>
                <w:sz w:val="24"/>
                <w:szCs w:val="24"/>
              </w:rPr>
              <w:t>“ 1.5.1 uždavinio</w:t>
            </w:r>
            <w:r w:rsidR="008D3F72">
              <w:rPr>
                <w:rFonts w:ascii="Times New Roman" w:hAnsi="Times New Roman"/>
                <w:sz w:val="24"/>
                <w:szCs w:val="24"/>
              </w:rPr>
              <w:t xml:space="preserve"> „Ugdyti sveikos gyvensenos savimonę</w:t>
            </w:r>
            <w:r w:rsidR="000B662C">
              <w:rPr>
                <w:rFonts w:ascii="Times New Roman" w:hAnsi="Times New Roman"/>
                <w:sz w:val="24"/>
                <w:szCs w:val="24"/>
              </w:rPr>
              <w:t>“</w:t>
            </w:r>
            <w:r w:rsidR="000D3853">
              <w:rPr>
                <w:rFonts w:ascii="Times New Roman" w:hAnsi="Times New Roman"/>
                <w:sz w:val="24"/>
                <w:szCs w:val="24"/>
              </w:rPr>
              <w:t xml:space="preserve"> 1.5.1.2</w:t>
            </w:r>
            <w:r w:rsidR="00B44126">
              <w:rPr>
                <w:rFonts w:ascii="Times New Roman" w:hAnsi="Times New Roman"/>
                <w:sz w:val="24"/>
                <w:szCs w:val="24"/>
              </w:rPr>
              <w:t>, 1.5.1.3</w:t>
            </w:r>
            <w:r w:rsidR="000D3853">
              <w:rPr>
                <w:rFonts w:ascii="Times New Roman" w:hAnsi="Times New Roman"/>
                <w:sz w:val="24"/>
                <w:szCs w:val="24"/>
              </w:rPr>
              <w:t xml:space="preserve"> p</w:t>
            </w:r>
            <w:r w:rsidR="00B44126">
              <w:rPr>
                <w:rFonts w:ascii="Times New Roman" w:hAnsi="Times New Roman"/>
                <w:sz w:val="24"/>
                <w:szCs w:val="24"/>
              </w:rPr>
              <w:t>apunkčius</w:t>
            </w:r>
            <w:r w:rsidR="000B662C">
              <w:rPr>
                <w:rFonts w:ascii="Times New Roman" w:hAnsi="Times New Roman"/>
                <w:sz w:val="24"/>
                <w:szCs w:val="24"/>
              </w:rPr>
              <w:t>,</w:t>
            </w:r>
            <w:r w:rsidR="000D3853">
              <w:rPr>
                <w:rFonts w:ascii="Times New Roman" w:hAnsi="Times New Roman"/>
                <w:sz w:val="24"/>
                <w:szCs w:val="24"/>
              </w:rPr>
              <w:t xml:space="preserve"> </w:t>
            </w:r>
            <w:r w:rsidR="000B662C">
              <w:rPr>
                <w:rFonts w:ascii="Times New Roman" w:hAnsi="Times New Roman"/>
                <w:sz w:val="24"/>
                <w:szCs w:val="24"/>
              </w:rPr>
              <w:t>2 prioriteto „Veikli ir solidari visuomenė“ 2.1. tikslo „Didinti gyventojų gerovę ir so</w:t>
            </w:r>
            <w:r w:rsidR="0003642A">
              <w:rPr>
                <w:rFonts w:ascii="Times New Roman" w:hAnsi="Times New Roman"/>
                <w:sz w:val="24"/>
                <w:szCs w:val="24"/>
              </w:rPr>
              <w:t>ci</w:t>
            </w:r>
            <w:r w:rsidR="0077505F">
              <w:rPr>
                <w:rFonts w:ascii="Times New Roman" w:hAnsi="Times New Roman"/>
                <w:sz w:val="24"/>
                <w:szCs w:val="24"/>
              </w:rPr>
              <w:t>alinę aprėptį“ 2.1.1 uždavinio</w:t>
            </w:r>
            <w:r w:rsidR="000B662C">
              <w:rPr>
                <w:rFonts w:ascii="Times New Roman" w:hAnsi="Times New Roman"/>
                <w:sz w:val="24"/>
                <w:szCs w:val="24"/>
              </w:rPr>
              <w:t xml:space="preserve"> „Siekti vaiko ir šeimos gerovės, stiprinti </w:t>
            </w:r>
            <w:r w:rsidR="00C26EBD">
              <w:rPr>
                <w:rFonts w:ascii="Times New Roman" w:hAnsi="Times New Roman"/>
                <w:sz w:val="24"/>
                <w:szCs w:val="24"/>
              </w:rPr>
              <w:t>ir saugoti visuomenės sveikatą“</w:t>
            </w:r>
            <w:r w:rsidR="00B44126">
              <w:rPr>
                <w:rFonts w:ascii="Times New Roman" w:hAnsi="Times New Roman"/>
                <w:sz w:val="24"/>
                <w:szCs w:val="24"/>
              </w:rPr>
              <w:t xml:space="preserve"> 2.1.1.6 papunktį</w:t>
            </w:r>
            <w:r w:rsidR="0077505F">
              <w:rPr>
                <w:rFonts w:ascii="Times New Roman" w:hAnsi="Times New Roman"/>
                <w:sz w:val="24"/>
                <w:szCs w:val="24"/>
              </w:rPr>
              <w:t xml:space="preserve">, </w:t>
            </w:r>
            <w:r w:rsidR="00973CBF">
              <w:rPr>
                <w:rFonts w:ascii="Times New Roman" w:hAnsi="Times New Roman"/>
                <w:sz w:val="24"/>
                <w:szCs w:val="24"/>
              </w:rPr>
              <w:t>2.1.4 uždavinio „Didinti viešųjų paslaugų prieinamumą“</w:t>
            </w:r>
            <w:r w:rsidR="00C26EBD">
              <w:rPr>
                <w:rFonts w:ascii="Times New Roman" w:hAnsi="Times New Roman"/>
                <w:sz w:val="24"/>
                <w:szCs w:val="24"/>
              </w:rPr>
              <w:t xml:space="preserve"> </w:t>
            </w:r>
            <w:r w:rsidR="00904AB6">
              <w:rPr>
                <w:rFonts w:ascii="Times New Roman" w:hAnsi="Times New Roman"/>
                <w:sz w:val="24"/>
                <w:szCs w:val="24"/>
              </w:rPr>
              <w:t>2.1.4.10 p</w:t>
            </w:r>
            <w:r w:rsidR="00B44126">
              <w:rPr>
                <w:rFonts w:ascii="Times New Roman" w:hAnsi="Times New Roman"/>
                <w:sz w:val="24"/>
                <w:szCs w:val="24"/>
              </w:rPr>
              <w:t>apunktį</w:t>
            </w:r>
            <w:r w:rsidR="00904AB6">
              <w:rPr>
                <w:rFonts w:ascii="Times New Roman" w:hAnsi="Times New Roman"/>
                <w:sz w:val="24"/>
                <w:szCs w:val="24"/>
              </w:rPr>
              <w:t xml:space="preserve">, </w:t>
            </w:r>
            <w:r w:rsidR="00452A7D">
              <w:rPr>
                <w:rFonts w:ascii="Times New Roman" w:hAnsi="Times New Roman"/>
                <w:sz w:val="24"/>
                <w:szCs w:val="24"/>
              </w:rPr>
              <w:t>8 prioriteto „Sveikata visiems“ 8.1. tikslo „</w:t>
            </w:r>
            <w:r w:rsidR="00FE0C18">
              <w:rPr>
                <w:rFonts w:ascii="Times New Roman" w:hAnsi="Times New Roman"/>
                <w:sz w:val="24"/>
                <w:szCs w:val="24"/>
              </w:rPr>
              <w:t>Stiprinti ir saugoti Lietuvos gyventojų sveikatą</w:t>
            </w:r>
            <w:r w:rsidR="00452A7D">
              <w:rPr>
                <w:rFonts w:ascii="Times New Roman" w:hAnsi="Times New Roman"/>
                <w:sz w:val="24"/>
                <w:szCs w:val="24"/>
              </w:rPr>
              <w:t xml:space="preserve">“ </w:t>
            </w:r>
            <w:r w:rsidR="009F7C9E">
              <w:rPr>
                <w:rFonts w:ascii="Times New Roman" w:hAnsi="Times New Roman"/>
                <w:sz w:val="24"/>
                <w:szCs w:val="24"/>
              </w:rPr>
              <w:t>8.1.1 uždavinio „Skatinti sveiką gyvenseną ir jos kultūros formavimą“</w:t>
            </w:r>
            <w:r w:rsidR="00FD3E0C">
              <w:rPr>
                <w:rFonts w:ascii="Times New Roman" w:hAnsi="Times New Roman"/>
                <w:sz w:val="24"/>
                <w:szCs w:val="24"/>
              </w:rPr>
              <w:t xml:space="preserve"> 8.1.1.4 p</w:t>
            </w:r>
            <w:r w:rsidR="00E24D37">
              <w:rPr>
                <w:rFonts w:ascii="Times New Roman" w:hAnsi="Times New Roman"/>
                <w:sz w:val="24"/>
                <w:szCs w:val="24"/>
              </w:rPr>
              <w:t>apunktį</w:t>
            </w:r>
            <w:r w:rsidR="00532544">
              <w:rPr>
                <w:rFonts w:ascii="Times New Roman" w:hAnsi="Times New Roman"/>
                <w:sz w:val="24"/>
                <w:szCs w:val="24"/>
              </w:rPr>
              <w:t xml:space="preserve">, </w:t>
            </w:r>
            <w:r w:rsidR="00452A7D">
              <w:rPr>
                <w:rFonts w:ascii="Times New Roman" w:hAnsi="Times New Roman"/>
                <w:sz w:val="24"/>
                <w:szCs w:val="24"/>
              </w:rPr>
              <w:t>8.1.2 uždavin</w:t>
            </w:r>
            <w:r w:rsidR="00532544">
              <w:rPr>
                <w:rFonts w:ascii="Times New Roman" w:hAnsi="Times New Roman"/>
                <w:sz w:val="24"/>
                <w:szCs w:val="24"/>
              </w:rPr>
              <w:t>io</w:t>
            </w:r>
            <w:r w:rsidR="00452A7D">
              <w:rPr>
                <w:rFonts w:ascii="Times New Roman" w:hAnsi="Times New Roman"/>
                <w:sz w:val="24"/>
                <w:szCs w:val="24"/>
              </w:rPr>
              <w:t xml:space="preserve"> „Vykdyti ligų prevenciją, įgyvendinti tikslines visuomenės sveikatos stiprinimo ir </w:t>
            </w:r>
            <w:r w:rsidR="00452A7D">
              <w:rPr>
                <w:rFonts w:ascii="Times New Roman" w:hAnsi="Times New Roman"/>
                <w:sz w:val="24"/>
                <w:szCs w:val="24"/>
              </w:rPr>
              <w:lastRenderedPageBreak/>
              <w:t>išsaugojimo priemones“</w:t>
            </w:r>
            <w:r w:rsidR="00E24D37">
              <w:rPr>
                <w:rFonts w:ascii="Times New Roman" w:hAnsi="Times New Roman"/>
                <w:sz w:val="24"/>
                <w:szCs w:val="24"/>
              </w:rPr>
              <w:t xml:space="preserve"> 8.1.2.2 ir </w:t>
            </w:r>
            <w:r w:rsidR="00532544">
              <w:rPr>
                <w:rFonts w:ascii="Times New Roman" w:hAnsi="Times New Roman"/>
                <w:sz w:val="24"/>
                <w:szCs w:val="24"/>
              </w:rPr>
              <w:t>8.1.2.7</w:t>
            </w:r>
            <w:r w:rsidR="00E24D37">
              <w:rPr>
                <w:rFonts w:ascii="Times New Roman" w:hAnsi="Times New Roman"/>
                <w:sz w:val="24"/>
                <w:szCs w:val="24"/>
              </w:rPr>
              <w:t xml:space="preserve"> papunkčius</w:t>
            </w:r>
            <w:r w:rsidR="00532544">
              <w:rPr>
                <w:rFonts w:ascii="Times New Roman" w:hAnsi="Times New Roman"/>
                <w:sz w:val="24"/>
                <w:szCs w:val="24"/>
              </w:rPr>
              <w:t>, 8.1.3 uždavinio</w:t>
            </w:r>
            <w:r w:rsidR="00452A7D">
              <w:rPr>
                <w:rFonts w:ascii="Times New Roman" w:hAnsi="Times New Roman"/>
                <w:sz w:val="24"/>
                <w:szCs w:val="24"/>
              </w:rPr>
              <w:t xml:space="preserve"> „Skatinti žinių sveikatos srityje kūrimą</w:t>
            </w:r>
            <w:r w:rsidR="00BA5F6C">
              <w:rPr>
                <w:rFonts w:ascii="Times New Roman" w:hAnsi="Times New Roman"/>
                <w:sz w:val="24"/>
                <w:szCs w:val="24"/>
              </w:rPr>
              <w:t>, panaudojimą ir sklaidą“</w:t>
            </w:r>
            <w:r w:rsidR="00532544">
              <w:rPr>
                <w:rFonts w:ascii="Times New Roman" w:hAnsi="Times New Roman"/>
                <w:sz w:val="24"/>
                <w:szCs w:val="24"/>
              </w:rPr>
              <w:t xml:space="preserve"> 8.1.3.1 p</w:t>
            </w:r>
            <w:r w:rsidR="00E24D37">
              <w:rPr>
                <w:rFonts w:ascii="Times New Roman" w:hAnsi="Times New Roman"/>
                <w:sz w:val="24"/>
                <w:szCs w:val="24"/>
              </w:rPr>
              <w:t>apunktį</w:t>
            </w:r>
            <w:r w:rsidR="00BA5F6C">
              <w:rPr>
                <w:rFonts w:ascii="Times New Roman" w:hAnsi="Times New Roman"/>
                <w:sz w:val="24"/>
                <w:szCs w:val="24"/>
              </w:rPr>
              <w:t xml:space="preserve">, taip pat 8 prioriteto „Sveikata visiems“ 8.3. tikslo „Užtikrinti kokybišką, prieinamą ir tvarią sveikatos priežiūrą“ </w:t>
            </w:r>
            <w:r w:rsidR="00861C2A">
              <w:rPr>
                <w:rFonts w:ascii="Times New Roman" w:hAnsi="Times New Roman"/>
                <w:sz w:val="24"/>
                <w:szCs w:val="24"/>
              </w:rPr>
              <w:t>8.3.2 uždavinio „Gerinti viešųjų sveikatos paslaugų</w:t>
            </w:r>
            <w:r w:rsidR="00771A54">
              <w:rPr>
                <w:rFonts w:ascii="Times New Roman" w:hAnsi="Times New Roman"/>
                <w:sz w:val="24"/>
                <w:szCs w:val="24"/>
              </w:rPr>
              <w:t xml:space="preserve"> prieinamumą ir kokybę“ </w:t>
            </w:r>
            <w:r w:rsidR="00E24D37">
              <w:rPr>
                <w:rFonts w:ascii="Times New Roman" w:hAnsi="Times New Roman"/>
                <w:sz w:val="24"/>
                <w:szCs w:val="24"/>
              </w:rPr>
              <w:t>8.3.2.1 ir 8.3.2.2 papunkčius</w:t>
            </w:r>
            <w:r w:rsidR="00771A54">
              <w:rPr>
                <w:rFonts w:ascii="Times New Roman" w:hAnsi="Times New Roman"/>
                <w:sz w:val="24"/>
                <w:szCs w:val="24"/>
              </w:rPr>
              <w:t>;</w:t>
            </w:r>
          </w:p>
          <w:p w:rsidR="002B473D" w:rsidRPr="002B473D" w:rsidRDefault="002B473D" w:rsidP="002B473D">
            <w:pPr>
              <w:tabs>
                <w:tab w:val="left" w:pos="567"/>
              </w:tabs>
              <w:jc w:val="both"/>
              <w:rPr>
                <w:rFonts w:ascii="Times New Roman" w:hAnsi="Times New Roman"/>
                <w:sz w:val="24"/>
                <w:szCs w:val="24"/>
              </w:rPr>
            </w:pPr>
            <w:r w:rsidRPr="002B473D">
              <w:rPr>
                <w:rFonts w:ascii="Times New Roman" w:hAnsi="Times New Roman"/>
                <w:sz w:val="24"/>
                <w:szCs w:val="24"/>
              </w:rPr>
              <w:t>-</w:t>
            </w:r>
            <w:r w:rsidR="00E24D37">
              <w:rPr>
                <w:rFonts w:ascii="Times New Roman" w:hAnsi="Times New Roman"/>
                <w:sz w:val="24"/>
                <w:szCs w:val="24"/>
              </w:rPr>
              <w:t xml:space="preserve"> </w:t>
            </w:r>
            <w:r w:rsidR="003A23FA" w:rsidRPr="002B473D">
              <w:rPr>
                <w:rFonts w:ascii="Times New Roman" w:hAnsi="Times New Roman"/>
                <w:sz w:val="24"/>
                <w:szCs w:val="24"/>
              </w:rPr>
              <w:t>2014─2020 metų nacionalinės pažangos programos horizontaliojo prioriteto „Sveikata visiems“ tarpinstitucinio veiklos plano, patvirtinto</w:t>
            </w:r>
            <w:r w:rsidR="00B510E6" w:rsidRPr="002B473D">
              <w:rPr>
                <w:rFonts w:ascii="Times New Roman" w:hAnsi="Times New Roman"/>
                <w:sz w:val="24"/>
                <w:szCs w:val="24"/>
              </w:rPr>
              <w:t xml:space="preserve"> LR Vyriausybės 2014 m kovo 26 d. nutarimu Nr. 293 „</w:t>
            </w:r>
            <w:r w:rsidR="002F268A" w:rsidRPr="002B473D">
              <w:rPr>
                <w:rFonts w:ascii="Times New Roman" w:hAnsi="Times New Roman"/>
                <w:sz w:val="24"/>
                <w:szCs w:val="24"/>
              </w:rPr>
              <w:t xml:space="preserve">Dėl </w:t>
            </w:r>
            <w:r w:rsidR="00B510E6" w:rsidRPr="002B473D">
              <w:rPr>
                <w:rFonts w:ascii="Times New Roman" w:hAnsi="Times New Roman"/>
                <w:sz w:val="24"/>
                <w:szCs w:val="24"/>
              </w:rPr>
              <w:t>2014─2020 metų nacionalinės pažangos programos horizontaliojo prioriteto „Sveikata visiems“ tarpinstitucinio veiklos plan</w:t>
            </w:r>
            <w:r w:rsidR="002F268A" w:rsidRPr="002B473D">
              <w:rPr>
                <w:rFonts w:ascii="Times New Roman" w:hAnsi="Times New Roman"/>
                <w:sz w:val="24"/>
                <w:szCs w:val="24"/>
              </w:rPr>
              <w:t>o patvirtinimo“</w:t>
            </w:r>
            <w:r>
              <w:rPr>
                <w:rFonts w:ascii="Times New Roman" w:hAnsi="Times New Roman"/>
                <w:sz w:val="24"/>
                <w:szCs w:val="24"/>
              </w:rPr>
              <w:t>, tikslo</w:t>
            </w:r>
            <w:r w:rsidR="00827AC1">
              <w:rPr>
                <w:rFonts w:ascii="Times New Roman" w:hAnsi="Times New Roman"/>
                <w:sz w:val="24"/>
                <w:szCs w:val="24"/>
              </w:rPr>
              <w:t xml:space="preserve"> –</w:t>
            </w:r>
            <w:r>
              <w:rPr>
                <w:rFonts w:ascii="Times New Roman" w:hAnsi="Times New Roman"/>
                <w:sz w:val="24"/>
                <w:szCs w:val="24"/>
              </w:rPr>
              <w:t xml:space="preserve"> </w:t>
            </w:r>
            <w:r w:rsidR="00827AC1">
              <w:rPr>
                <w:rFonts w:ascii="Times New Roman" w:hAnsi="Times New Roman"/>
                <w:sz w:val="24"/>
                <w:szCs w:val="24"/>
              </w:rPr>
              <w:t>„S</w:t>
            </w:r>
            <w:r>
              <w:rPr>
                <w:rFonts w:ascii="Times New Roman" w:hAnsi="Times New Roman"/>
                <w:sz w:val="24"/>
                <w:szCs w:val="24"/>
              </w:rPr>
              <w:t>tiprinti ir saugoti Lietuvos gyventojų sveikatą</w:t>
            </w:r>
            <w:r w:rsidR="00827AC1">
              <w:rPr>
                <w:rFonts w:ascii="Times New Roman" w:hAnsi="Times New Roman"/>
                <w:sz w:val="24"/>
                <w:szCs w:val="24"/>
              </w:rPr>
              <w:t>“</w:t>
            </w:r>
            <w:r w:rsidR="00E24D37">
              <w:rPr>
                <w:rFonts w:ascii="Times New Roman" w:hAnsi="Times New Roman"/>
                <w:sz w:val="24"/>
                <w:szCs w:val="24"/>
              </w:rPr>
              <w:t xml:space="preserve"> </w:t>
            </w:r>
            <w:r>
              <w:rPr>
                <w:rFonts w:ascii="Times New Roman" w:hAnsi="Times New Roman"/>
                <w:sz w:val="24"/>
                <w:szCs w:val="24"/>
              </w:rPr>
              <w:t>uždavin</w:t>
            </w:r>
            <w:r w:rsidR="00E24D37">
              <w:rPr>
                <w:rFonts w:ascii="Times New Roman" w:hAnsi="Times New Roman"/>
                <w:sz w:val="24"/>
                <w:szCs w:val="24"/>
              </w:rPr>
              <w:t>į:</w:t>
            </w:r>
            <w:r>
              <w:rPr>
                <w:rFonts w:ascii="Times New Roman" w:hAnsi="Times New Roman"/>
                <w:sz w:val="24"/>
                <w:szCs w:val="24"/>
              </w:rPr>
              <w:t xml:space="preserve"> </w:t>
            </w:r>
            <w:r w:rsidR="00827AC1">
              <w:rPr>
                <w:rFonts w:ascii="Times New Roman" w:hAnsi="Times New Roman"/>
                <w:sz w:val="24"/>
                <w:szCs w:val="24"/>
              </w:rPr>
              <w:t>skatinti sveiką gyvenseną ir jos kultūros formavimą; vykdyti ligų prevenciją, įgyvendinti tikslines visuomenės sveikatos stiprinimo ir išsaugojimo priemones; skatinti žinių sveikatos srityje</w:t>
            </w:r>
            <w:r w:rsidR="00771A54">
              <w:rPr>
                <w:rFonts w:ascii="Times New Roman" w:hAnsi="Times New Roman"/>
                <w:sz w:val="24"/>
                <w:szCs w:val="24"/>
              </w:rPr>
              <w:t xml:space="preserve"> kūrimą, panaudojimą ir sklaidą;</w:t>
            </w:r>
          </w:p>
          <w:p w:rsidR="001E3F49" w:rsidRDefault="00E24D37" w:rsidP="001E3F49">
            <w:pPr>
              <w:pStyle w:val="Sraopastraipa1"/>
              <w:ind w:left="0"/>
              <w:jc w:val="both"/>
              <w:rPr>
                <w:rFonts w:ascii="Times New Roman" w:hAnsi="Times New Roman"/>
                <w:sz w:val="24"/>
                <w:szCs w:val="24"/>
              </w:rPr>
            </w:pPr>
            <w:r>
              <w:rPr>
                <w:rFonts w:ascii="Times New Roman" w:hAnsi="Times New Roman"/>
                <w:color w:val="000000"/>
                <w:sz w:val="24"/>
                <w:szCs w:val="24"/>
              </w:rPr>
              <w:t xml:space="preserve">- </w:t>
            </w:r>
            <w:r w:rsidR="00827AC1">
              <w:rPr>
                <w:rFonts w:ascii="Times New Roman" w:hAnsi="Times New Roman"/>
                <w:color w:val="000000"/>
                <w:sz w:val="24"/>
                <w:szCs w:val="24"/>
              </w:rPr>
              <w:t>S</w:t>
            </w:r>
            <w:r w:rsidR="00A415A4" w:rsidRPr="00E92841">
              <w:rPr>
                <w:rFonts w:ascii="Times New Roman" w:hAnsi="Times New Roman"/>
                <w:color w:val="000000"/>
                <w:sz w:val="24"/>
                <w:szCs w:val="24"/>
              </w:rPr>
              <w:t>veikatos netolygumų mažinimo Lietuvoje 2014─2023 veiksmų</w:t>
            </w:r>
            <w:r w:rsidR="00A415A4">
              <w:rPr>
                <w:rFonts w:ascii="Times New Roman" w:hAnsi="Times New Roman"/>
                <w:color w:val="000000"/>
                <w:sz w:val="24"/>
                <w:szCs w:val="24"/>
              </w:rPr>
              <w:t xml:space="preserve"> plano</w:t>
            </w:r>
            <w:r w:rsidR="00B0166D">
              <w:rPr>
                <w:rFonts w:ascii="Times New Roman" w:hAnsi="Times New Roman"/>
                <w:color w:val="000000"/>
                <w:sz w:val="24"/>
                <w:szCs w:val="24"/>
              </w:rPr>
              <w:t xml:space="preserve"> (toliau – Veiksmų planas)</w:t>
            </w:r>
            <w:r w:rsidR="00A415A4">
              <w:rPr>
                <w:rFonts w:ascii="Times New Roman" w:hAnsi="Times New Roman"/>
                <w:color w:val="000000"/>
                <w:sz w:val="24"/>
                <w:szCs w:val="24"/>
              </w:rPr>
              <w:t>, patvirtinto Lietuvos Respublikos sveikatos apsaugos ministro 2014 m. liepos 16 d. įsakymu Nr. V-815 „Dėl sveikatos netolygumų mažinimo Lietuvoje 2014─20</w:t>
            </w:r>
            <w:r w:rsidR="00BC2F20">
              <w:rPr>
                <w:rFonts w:ascii="Times New Roman" w:hAnsi="Times New Roman"/>
                <w:color w:val="000000"/>
                <w:sz w:val="24"/>
                <w:szCs w:val="24"/>
              </w:rPr>
              <w:t>23 veiksmų plano patvirtinimo“</w:t>
            </w:r>
            <w:r w:rsidR="00610A03">
              <w:rPr>
                <w:rFonts w:ascii="Times New Roman" w:hAnsi="Times New Roman"/>
                <w:sz w:val="24"/>
                <w:szCs w:val="24"/>
              </w:rPr>
              <w:t xml:space="preserve"> </w:t>
            </w:r>
            <w:r w:rsidR="00695A78" w:rsidRPr="00695A78">
              <w:rPr>
                <w:rFonts w:ascii="Times New Roman" w:hAnsi="Times New Roman"/>
                <w:sz w:val="24"/>
                <w:szCs w:val="24"/>
              </w:rPr>
              <w:t>3 priedo „Traumų ir nelaimingų a</w:t>
            </w:r>
            <w:r>
              <w:rPr>
                <w:rFonts w:ascii="Times New Roman" w:hAnsi="Times New Roman"/>
                <w:sz w:val="24"/>
                <w:szCs w:val="24"/>
              </w:rPr>
              <w:t>tsitikimų profilaktikos, neįgalu</w:t>
            </w:r>
            <w:r w:rsidR="00695A78" w:rsidRPr="00695A78">
              <w:rPr>
                <w:rFonts w:ascii="Times New Roman" w:hAnsi="Times New Roman"/>
                <w:sz w:val="24"/>
                <w:szCs w:val="24"/>
              </w:rPr>
              <w:t>mo ir mirtingumo nuo išorinių priežasčių mažinimo krypties aprašas“ 37.10 p</w:t>
            </w:r>
            <w:r>
              <w:rPr>
                <w:rFonts w:ascii="Times New Roman" w:hAnsi="Times New Roman"/>
                <w:sz w:val="24"/>
                <w:szCs w:val="24"/>
              </w:rPr>
              <w:t>apunktį</w:t>
            </w:r>
            <w:r w:rsidR="00695A78">
              <w:rPr>
                <w:rFonts w:ascii="Times New Roman" w:hAnsi="Times New Roman"/>
                <w:sz w:val="24"/>
                <w:szCs w:val="24"/>
              </w:rPr>
              <w:t xml:space="preserve">, </w:t>
            </w:r>
            <w:r w:rsidR="00016640">
              <w:rPr>
                <w:rFonts w:ascii="Times New Roman" w:hAnsi="Times New Roman"/>
                <w:sz w:val="24"/>
                <w:szCs w:val="24"/>
              </w:rPr>
              <w:t xml:space="preserve">4 priedo „Sergamumo ir pirmalaikio mirtingumo nuo kraujotakos sistemos ligų mažinimo krypties aprašas“ 32.2.5 papunktį, </w:t>
            </w:r>
            <w:r w:rsidR="00DC772B" w:rsidRPr="00DC772B">
              <w:rPr>
                <w:rFonts w:ascii="Times New Roman" w:hAnsi="Times New Roman"/>
                <w:sz w:val="24"/>
                <w:szCs w:val="24"/>
              </w:rPr>
              <w:t>6 priedo „Efektyvios sveikatos priežiūros prieinamumo gerinimo ne</w:t>
            </w:r>
            <w:r w:rsidR="005D5E47">
              <w:rPr>
                <w:rFonts w:ascii="Times New Roman" w:hAnsi="Times New Roman"/>
                <w:sz w:val="24"/>
                <w:szCs w:val="24"/>
              </w:rPr>
              <w:t>įgaliesiems krypties aprašas“</w:t>
            </w:r>
            <w:r w:rsidR="00DC772B">
              <w:rPr>
                <w:rFonts w:ascii="Times New Roman" w:hAnsi="Times New Roman"/>
                <w:sz w:val="24"/>
                <w:szCs w:val="24"/>
              </w:rPr>
              <w:t xml:space="preserve"> </w:t>
            </w:r>
            <w:r w:rsidR="005D5E47">
              <w:rPr>
                <w:rFonts w:ascii="Times New Roman" w:hAnsi="Times New Roman"/>
                <w:sz w:val="24"/>
                <w:szCs w:val="24"/>
              </w:rPr>
              <w:t>24.1.1</w:t>
            </w:r>
            <w:r>
              <w:rPr>
                <w:rFonts w:ascii="Times New Roman" w:hAnsi="Times New Roman"/>
                <w:sz w:val="24"/>
                <w:szCs w:val="24"/>
              </w:rPr>
              <w:t xml:space="preserve">, 24.1.1.1, </w:t>
            </w:r>
            <w:r w:rsidR="00D36AEC" w:rsidRPr="00D36AEC">
              <w:rPr>
                <w:rFonts w:ascii="Times New Roman" w:hAnsi="Times New Roman"/>
                <w:sz w:val="24"/>
                <w:szCs w:val="24"/>
              </w:rPr>
              <w:t>24.1.</w:t>
            </w:r>
            <w:r w:rsidR="005D5E47">
              <w:rPr>
                <w:rFonts w:ascii="Times New Roman" w:hAnsi="Times New Roman"/>
                <w:sz w:val="24"/>
                <w:szCs w:val="24"/>
              </w:rPr>
              <w:t>1.</w:t>
            </w:r>
            <w:r>
              <w:rPr>
                <w:rFonts w:ascii="Times New Roman" w:hAnsi="Times New Roman"/>
                <w:sz w:val="24"/>
                <w:szCs w:val="24"/>
              </w:rPr>
              <w:t>2</w:t>
            </w:r>
            <w:r w:rsidR="00D36AEC" w:rsidRPr="00D36AEC">
              <w:rPr>
                <w:rFonts w:ascii="Times New Roman" w:hAnsi="Times New Roman"/>
                <w:sz w:val="24"/>
                <w:szCs w:val="24"/>
              </w:rPr>
              <w:t xml:space="preserve"> p</w:t>
            </w:r>
            <w:r>
              <w:rPr>
                <w:rFonts w:ascii="Times New Roman" w:hAnsi="Times New Roman"/>
                <w:sz w:val="24"/>
                <w:szCs w:val="24"/>
              </w:rPr>
              <w:t>apunkčius</w:t>
            </w:r>
            <w:r w:rsidR="00D36AEC">
              <w:rPr>
                <w:rFonts w:ascii="Times New Roman" w:hAnsi="Times New Roman"/>
                <w:sz w:val="24"/>
                <w:szCs w:val="24"/>
              </w:rPr>
              <w:t xml:space="preserve">, </w:t>
            </w:r>
            <w:r w:rsidR="00475F78" w:rsidRPr="00475F78">
              <w:rPr>
                <w:rFonts w:ascii="Times New Roman" w:hAnsi="Times New Roman"/>
                <w:sz w:val="24"/>
                <w:szCs w:val="24"/>
              </w:rPr>
              <w:t>7 priedo „Vaikų sveikatos stiprinimo, ligų profilaktikos bei efektyvaus gydy</w:t>
            </w:r>
            <w:r>
              <w:rPr>
                <w:rFonts w:ascii="Times New Roman" w:hAnsi="Times New Roman"/>
                <w:sz w:val="24"/>
                <w:szCs w:val="24"/>
              </w:rPr>
              <w:t>mo užtikrinimo krypties aprašas“</w:t>
            </w:r>
            <w:r w:rsidR="00475F78" w:rsidRPr="00475F78">
              <w:rPr>
                <w:rFonts w:ascii="Times New Roman" w:hAnsi="Times New Roman"/>
                <w:sz w:val="24"/>
                <w:szCs w:val="24"/>
              </w:rPr>
              <w:t xml:space="preserve"> 45.12.3 p</w:t>
            </w:r>
            <w:r>
              <w:rPr>
                <w:rFonts w:ascii="Times New Roman" w:hAnsi="Times New Roman"/>
                <w:sz w:val="24"/>
                <w:szCs w:val="24"/>
              </w:rPr>
              <w:t>apunktį;</w:t>
            </w:r>
          </w:p>
          <w:p w:rsidR="00016640" w:rsidRDefault="00227BD4" w:rsidP="00227BD4">
            <w:pPr>
              <w:pStyle w:val="Sraopastraipa1"/>
              <w:ind w:left="0"/>
              <w:jc w:val="both"/>
              <w:rPr>
                <w:rFonts w:ascii="Times New Roman" w:hAnsi="Times New Roman"/>
                <w:sz w:val="24"/>
                <w:szCs w:val="24"/>
              </w:rPr>
            </w:pPr>
            <w:r w:rsidRPr="00227BD4">
              <w:rPr>
                <w:rFonts w:ascii="Times New Roman" w:hAnsi="Times New Roman"/>
                <w:sz w:val="24"/>
                <w:szCs w:val="24"/>
              </w:rPr>
              <w:t>-</w:t>
            </w:r>
            <w:r w:rsidR="00E24D37">
              <w:rPr>
                <w:rFonts w:ascii="Times New Roman" w:hAnsi="Times New Roman"/>
                <w:sz w:val="24"/>
                <w:szCs w:val="24"/>
              </w:rPr>
              <w:t xml:space="preserve"> </w:t>
            </w:r>
            <w:r w:rsidRPr="00227BD4">
              <w:rPr>
                <w:rFonts w:ascii="Times New Roman" w:hAnsi="Times New Roman"/>
                <w:sz w:val="24"/>
                <w:szCs w:val="24"/>
              </w:rPr>
              <w:t>Sveiko senėjimo užtikrinimo Lietuvoje 2014−2023 m. veiksmų plano, patvirtinto Lietuvos Respublikos sveikatos apsaugos ministro 2014 m. liepos 16 d. įsakymu Nr. V-825 „Dėl Sveiko senėjimo užtikrinimo Lietuvoje 2014−2023</w:t>
            </w:r>
            <w:r w:rsidR="0080658C">
              <w:rPr>
                <w:rFonts w:ascii="Times New Roman" w:hAnsi="Times New Roman"/>
                <w:sz w:val="24"/>
                <w:szCs w:val="24"/>
              </w:rPr>
              <w:t xml:space="preserve"> m. veiksmų plano patvirtinimo“</w:t>
            </w:r>
            <w:r w:rsidRPr="00227BD4">
              <w:rPr>
                <w:rFonts w:ascii="Times New Roman" w:hAnsi="Times New Roman"/>
                <w:sz w:val="24"/>
                <w:szCs w:val="24"/>
              </w:rPr>
              <w:t xml:space="preserve"> 1 priedo „Sveikos gyvensenos ir kitų profilaktinės sveikatos priežiūros paslaugų p</w:t>
            </w:r>
            <w:r w:rsidR="00016640">
              <w:rPr>
                <w:rFonts w:ascii="Times New Roman" w:hAnsi="Times New Roman"/>
                <w:sz w:val="24"/>
                <w:szCs w:val="24"/>
              </w:rPr>
              <w:t>lėtros krypties aprašas“ 29.7, 30.5</w:t>
            </w:r>
            <w:r w:rsidRPr="00227BD4">
              <w:rPr>
                <w:rFonts w:ascii="Times New Roman" w:hAnsi="Times New Roman"/>
                <w:sz w:val="24"/>
                <w:szCs w:val="24"/>
              </w:rPr>
              <w:t>, 30.6 p</w:t>
            </w:r>
            <w:r w:rsidR="00016640">
              <w:rPr>
                <w:rFonts w:ascii="Times New Roman" w:hAnsi="Times New Roman"/>
                <w:sz w:val="24"/>
                <w:szCs w:val="24"/>
              </w:rPr>
              <w:t>apunkčius</w:t>
            </w:r>
            <w:r w:rsidR="0080658C">
              <w:rPr>
                <w:rFonts w:ascii="Times New Roman" w:hAnsi="Times New Roman"/>
                <w:sz w:val="24"/>
                <w:szCs w:val="24"/>
              </w:rPr>
              <w:t>;</w:t>
            </w:r>
          </w:p>
          <w:p w:rsidR="00482A04" w:rsidRPr="00807A15" w:rsidRDefault="00227BD4" w:rsidP="000A7527">
            <w:pPr>
              <w:pStyle w:val="Sraopastraipa1"/>
              <w:ind w:left="0"/>
              <w:jc w:val="both"/>
              <w:rPr>
                <w:rFonts w:ascii="Times New Roman" w:hAnsi="Times New Roman"/>
                <w:sz w:val="24"/>
                <w:szCs w:val="24"/>
              </w:rPr>
            </w:pPr>
            <w:r w:rsidRPr="00227BD4">
              <w:rPr>
                <w:rFonts w:ascii="Times New Roman" w:hAnsi="Times New Roman"/>
                <w:sz w:val="24"/>
                <w:szCs w:val="24"/>
              </w:rPr>
              <w:t>-</w:t>
            </w:r>
            <w:r w:rsidR="00016640">
              <w:rPr>
                <w:rFonts w:ascii="Times New Roman" w:hAnsi="Times New Roman"/>
                <w:sz w:val="24"/>
                <w:szCs w:val="24"/>
              </w:rPr>
              <w:t xml:space="preserve"> </w:t>
            </w:r>
            <w:r w:rsidR="00462BEF" w:rsidRPr="00462BEF">
              <w:rPr>
                <w:rFonts w:ascii="Times New Roman" w:hAnsi="Times New Roman"/>
                <w:sz w:val="24"/>
                <w:szCs w:val="24"/>
              </w:rPr>
              <w:t>Nacionalinės vėžio profilaktikos ir kontrolės 2014−2025 metų programos įgyvendinimo 201</w:t>
            </w:r>
            <w:r w:rsidR="00016640">
              <w:rPr>
                <w:rFonts w:ascii="Times New Roman" w:hAnsi="Times New Roman"/>
                <w:sz w:val="24"/>
                <w:szCs w:val="24"/>
              </w:rPr>
              <w:t>7</w:t>
            </w:r>
            <w:r w:rsidR="00462BEF" w:rsidRPr="00462BEF">
              <w:rPr>
                <w:rFonts w:ascii="Times New Roman" w:hAnsi="Times New Roman"/>
                <w:sz w:val="24"/>
                <w:szCs w:val="24"/>
              </w:rPr>
              <w:t>−201</w:t>
            </w:r>
            <w:r w:rsidR="00016640">
              <w:rPr>
                <w:rFonts w:ascii="Times New Roman" w:hAnsi="Times New Roman"/>
                <w:sz w:val="24"/>
                <w:szCs w:val="24"/>
              </w:rPr>
              <w:t>9</w:t>
            </w:r>
            <w:r w:rsidR="00462BEF" w:rsidRPr="00462BEF">
              <w:rPr>
                <w:rFonts w:ascii="Times New Roman" w:hAnsi="Times New Roman"/>
                <w:sz w:val="24"/>
                <w:szCs w:val="24"/>
              </w:rPr>
              <w:t xml:space="preserve"> met</w:t>
            </w:r>
            <w:r w:rsidR="00016640">
              <w:rPr>
                <w:rFonts w:ascii="Times New Roman" w:hAnsi="Times New Roman"/>
                <w:sz w:val="24"/>
                <w:szCs w:val="24"/>
              </w:rPr>
              <w:t>ais</w:t>
            </w:r>
            <w:r w:rsidR="00462BEF" w:rsidRPr="00462BEF">
              <w:rPr>
                <w:rFonts w:ascii="Times New Roman" w:hAnsi="Times New Roman"/>
                <w:sz w:val="24"/>
                <w:szCs w:val="24"/>
              </w:rPr>
              <w:t xml:space="preserve"> </w:t>
            </w:r>
            <w:r w:rsidR="00016640">
              <w:rPr>
                <w:rFonts w:ascii="Times New Roman" w:hAnsi="Times New Roman"/>
                <w:sz w:val="24"/>
                <w:szCs w:val="24"/>
              </w:rPr>
              <w:t xml:space="preserve">priemonių </w:t>
            </w:r>
            <w:r w:rsidR="00462BEF" w:rsidRPr="00462BEF">
              <w:rPr>
                <w:rFonts w:ascii="Times New Roman" w:hAnsi="Times New Roman"/>
                <w:sz w:val="24"/>
                <w:szCs w:val="24"/>
              </w:rPr>
              <w:t>plano, patvirtinto Lietuvos Respublikos sveikatos apsaugos ministro 201</w:t>
            </w:r>
            <w:r w:rsidR="00016640">
              <w:rPr>
                <w:rFonts w:ascii="Times New Roman" w:hAnsi="Times New Roman"/>
                <w:sz w:val="24"/>
                <w:szCs w:val="24"/>
              </w:rPr>
              <w:t>6</w:t>
            </w:r>
            <w:r w:rsidR="00462BEF" w:rsidRPr="00462BEF">
              <w:rPr>
                <w:rFonts w:ascii="Times New Roman" w:hAnsi="Times New Roman"/>
                <w:sz w:val="24"/>
                <w:szCs w:val="24"/>
              </w:rPr>
              <w:t xml:space="preserve"> m. </w:t>
            </w:r>
            <w:r w:rsidR="00016640">
              <w:rPr>
                <w:rFonts w:ascii="Times New Roman" w:hAnsi="Times New Roman"/>
                <w:sz w:val="24"/>
                <w:szCs w:val="24"/>
              </w:rPr>
              <w:t>gruodžio</w:t>
            </w:r>
            <w:r w:rsidR="00462BEF" w:rsidRPr="00462BEF">
              <w:rPr>
                <w:rFonts w:ascii="Times New Roman" w:hAnsi="Times New Roman"/>
                <w:sz w:val="24"/>
                <w:szCs w:val="24"/>
              </w:rPr>
              <w:t xml:space="preserve"> </w:t>
            </w:r>
            <w:r w:rsidR="00016640">
              <w:rPr>
                <w:rFonts w:ascii="Times New Roman" w:hAnsi="Times New Roman"/>
                <w:sz w:val="24"/>
                <w:szCs w:val="24"/>
              </w:rPr>
              <w:t>9</w:t>
            </w:r>
            <w:r w:rsidR="00462BEF" w:rsidRPr="00462BEF">
              <w:rPr>
                <w:rFonts w:ascii="Times New Roman" w:hAnsi="Times New Roman"/>
                <w:sz w:val="24"/>
                <w:szCs w:val="24"/>
              </w:rPr>
              <w:t xml:space="preserve"> d. įsakymu Nr. V-1</w:t>
            </w:r>
            <w:r w:rsidR="00016640">
              <w:rPr>
                <w:rFonts w:ascii="Times New Roman" w:hAnsi="Times New Roman"/>
                <w:sz w:val="24"/>
                <w:szCs w:val="24"/>
              </w:rPr>
              <w:t>41</w:t>
            </w:r>
            <w:r w:rsidR="00462BEF" w:rsidRPr="00462BEF">
              <w:rPr>
                <w:rFonts w:ascii="Times New Roman" w:hAnsi="Times New Roman"/>
                <w:sz w:val="24"/>
                <w:szCs w:val="24"/>
              </w:rPr>
              <w:t>9 „</w:t>
            </w:r>
            <w:r w:rsidR="00016640">
              <w:rPr>
                <w:rFonts w:ascii="Times New Roman" w:hAnsi="Times New Roman"/>
                <w:sz w:val="24"/>
                <w:szCs w:val="24"/>
              </w:rPr>
              <w:t xml:space="preserve">Dėl </w:t>
            </w:r>
            <w:r w:rsidR="00462BEF" w:rsidRPr="00462BEF">
              <w:rPr>
                <w:rFonts w:ascii="Times New Roman" w:hAnsi="Times New Roman"/>
                <w:sz w:val="24"/>
                <w:szCs w:val="24"/>
              </w:rPr>
              <w:t xml:space="preserve">Nacionalinės vėžio profilaktikos ir kontrolės 2014−2025 metų programos </w:t>
            </w:r>
            <w:r w:rsidR="00016640">
              <w:rPr>
                <w:rFonts w:ascii="Times New Roman" w:hAnsi="Times New Roman"/>
                <w:sz w:val="24"/>
                <w:szCs w:val="24"/>
              </w:rPr>
              <w:t xml:space="preserve">įgyvendinimo 2017-2019 metais priemonių plano </w:t>
            </w:r>
            <w:r w:rsidR="00462BEF" w:rsidRPr="00462BEF">
              <w:rPr>
                <w:rFonts w:ascii="Times New Roman" w:hAnsi="Times New Roman"/>
                <w:sz w:val="24"/>
                <w:szCs w:val="24"/>
              </w:rPr>
              <w:t xml:space="preserve">patvirtinimo“ </w:t>
            </w:r>
            <w:r w:rsidR="00016640">
              <w:rPr>
                <w:rFonts w:ascii="Times New Roman" w:hAnsi="Times New Roman"/>
                <w:sz w:val="24"/>
                <w:szCs w:val="24"/>
              </w:rPr>
              <w:t>7.5 papunktį ir Nacionalinės vėžio profilaktikos ir kontrolės 2014-2025 metų programos, patvirtintos Lietuvos Respublikos sveikatos apsaugos ministro 2014 m. liepos 16 d. įsakymu Nr. V-814 „</w:t>
            </w:r>
            <w:r w:rsidR="007633A0">
              <w:rPr>
                <w:rFonts w:ascii="Times New Roman" w:hAnsi="Times New Roman"/>
                <w:sz w:val="24"/>
                <w:szCs w:val="24"/>
              </w:rPr>
              <w:t xml:space="preserve">Dėl Nacionalinės </w:t>
            </w:r>
            <w:r w:rsidR="007633A0" w:rsidRPr="00462BEF">
              <w:rPr>
                <w:rFonts w:ascii="Times New Roman" w:hAnsi="Times New Roman"/>
                <w:sz w:val="24"/>
                <w:szCs w:val="24"/>
              </w:rPr>
              <w:t>vėžio profilaktikos ir kontrolės</w:t>
            </w:r>
            <w:r w:rsidR="007633A0">
              <w:rPr>
                <w:rFonts w:ascii="Times New Roman" w:hAnsi="Times New Roman"/>
                <w:sz w:val="24"/>
                <w:szCs w:val="24"/>
              </w:rPr>
              <w:t xml:space="preserve"> 2014-2025 metų programos patvirtinimo“ 160.3.4 papunktį.</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left="0" w:firstLine="0"/>
              <w:rPr>
                <w:rFonts w:ascii="Times New Roman" w:hAnsi="Times New Roman"/>
                <w:sz w:val="24"/>
                <w:szCs w:val="24"/>
              </w:rPr>
            </w:pP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Išankstinių (</w:t>
            </w:r>
            <w:proofErr w:type="spellStart"/>
            <w:r w:rsidRPr="00807A15">
              <w:rPr>
                <w:rFonts w:ascii="Times New Roman" w:hAnsi="Times New Roman"/>
                <w:i/>
                <w:sz w:val="24"/>
                <w:szCs w:val="24"/>
              </w:rPr>
              <w:t>ex</w:t>
            </w:r>
            <w:proofErr w:type="spellEnd"/>
            <w:r w:rsidRPr="00807A15">
              <w:rPr>
                <w:rFonts w:ascii="Times New Roman" w:hAnsi="Times New Roman"/>
                <w:i/>
                <w:sz w:val="24"/>
                <w:szCs w:val="24"/>
              </w:rPr>
              <w:t xml:space="preserve"> </w:t>
            </w:r>
            <w:proofErr w:type="spellStart"/>
            <w:r w:rsidRPr="00807A15">
              <w:rPr>
                <w:rFonts w:ascii="Times New Roman" w:hAnsi="Times New Roman"/>
                <w:i/>
                <w:sz w:val="24"/>
                <w:szCs w:val="24"/>
              </w:rPr>
              <w:t>ante</w:t>
            </w:r>
            <w:proofErr w:type="spellEnd"/>
            <w:r w:rsidRPr="00807A15">
              <w:rPr>
                <w:rFonts w:ascii="Times New Roman" w:hAnsi="Times New Roman"/>
                <w:i/>
                <w:sz w:val="24"/>
                <w:szCs w:val="24"/>
              </w:rPr>
              <w:t>)</w:t>
            </w:r>
            <w:r w:rsidRPr="00807A15">
              <w:rPr>
                <w:rFonts w:ascii="Times New Roman" w:hAnsi="Times New Roman"/>
                <w:sz w:val="24"/>
                <w:szCs w:val="24"/>
              </w:rPr>
              <w:t xml:space="preserve"> sąlygų įvykdymas</w:t>
            </w:r>
          </w:p>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(jei taikoma)</w:t>
            </w:r>
          </w:p>
        </w:tc>
        <w:tc>
          <w:tcPr>
            <w:tcW w:w="6945" w:type="dxa"/>
          </w:tcPr>
          <w:p w:rsidR="008F1F4C" w:rsidRPr="00807A15" w:rsidRDefault="008F1F4C" w:rsidP="00FC2F9C">
            <w:pPr>
              <w:tabs>
                <w:tab w:val="left" w:pos="567"/>
              </w:tabs>
              <w:jc w:val="both"/>
              <w:rPr>
                <w:rFonts w:ascii="Times New Roman" w:hAnsi="Times New Roman"/>
                <w:sz w:val="24"/>
                <w:szCs w:val="24"/>
              </w:rPr>
            </w:pPr>
            <w:r w:rsidRPr="008F1F4C">
              <w:rPr>
                <w:rFonts w:ascii="Times New Roman" w:hAnsi="Times New Roman"/>
                <w:sz w:val="24"/>
                <w:szCs w:val="24"/>
              </w:rPr>
              <w:t>Veiksmų programos prioritetui, ku</w:t>
            </w:r>
            <w:r w:rsidR="00E30DCC">
              <w:rPr>
                <w:rFonts w:ascii="Times New Roman" w:hAnsi="Times New Roman"/>
                <w:sz w:val="24"/>
                <w:szCs w:val="24"/>
              </w:rPr>
              <w:t>rį įgyvendina P</w:t>
            </w:r>
            <w:r w:rsidR="00144E86">
              <w:rPr>
                <w:rFonts w:ascii="Times New Roman" w:hAnsi="Times New Roman"/>
                <w:sz w:val="24"/>
                <w:szCs w:val="24"/>
              </w:rPr>
              <w:t>riemonė, taikoma 9.3</w:t>
            </w:r>
            <w:r w:rsidRPr="008F1F4C">
              <w:rPr>
                <w:rFonts w:ascii="Times New Roman" w:hAnsi="Times New Roman"/>
                <w:sz w:val="24"/>
                <w:szCs w:val="24"/>
              </w:rPr>
              <w:t xml:space="preserve"> </w:t>
            </w:r>
            <w:proofErr w:type="spellStart"/>
            <w:r w:rsidRPr="008F1F4C">
              <w:rPr>
                <w:rFonts w:ascii="Times New Roman" w:hAnsi="Times New Roman"/>
                <w:sz w:val="24"/>
                <w:szCs w:val="24"/>
              </w:rPr>
              <w:t>ex</w:t>
            </w:r>
            <w:proofErr w:type="spellEnd"/>
            <w:r w:rsidRPr="008F1F4C">
              <w:rPr>
                <w:rFonts w:ascii="Times New Roman" w:hAnsi="Times New Roman"/>
                <w:sz w:val="24"/>
                <w:szCs w:val="24"/>
              </w:rPr>
              <w:t xml:space="preserve"> </w:t>
            </w:r>
            <w:proofErr w:type="spellStart"/>
            <w:r w:rsidRPr="008F1F4C">
              <w:rPr>
                <w:rFonts w:ascii="Times New Roman" w:hAnsi="Times New Roman"/>
                <w:sz w:val="24"/>
                <w:szCs w:val="24"/>
              </w:rPr>
              <w:t>ante</w:t>
            </w:r>
            <w:proofErr w:type="spellEnd"/>
            <w:r w:rsidRPr="008F1F4C">
              <w:rPr>
                <w:rFonts w:ascii="Times New Roman" w:hAnsi="Times New Roman"/>
                <w:sz w:val="24"/>
                <w:szCs w:val="24"/>
              </w:rPr>
              <w:t xml:space="preserve"> sąlyga</w:t>
            </w:r>
            <w:r w:rsidR="00144E86">
              <w:rPr>
                <w:rFonts w:ascii="Times New Roman" w:hAnsi="Times New Roman"/>
                <w:sz w:val="24"/>
                <w:szCs w:val="24"/>
              </w:rPr>
              <w:t>: „</w:t>
            </w:r>
            <w:r w:rsidR="00144E86" w:rsidRPr="00144E86">
              <w:rPr>
                <w:rFonts w:ascii="Times New Roman" w:hAnsi="Times New Roman"/>
                <w:sz w:val="24"/>
                <w:szCs w:val="24"/>
              </w:rPr>
              <w:t xml:space="preserve">Sveikata: parengta nacionalinė arba regioninė strateginė politikos programa sveikatos apsaugos srityje laikantis </w:t>
            </w:r>
            <w:r w:rsidR="00144E86" w:rsidRPr="00144E86">
              <w:rPr>
                <w:rFonts w:ascii="Times New Roman" w:hAnsi="Times New Roman"/>
                <w:sz w:val="24"/>
                <w:szCs w:val="24"/>
              </w:rPr>
              <w:lastRenderedPageBreak/>
              <w:t>SESV 168 straipsnio, kuria užtikrinamas ekonominis tvarumas</w:t>
            </w:r>
            <w:r w:rsidR="00144E86">
              <w:rPr>
                <w:rFonts w:ascii="Times New Roman" w:hAnsi="Times New Roman"/>
                <w:sz w:val="24"/>
                <w:szCs w:val="24"/>
              </w:rPr>
              <w:t>“</w:t>
            </w:r>
            <w:r w:rsidR="00144E86" w:rsidRPr="00144E86">
              <w:rPr>
                <w:rFonts w:ascii="Times New Roman" w:hAnsi="Times New Roman"/>
                <w:sz w:val="24"/>
                <w:szCs w:val="24"/>
              </w:rPr>
              <w:t>.</w:t>
            </w:r>
            <w:r>
              <w:rPr>
                <w:rFonts w:ascii="Times New Roman" w:hAnsi="Times New Roman"/>
                <w:sz w:val="24"/>
                <w:szCs w:val="24"/>
              </w:rPr>
              <w:t xml:space="preserve"> Ši sąlyga yra įvykdyta.</w:t>
            </w:r>
          </w:p>
        </w:tc>
      </w:tr>
      <w:tr w:rsidR="00FB6137" w:rsidRPr="00807A15" w:rsidTr="00674FE0">
        <w:trPr>
          <w:trHeight w:val="561"/>
        </w:trPr>
        <w:tc>
          <w:tcPr>
            <w:tcW w:w="567" w:type="dxa"/>
          </w:tcPr>
          <w:p w:rsidR="00FB6137" w:rsidRPr="00807A15" w:rsidRDefault="00FB6137" w:rsidP="00FB6137">
            <w:pPr>
              <w:pStyle w:val="Sraopastraipa"/>
              <w:numPr>
                <w:ilvl w:val="0"/>
                <w:numId w:val="1"/>
              </w:numPr>
              <w:tabs>
                <w:tab w:val="left" w:pos="567"/>
              </w:tabs>
              <w:ind w:left="0" w:firstLine="0"/>
              <w:rPr>
                <w:rFonts w:ascii="Times New Roman" w:hAnsi="Times New Roman"/>
                <w:sz w:val="24"/>
                <w:szCs w:val="24"/>
              </w:rPr>
            </w:pP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Priemonės tikslingumas, tinkamumas ir tęstinu</w:t>
            </w:r>
            <w:r w:rsidR="004D7064">
              <w:rPr>
                <w:rFonts w:ascii="Times New Roman" w:hAnsi="Times New Roman"/>
                <w:sz w:val="24"/>
                <w:szCs w:val="24"/>
              </w:rPr>
              <w:t xml:space="preserve">mas, atsižvelgiant į vertinimų </w:t>
            </w:r>
            <w:r w:rsidRPr="00807A15">
              <w:rPr>
                <w:rFonts w:ascii="Times New Roman" w:hAnsi="Times New Roman"/>
                <w:sz w:val="24"/>
                <w:szCs w:val="24"/>
              </w:rPr>
              <w:t xml:space="preserve">išvadas </w:t>
            </w:r>
          </w:p>
        </w:tc>
        <w:tc>
          <w:tcPr>
            <w:tcW w:w="6945" w:type="dxa"/>
          </w:tcPr>
          <w:p w:rsidR="00E30DCC" w:rsidRDefault="00345AAD" w:rsidP="006178CF">
            <w:pPr>
              <w:pStyle w:val="Komentarotekstas"/>
              <w:jc w:val="both"/>
              <w:rPr>
                <w:rFonts w:ascii="Times New Roman" w:hAnsi="Times New Roman"/>
                <w:sz w:val="24"/>
                <w:szCs w:val="24"/>
              </w:rPr>
            </w:pPr>
            <w:r>
              <w:rPr>
                <w:rFonts w:ascii="Times New Roman" w:hAnsi="Times New Roman"/>
                <w:sz w:val="24"/>
                <w:szCs w:val="24"/>
              </w:rPr>
              <w:t>Planuojant šią P</w:t>
            </w:r>
            <w:r w:rsidR="00172B91">
              <w:rPr>
                <w:rFonts w:ascii="Times New Roman" w:hAnsi="Times New Roman"/>
                <w:sz w:val="24"/>
                <w:szCs w:val="24"/>
              </w:rPr>
              <w:t>riemonę atsižvelgta į</w:t>
            </w:r>
            <w:r w:rsidR="00BA7CF2" w:rsidRPr="009C7DEB">
              <w:rPr>
                <w:rFonts w:ascii="Times New Roman" w:hAnsi="Times New Roman"/>
                <w:sz w:val="24"/>
                <w:szCs w:val="24"/>
              </w:rPr>
              <w:t xml:space="preserve"> Sveikatos apsaugos</w:t>
            </w:r>
            <w:r w:rsidR="00172B91">
              <w:rPr>
                <w:rFonts w:ascii="Times New Roman" w:hAnsi="Times New Roman"/>
                <w:sz w:val="24"/>
                <w:szCs w:val="24"/>
              </w:rPr>
              <w:t xml:space="preserve"> ministerijos</w:t>
            </w:r>
            <w:r w:rsidR="008B31B2">
              <w:rPr>
                <w:rFonts w:ascii="Times New Roman" w:hAnsi="Times New Roman"/>
                <w:sz w:val="24"/>
                <w:szCs w:val="24"/>
              </w:rPr>
              <w:t xml:space="preserve"> (toliau – Ministerija)</w:t>
            </w:r>
            <w:r w:rsidR="00172B91">
              <w:rPr>
                <w:rFonts w:ascii="Times New Roman" w:hAnsi="Times New Roman"/>
                <w:sz w:val="24"/>
                <w:szCs w:val="24"/>
              </w:rPr>
              <w:t xml:space="preserve"> užsakymu </w:t>
            </w:r>
            <w:r w:rsidR="00172B91" w:rsidRPr="009C7DEB">
              <w:rPr>
                <w:rFonts w:ascii="Times New Roman" w:hAnsi="Times New Roman"/>
                <w:sz w:val="24"/>
                <w:szCs w:val="24"/>
              </w:rPr>
              <w:t>2013 m. sausio 30 d</w:t>
            </w:r>
            <w:r w:rsidR="00172B91">
              <w:rPr>
                <w:rFonts w:ascii="Times New Roman" w:hAnsi="Times New Roman"/>
                <w:sz w:val="24"/>
                <w:szCs w:val="24"/>
              </w:rPr>
              <w:t xml:space="preserve"> atliktą</w:t>
            </w:r>
            <w:r w:rsidR="00BA7CF2" w:rsidRPr="009C7DEB">
              <w:rPr>
                <w:rFonts w:ascii="Times New Roman" w:hAnsi="Times New Roman"/>
                <w:sz w:val="24"/>
                <w:szCs w:val="24"/>
              </w:rPr>
              <w:t xml:space="preserve"> Sveikatos sektoriaus prioritetų 2014–2020 m. Europos Sąjungos struktūrinės paramos panaudojimo laikotarpiu strategin</w:t>
            </w:r>
            <w:r w:rsidR="00172B91">
              <w:rPr>
                <w:rFonts w:ascii="Times New Roman" w:hAnsi="Times New Roman"/>
                <w:sz w:val="24"/>
                <w:szCs w:val="24"/>
              </w:rPr>
              <w:t>į</w:t>
            </w:r>
            <w:r w:rsidR="00BA7CF2" w:rsidRPr="009C7DEB">
              <w:rPr>
                <w:rFonts w:ascii="Times New Roman" w:hAnsi="Times New Roman"/>
                <w:sz w:val="24"/>
                <w:szCs w:val="24"/>
              </w:rPr>
              <w:t xml:space="preserve"> vertinim</w:t>
            </w:r>
            <w:r w:rsidR="00172B91">
              <w:rPr>
                <w:rFonts w:ascii="Times New Roman" w:hAnsi="Times New Roman"/>
                <w:sz w:val="24"/>
                <w:szCs w:val="24"/>
              </w:rPr>
              <w:t>ą</w:t>
            </w:r>
            <w:r w:rsidR="00E51631">
              <w:rPr>
                <w:rFonts w:ascii="Times New Roman" w:hAnsi="Times New Roman"/>
                <w:sz w:val="24"/>
                <w:szCs w:val="24"/>
              </w:rPr>
              <w:t xml:space="preserve"> (toliau – Strateginis vertinimas)</w:t>
            </w:r>
            <w:r w:rsidR="00172B91">
              <w:rPr>
                <w:rFonts w:ascii="Times New Roman" w:hAnsi="Times New Roman"/>
                <w:sz w:val="24"/>
                <w:szCs w:val="24"/>
              </w:rPr>
              <w:t>, kuriame</w:t>
            </w:r>
            <w:r w:rsidR="00BA7CF2" w:rsidRPr="009C7DEB">
              <w:rPr>
                <w:rFonts w:ascii="Times New Roman" w:hAnsi="Times New Roman"/>
                <w:sz w:val="24"/>
                <w:szCs w:val="24"/>
              </w:rPr>
              <w:t xml:space="preserve"> </w:t>
            </w:r>
            <w:r w:rsidR="00E30DCC">
              <w:rPr>
                <w:rFonts w:ascii="Times New Roman" w:hAnsi="Times New Roman"/>
                <w:sz w:val="24"/>
                <w:szCs w:val="24"/>
              </w:rPr>
              <w:t>išanalizuotos</w:t>
            </w:r>
            <w:r w:rsidR="00BA7CF2">
              <w:rPr>
                <w:rFonts w:ascii="Times New Roman" w:hAnsi="Times New Roman"/>
                <w:sz w:val="24"/>
                <w:szCs w:val="24"/>
              </w:rPr>
              <w:t xml:space="preserve"> ir įvardint</w:t>
            </w:r>
            <w:r w:rsidR="00E30DCC">
              <w:rPr>
                <w:rFonts w:ascii="Times New Roman" w:hAnsi="Times New Roman"/>
                <w:sz w:val="24"/>
                <w:szCs w:val="24"/>
              </w:rPr>
              <w:t>os</w:t>
            </w:r>
            <w:r w:rsidR="00BA7CF2">
              <w:rPr>
                <w:rFonts w:ascii="Times New Roman" w:hAnsi="Times New Roman"/>
                <w:sz w:val="24"/>
                <w:szCs w:val="24"/>
              </w:rPr>
              <w:t xml:space="preserve"> </w:t>
            </w:r>
            <w:r w:rsidR="00E30DCC">
              <w:rPr>
                <w:rFonts w:ascii="Times New Roman" w:hAnsi="Times New Roman"/>
                <w:sz w:val="24"/>
                <w:szCs w:val="24"/>
              </w:rPr>
              <w:t>problemos, susijusios</w:t>
            </w:r>
            <w:r w:rsidR="00BA7CF2">
              <w:rPr>
                <w:rFonts w:ascii="Times New Roman" w:hAnsi="Times New Roman"/>
                <w:sz w:val="24"/>
                <w:szCs w:val="24"/>
              </w:rPr>
              <w:t xml:space="preserve"> su </w:t>
            </w:r>
            <w:r w:rsidR="006178CF">
              <w:rPr>
                <w:rFonts w:ascii="Times New Roman" w:hAnsi="Times New Roman"/>
                <w:sz w:val="24"/>
                <w:szCs w:val="24"/>
              </w:rPr>
              <w:t>sveikatos priežiūros paslaugų gerinimu, socialinės atskirties mažinimu, sveikatos raštingumo didinimu.</w:t>
            </w:r>
            <w:r w:rsidR="00B9696F">
              <w:rPr>
                <w:rFonts w:ascii="Times New Roman" w:hAnsi="Times New Roman"/>
                <w:sz w:val="24"/>
                <w:szCs w:val="24"/>
              </w:rPr>
              <w:t xml:space="preserve"> Vertinime (153 – 178 psl.) akcentuotas i</w:t>
            </w:r>
            <w:r w:rsidR="00CE197C" w:rsidRPr="00CE197C">
              <w:rPr>
                <w:rFonts w:ascii="Times New Roman" w:hAnsi="Times New Roman"/>
                <w:sz w:val="24"/>
                <w:szCs w:val="24"/>
              </w:rPr>
              <w:t>ntervencinių priemonių ko</w:t>
            </w:r>
            <w:r w:rsidR="00CE197C">
              <w:rPr>
                <w:rFonts w:ascii="Times New Roman" w:hAnsi="Times New Roman"/>
                <w:sz w:val="24"/>
                <w:szCs w:val="24"/>
              </w:rPr>
              <w:t>mpleksiškumas ir integralumas</w:t>
            </w:r>
            <w:r w:rsidR="00DE7395">
              <w:rPr>
                <w:rFonts w:ascii="Times New Roman" w:hAnsi="Times New Roman"/>
                <w:sz w:val="24"/>
                <w:szCs w:val="24"/>
              </w:rPr>
              <w:t xml:space="preserve">, kurie </w:t>
            </w:r>
            <w:r w:rsidR="00CE197C">
              <w:rPr>
                <w:rFonts w:ascii="Times New Roman" w:hAnsi="Times New Roman"/>
                <w:sz w:val="24"/>
                <w:szCs w:val="24"/>
              </w:rPr>
              <w:t>už</w:t>
            </w:r>
            <w:r w:rsidR="00CE197C" w:rsidRPr="00CE197C">
              <w:rPr>
                <w:rFonts w:ascii="Times New Roman" w:hAnsi="Times New Roman"/>
                <w:sz w:val="24"/>
                <w:szCs w:val="24"/>
              </w:rPr>
              <w:t>tikrinami įtraukiant skirtingus sektorius ir institucijas (</w:t>
            </w:r>
            <w:r w:rsidR="00E30DCC">
              <w:rPr>
                <w:rFonts w:ascii="Times New Roman" w:hAnsi="Times New Roman"/>
                <w:sz w:val="24"/>
                <w:szCs w:val="24"/>
              </w:rPr>
              <w:t>N</w:t>
            </w:r>
            <w:r w:rsidR="00CE197C" w:rsidRPr="00CE197C">
              <w:rPr>
                <w:rFonts w:ascii="Times New Roman" w:hAnsi="Times New Roman"/>
                <w:sz w:val="24"/>
                <w:szCs w:val="24"/>
              </w:rPr>
              <w:t>VO, privačias įstaigas</w:t>
            </w:r>
            <w:r w:rsidR="00E30DCC">
              <w:rPr>
                <w:rFonts w:ascii="Times New Roman" w:hAnsi="Times New Roman"/>
                <w:sz w:val="24"/>
                <w:szCs w:val="24"/>
              </w:rPr>
              <w:t xml:space="preserve"> ir pan.</w:t>
            </w:r>
            <w:r w:rsidR="00CE197C" w:rsidRPr="00CE197C">
              <w:rPr>
                <w:rFonts w:ascii="Times New Roman" w:hAnsi="Times New Roman"/>
                <w:sz w:val="24"/>
                <w:szCs w:val="24"/>
              </w:rPr>
              <w:t xml:space="preserve">), kurių veikla tarpusavyje yra susijusi. </w:t>
            </w:r>
            <w:r w:rsidR="00016F52">
              <w:rPr>
                <w:rFonts w:ascii="Times New Roman" w:hAnsi="Times New Roman"/>
                <w:sz w:val="24"/>
                <w:szCs w:val="24"/>
              </w:rPr>
              <w:t xml:space="preserve">Priemonėje galimais pareiškėjais numatytos NVO, tradicinės religinės bendruomenės ir sveikatos priežiūros specialistų asociacijos.  </w:t>
            </w:r>
            <w:r w:rsidR="003035CB">
              <w:rPr>
                <w:rFonts w:ascii="Times New Roman" w:hAnsi="Times New Roman"/>
                <w:sz w:val="24"/>
                <w:szCs w:val="24"/>
              </w:rPr>
              <w:t>Šie sektoriai turi patirtį</w:t>
            </w:r>
            <w:r w:rsidR="003035CB" w:rsidRPr="00E12662">
              <w:rPr>
                <w:rFonts w:ascii="Times New Roman" w:hAnsi="Times New Roman"/>
                <w:sz w:val="24"/>
                <w:szCs w:val="24"/>
              </w:rPr>
              <w:t xml:space="preserve"> </w:t>
            </w:r>
            <w:r w:rsidR="003035CB">
              <w:rPr>
                <w:rFonts w:ascii="Times New Roman" w:hAnsi="Times New Roman"/>
                <w:sz w:val="24"/>
                <w:szCs w:val="24"/>
              </w:rPr>
              <w:t xml:space="preserve">teikiant paslaugas </w:t>
            </w:r>
            <w:r w:rsidR="003035CB" w:rsidRPr="00E12662">
              <w:rPr>
                <w:rFonts w:ascii="Times New Roman" w:hAnsi="Times New Roman"/>
                <w:sz w:val="24"/>
                <w:szCs w:val="24"/>
              </w:rPr>
              <w:t>socialinę atskirtį išgyvenan</w:t>
            </w:r>
            <w:r w:rsidR="003035CB">
              <w:rPr>
                <w:rFonts w:ascii="Times New Roman" w:hAnsi="Times New Roman"/>
                <w:sz w:val="24"/>
                <w:szCs w:val="24"/>
              </w:rPr>
              <w:t>tiems</w:t>
            </w:r>
            <w:r w:rsidR="00AE62B0">
              <w:rPr>
                <w:rFonts w:ascii="Times New Roman" w:hAnsi="Times New Roman"/>
                <w:sz w:val="24"/>
                <w:szCs w:val="24"/>
              </w:rPr>
              <w:t xml:space="preserve"> </w:t>
            </w:r>
            <w:r w:rsidR="003035CB">
              <w:rPr>
                <w:rFonts w:ascii="Times New Roman" w:hAnsi="Times New Roman"/>
                <w:sz w:val="24"/>
                <w:szCs w:val="24"/>
              </w:rPr>
              <w:t xml:space="preserve">tikslinių grupių </w:t>
            </w:r>
            <w:r w:rsidR="003035CB" w:rsidRPr="00E12662">
              <w:rPr>
                <w:rFonts w:ascii="Times New Roman" w:hAnsi="Times New Roman"/>
                <w:sz w:val="24"/>
                <w:szCs w:val="24"/>
              </w:rPr>
              <w:t>asmenims</w:t>
            </w:r>
            <w:r w:rsidR="003035CB">
              <w:rPr>
                <w:rFonts w:ascii="Times New Roman" w:hAnsi="Times New Roman"/>
                <w:sz w:val="24"/>
                <w:szCs w:val="24"/>
              </w:rPr>
              <w:t xml:space="preserve">, todėl </w:t>
            </w:r>
            <w:r w:rsidR="003035CB" w:rsidRPr="00616AF2">
              <w:rPr>
                <w:rFonts w:ascii="Times New Roman" w:hAnsi="Times New Roman"/>
                <w:sz w:val="24"/>
                <w:szCs w:val="24"/>
              </w:rPr>
              <w:t>bendradarbiavimas</w:t>
            </w:r>
            <w:r w:rsidR="003035CB">
              <w:rPr>
                <w:rFonts w:ascii="Times New Roman" w:hAnsi="Times New Roman"/>
                <w:sz w:val="24"/>
                <w:szCs w:val="24"/>
              </w:rPr>
              <w:t xml:space="preserve"> v</w:t>
            </w:r>
            <w:r w:rsidR="003035CB" w:rsidRPr="00616AF2">
              <w:rPr>
                <w:rFonts w:ascii="Times New Roman" w:hAnsi="Times New Roman"/>
                <w:sz w:val="24"/>
                <w:szCs w:val="24"/>
              </w:rPr>
              <w:t>isuomenės sveikatos</w:t>
            </w:r>
            <w:r w:rsidR="003035CB">
              <w:rPr>
                <w:rFonts w:ascii="Times New Roman" w:hAnsi="Times New Roman"/>
                <w:sz w:val="24"/>
                <w:szCs w:val="24"/>
              </w:rPr>
              <w:t>, socialinės apsaugos srityse su įvairiomis organizacijomis yra būtinas ir gali pasireikšti teikiant tikslinių grupių asmenims</w:t>
            </w:r>
            <w:r w:rsidR="003035CB" w:rsidRPr="00616AF2">
              <w:rPr>
                <w:rFonts w:ascii="Times New Roman" w:hAnsi="Times New Roman"/>
                <w:sz w:val="24"/>
                <w:szCs w:val="24"/>
              </w:rPr>
              <w:t xml:space="preserve"> pagalbą sveikos gyvensenos,</w:t>
            </w:r>
            <w:r w:rsidR="003035CB">
              <w:rPr>
                <w:rFonts w:ascii="Times New Roman" w:hAnsi="Times New Roman"/>
                <w:sz w:val="24"/>
                <w:szCs w:val="24"/>
              </w:rPr>
              <w:t xml:space="preserve"> reikiamų</w:t>
            </w:r>
            <w:r w:rsidR="003035CB" w:rsidRPr="00616AF2">
              <w:rPr>
                <w:rFonts w:ascii="Times New Roman" w:hAnsi="Times New Roman"/>
                <w:sz w:val="24"/>
                <w:szCs w:val="24"/>
              </w:rPr>
              <w:t xml:space="preserve"> įgūdžių</w:t>
            </w:r>
            <w:r w:rsidR="003035CB">
              <w:rPr>
                <w:rFonts w:ascii="Times New Roman" w:hAnsi="Times New Roman"/>
                <w:sz w:val="24"/>
                <w:szCs w:val="24"/>
              </w:rPr>
              <w:t xml:space="preserve"> formavimo klausimais.</w:t>
            </w:r>
            <w:r w:rsidR="00C116F8">
              <w:rPr>
                <w:rFonts w:ascii="Times New Roman" w:hAnsi="Times New Roman"/>
                <w:sz w:val="24"/>
                <w:szCs w:val="24"/>
              </w:rPr>
              <w:t xml:space="preserve"> </w:t>
            </w:r>
          </w:p>
          <w:p w:rsidR="00CE197C" w:rsidRPr="00BA7CF2" w:rsidRDefault="00C116F8" w:rsidP="0063316D">
            <w:pPr>
              <w:pStyle w:val="Komentarotekstas"/>
              <w:jc w:val="both"/>
              <w:rPr>
                <w:rFonts w:ascii="Times New Roman" w:hAnsi="Times New Roman"/>
                <w:sz w:val="24"/>
                <w:szCs w:val="24"/>
              </w:rPr>
            </w:pPr>
            <w:r>
              <w:rPr>
                <w:rFonts w:ascii="Times New Roman" w:hAnsi="Times New Roman"/>
                <w:sz w:val="24"/>
                <w:szCs w:val="24"/>
              </w:rPr>
              <w:t>Strateginis vertinimas paskelbtas svetainėje www.esparama.sam.lt/go.php/ES-Paramos-Vertinimai.</w:t>
            </w:r>
          </w:p>
        </w:tc>
      </w:tr>
      <w:tr w:rsidR="00FB6137" w:rsidRPr="00807A15" w:rsidTr="005454B9">
        <w:trPr>
          <w:trHeight w:val="1833"/>
        </w:trPr>
        <w:tc>
          <w:tcPr>
            <w:tcW w:w="567" w:type="dxa"/>
          </w:tcPr>
          <w:p w:rsidR="00FB6137" w:rsidRPr="00807A15" w:rsidRDefault="00BC2F20" w:rsidP="00375A56">
            <w:pPr>
              <w:pStyle w:val="Sraopastraipa"/>
              <w:tabs>
                <w:tab w:val="left" w:pos="567"/>
              </w:tabs>
              <w:ind w:left="0"/>
              <w:rPr>
                <w:rFonts w:ascii="Times New Roman" w:hAnsi="Times New Roman"/>
                <w:sz w:val="24"/>
                <w:szCs w:val="24"/>
              </w:rPr>
            </w:pPr>
            <w:r>
              <w:rPr>
                <w:rFonts w:ascii="Times New Roman" w:hAnsi="Times New Roman"/>
                <w:sz w:val="24"/>
                <w:szCs w:val="24"/>
              </w:rPr>
              <w:t>5.</w:t>
            </w: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Priemonės suderinamumas su kitomis priemonėmis</w:t>
            </w:r>
          </w:p>
        </w:tc>
        <w:tc>
          <w:tcPr>
            <w:tcW w:w="6945" w:type="dxa"/>
          </w:tcPr>
          <w:p w:rsidR="00780D3E" w:rsidRPr="00807A15" w:rsidRDefault="00E024F6" w:rsidP="00E024F6">
            <w:pPr>
              <w:pStyle w:val="Komentarotekstas"/>
              <w:jc w:val="both"/>
              <w:rPr>
                <w:rFonts w:ascii="Times New Roman" w:hAnsi="Times New Roman"/>
                <w:sz w:val="24"/>
                <w:szCs w:val="24"/>
                <w:lang w:eastAsia="lt-LT"/>
              </w:rPr>
            </w:pPr>
            <w:r>
              <w:rPr>
                <w:rFonts w:ascii="Times New Roman" w:hAnsi="Times New Roman"/>
                <w:sz w:val="24"/>
                <w:szCs w:val="24"/>
                <w:lang w:eastAsia="lt-LT"/>
              </w:rPr>
              <w:t xml:space="preserve">Priemonės veiklos nėra susijusios su </w:t>
            </w:r>
            <w:r w:rsidR="008B31B2">
              <w:rPr>
                <w:rFonts w:ascii="Times New Roman" w:hAnsi="Times New Roman"/>
                <w:sz w:val="24"/>
                <w:szCs w:val="24"/>
                <w:lang w:eastAsia="lt-LT"/>
              </w:rPr>
              <w:t>M</w:t>
            </w:r>
            <w:r>
              <w:rPr>
                <w:rFonts w:ascii="Times New Roman" w:hAnsi="Times New Roman"/>
                <w:sz w:val="24"/>
                <w:szCs w:val="24"/>
                <w:lang w:eastAsia="lt-LT"/>
              </w:rPr>
              <w:t>inisterijos ir</w:t>
            </w:r>
            <w:r w:rsidR="00AE62B0">
              <w:rPr>
                <w:rFonts w:ascii="Times New Roman" w:hAnsi="Times New Roman"/>
                <w:sz w:val="24"/>
                <w:szCs w:val="24"/>
                <w:lang w:eastAsia="lt-LT"/>
              </w:rPr>
              <w:t xml:space="preserve"> kitų ministerijų įgyvendinamų V</w:t>
            </w:r>
            <w:r>
              <w:rPr>
                <w:rFonts w:ascii="Times New Roman" w:hAnsi="Times New Roman"/>
                <w:sz w:val="24"/>
                <w:szCs w:val="24"/>
                <w:lang w:eastAsia="lt-LT"/>
              </w:rPr>
              <w:t>eiksmų program</w:t>
            </w:r>
            <w:r w:rsidR="00AE62B0">
              <w:rPr>
                <w:rFonts w:ascii="Times New Roman" w:hAnsi="Times New Roman"/>
                <w:sz w:val="24"/>
                <w:szCs w:val="24"/>
                <w:lang w:eastAsia="lt-LT"/>
              </w:rPr>
              <w:t>os</w:t>
            </w:r>
            <w:r>
              <w:rPr>
                <w:rFonts w:ascii="Times New Roman" w:hAnsi="Times New Roman"/>
                <w:sz w:val="24"/>
                <w:szCs w:val="24"/>
                <w:lang w:eastAsia="lt-LT"/>
              </w:rPr>
              <w:t>, kitos ES finansinės paramos ar kitos tarptautinės paramos, taip pat nacionalinėmis lėšomis finansuojamų priemonių veiklomis, kurios turėtų būti tarpusavyje suderintos laiko ir siekiamų rezultato rodiklių bendro pasiekiamumo atžvilgiu.</w:t>
            </w:r>
          </w:p>
        </w:tc>
      </w:tr>
      <w:tr w:rsidR="00FB6137" w:rsidRPr="00807A15" w:rsidTr="00465660">
        <w:tc>
          <w:tcPr>
            <w:tcW w:w="567" w:type="dxa"/>
          </w:tcPr>
          <w:p w:rsidR="00FB6137" w:rsidRPr="00807A15" w:rsidRDefault="00BC2F20" w:rsidP="00BC2F20">
            <w:pPr>
              <w:pStyle w:val="Sraopastraipa"/>
              <w:tabs>
                <w:tab w:val="left" w:pos="567"/>
              </w:tabs>
              <w:ind w:left="0"/>
              <w:rPr>
                <w:rFonts w:ascii="Times New Roman" w:hAnsi="Times New Roman"/>
                <w:sz w:val="24"/>
                <w:szCs w:val="24"/>
              </w:rPr>
            </w:pPr>
            <w:r>
              <w:rPr>
                <w:rFonts w:ascii="Times New Roman" w:hAnsi="Times New Roman"/>
                <w:sz w:val="24"/>
                <w:szCs w:val="24"/>
              </w:rPr>
              <w:t>6.</w:t>
            </w: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Nagrinėtų priemonės veiklų įgyvendinimo alternatyvų aprašymas ir siūlomos alternatyvos pasirinkimo pagrindimas (jei taikoma)</w:t>
            </w:r>
          </w:p>
        </w:tc>
        <w:tc>
          <w:tcPr>
            <w:tcW w:w="6945" w:type="dxa"/>
          </w:tcPr>
          <w:p w:rsidR="00635592" w:rsidRPr="00807A15" w:rsidRDefault="00AA6086" w:rsidP="00D15E12">
            <w:pPr>
              <w:pStyle w:val="Komentarotekstas"/>
              <w:jc w:val="both"/>
              <w:rPr>
                <w:rFonts w:ascii="Times New Roman" w:hAnsi="Times New Roman"/>
                <w:sz w:val="24"/>
                <w:szCs w:val="24"/>
                <w:highlight w:val="yellow"/>
              </w:rPr>
            </w:pPr>
            <w:r w:rsidRPr="00F17CB1">
              <w:rPr>
                <w:rFonts w:ascii="Times New Roman" w:hAnsi="Times New Roman"/>
                <w:sz w:val="24"/>
                <w:szCs w:val="24"/>
              </w:rPr>
              <w:t>Priemonės veiklų įgyvendinimo alternatyvų n</w:t>
            </w:r>
            <w:r w:rsidR="005454B9">
              <w:rPr>
                <w:rFonts w:ascii="Times New Roman" w:hAnsi="Times New Roman"/>
                <w:sz w:val="24"/>
                <w:szCs w:val="24"/>
              </w:rPr>
              <w:t>agrinėjimas netaikomas, kadangi veiklų projektai bus</w:t>
            </w:r>
            <w:r w:rsidR="002D203D">
              <w:rPr>
                <w:rFonts w:ascii="Times New Roman" w:hAnsi="Times New Roman"/>
                <w:sz w:val="24"/>
                <w:szCs w:val="24"/>
              </w:rPr>
              <w:t xml:space="preserve"> atrenkami konkurso būdu. </w:t>
            </w:r>
          </w:p>
        </w:tc>
      </w:tr>
      <w:tr w:rsidR="00FB6137" w:rsidRPr="00807A15" w:rsidTr="00465660">
        <w:tc>
          <w:tcPr>
            <w:tcW w:w="567" w:type="dxa"/>
          </w:tcPr>
          <w:p w:rsidR="00FB6137" w:rsidRPr="00807A15" w:rsidRDefault="00BC2F20" w:rsidP="00BC2F20">
            <w:pPr>
              <w:pStyle w:val="Sraopastraipa"/>
              <w:tabs>
                <w:tab w:val="left" w:pos="567"/>
              </w:tabs>
              <w:ind w:left="0"/>
              <w:rPr>
                <w:rFonts w:ascii="Times New Roman" w:hAnsi="Times New Roman"/>
                <w:sz w:val="24"/>
                <w:szCs w:val="24"/>
              </w:rPr>
            </w:pPr>
            <w:r>
              <w:rPr>
                <w:rFonts w:ascii="Times New Roman" w:hAnsi="Times New Roman"/>
                <w:sz w:val="24"/>
                <w:szCs w:val="24"/>
              </w:rPr>
              <w:t xml:space="preserve">7. </w:t>
            </w:r>
          </w:p>
        </w:tc>
        <w:tc>
          <w:tcPr>
            <w:tcW w:w="2836" w:type="dxa"/>
          </w:tcPr>
          <w:p w:rsidR="00FB6137" w:rsidRPr="00807A15" w:rsidRDefault="00FB6137" w:rsidP="004B48A4">
            <w:pPr>
              <w:tabs>
                <w:tab w:val="left" w:pos="567"/>
              </w:tabs>
              <w:rPr>
                <w:rFonts w:ascii="Times New Roman" w:hAnsi="Times New Roman"/>
                <w:sz w:val="24"/>
                <w:szCs w:val="24"/>
              </w:rPr>
            </w:pPr>
            <w:r w:rsidRPr="00807A15">
              <w:rPr>
                <w:rFonts w:ascii="Times New Roman" w:hAnsi="Times New Roman"/>
                <w:sz w:val="24"/>
                <w:szCs w:val="24"/>
              </w:rPr>
              <w:t>Galimų pareiškėjų</w:t>
            </w:r>
            <w:r w:rsidR="004B48A4" w:rsidRPr="00807A15">
              <w:rPr>
                <w:rFonts w:ascii="Times New Roman" w:hAnsi="Times New Roman"/>
                <w:sz w:val="24"/>
                <w:szCs w:val="24"/>
              </w:rPr>
              <w:t xml:space="preserve">, </w:t>
            </w:r>
            <w:r w:rsidRPr="00807A15">
              <w:rPr>
                <w:rFonts w:ascii="Times New Roman" w:hAnsi="Times New Roman"/>
                <w:sz w:val="24"/>
                <w:szCs w:val="24"/>
              </w:rPr>
              <w:t xml:space="preserve">galutinių naudos gavėjų </w:t>
            </w:r>
            <w:r w:rsidR="004B48A4" w:rsidRPr="00807A15">
              <w:rPr>
                <w:rFonts w:ascii="Times New Roman" w:hAnsi="Times New Roman"/>
                <w:sz w:val="24"/>
                <w:szCs w:val="24"/>
              </w:rPr>
              <w:t xml:space="preserve">ir partnerių </w:t>
            </w:r>
            <w:r w:rsidRPr="00807A15">
              <w:rPr>
                <w:rFonts w:ascii="Times New Roman" w:hAnsi="Times New Roman"/>
                <w:sz w:val="24"/>
                <w:szCs w:val="24"/>
              </w:rPr>
              <w:t>pasirinkimo pagrindimas</w:t>
            </w:r>
          </w:p>
        </w:tc>
        <w:tc>
          <w:tcPr>
            <w:tcW w:w="6945" w:type="dxa"/>
          </w:tcPr>
          <w:p w:rsidR="00974D20" w:rsidRDefault="00060144" w:rsidP="00832C1F">
            <w:pPr>
              <w:tabs>
                <w:tab w:val="left" w:pos="567"/>
              </w:tabs>
              <w:jc w:val="both"/>
              <w:rPr>
                <w:rFonts w:ascii="Times New Roman" w:hAnsi="Times New Roman"/>
                <w:sz w:val="24"/>
                <w:szCs w:val="24"/>
              </w:rPr>
            </w:pPr>
            <w:r>
              <w:rPr>
                <w:rFonts w:ascii="Times New Roman" w:hAnsi="Times New Roman"/>
                <w:sz w:val="24"/>
                <w:szCs w:val="24"/>
              </w:rPr>
              <w:t>P</w:t>
            </w:r>
            <w:r w:rsidR="00832C1F">
              <w:rPr>
                <w:rFonts w:ascii="Times New Roman" w:hAnsi="Times New Roman"/>
                <w:sz w:val="24"/>
                <w:szCs w:val="24"/>
              </w:rPr>
              <w:t>areiškėjai</w:t>
            </w:r>
            <w:r w:rsidR="00974D20" w:rsidRPr="00404FD9">
              <w:rPr>
                <w:rFonts w:ascii="Times New Roman" w:hAnsi="Times New Roman"/>
                <w:sz w:val="24"/>
                <w:szCs w:val="24"/>
              </w:rPr>
              <w:t xml:space="preserve"> </w:t>
            </w:r>
            <w:r w:rsidR="002D203D">
              <w:rPr>
                <w:rFonts w:ascii="Times New Roman" w:hAnsi="Times New Roman"/>
                <w:sz w:val="24"/>
                <w:szCs w:val="24"/>
              </w:rPr>
              <w:t xml:space="preserve">(NVO, tradicinės religinės bendruomenės, sveikatos priežiūros specialistų asociacijos) </w:t>
            </w:r>
            <w:r w:rsidR="00832C1F">
              <w:rPr>
                <w:rFonts w:ascii="Times New Roman" w:hAnsi="Times New Roman"/>
                <w:sz w:val="24"/>
                <w:szCs w:val="24"/>
              </w:rPr>
              <w:t xml:space="preserve">bus atrinkti konkurso būdu, o partnerius </w:t>
            </w:r>
            <w:r w:rsidR="002D203D">
              <w:rPr>
                <w:rFonts w:ascii="Times New Roman" w:hAnsi="Times New Roman"/>
                <w:sz w:val="24"/>
                <w:szCs w:val="24"/>
              </w:rPr>
              <w:t xml:space="preserve">(Lietuvoje teisėtai veikiančius juridinius ir fizinius asmenis) </w:t>
            </w:r>
            <w:r w:rsidR="00832C1F">
              <w:rPr>
                <w:rFonts w:ascii="Times New Roman" w:hAnsi="Times New Roman"/>
                <w:sz w:val="24"/>
                <w:szCs w:val="24"/>
              </w:rPr>
              <w:t>pasirinks atrinkti pareiškėjai.</w:t>
            </w:r>
          </w:p>
          <w:p w:rsidR="00E315CD" w:rsidRDefault="002D203D" w:rsidP="00E315CD">
            <w:pPr>
              <w:tabs>
                <w:tab w:val="left" w:pos="567"/>
              </w:tabs>
              <w:jc w:val="both"/>
              <w:rPr>
                <w:rFonts w:ascii="Times New Roman" w:hAnsi="Times New Roman"/>
                <w:sz w:val="24"/>
                <w:szCs w:val="24"/>
              </w:rPr>
            </w:pPr>
            <w:r w:rsidRPr="002D203D">
              <w:rPr>
                <w:rFonts w:ascii="Times New Roman" w:hAnsi="Times New Roman"/>
                <w:sz w:val="24"/>
                <w:szCs w:val="24"/>
              </w:rPr>
              <w:t xml:space="preserve">Naudos </w:t>
            </w:r>
            <w:r>
              <w:rPr>
                <w:rFonts w:ascii="Times New Roman" w:hAnsi="Times New Roman"/>
                <w:sz w:val="24"/>
                <w:szCs w:val="24"/>
              </w:rPr>
              <w:t>gavėjams priskiriami:</w:t>
            </w:r>
          </w:p>
          <w:p w:rsidR="002D203D" w:rsidRDefault="006B576C" w:rsidP="00E315CD">
            <w:pPr>
              <w:tabs>
                <w:tab w:val="left" w:pos="567"/>
              </w:tabs>
              <w:jc w:val="both"/>
              <w:rPr>
                <w:rFonts w:ascii="Times New Roman" w:hAnsi="Times New Roman"/>
                <w:sz w:val="24"/>
                <w:szCs w:val="24"/>
              </w:rPr>
            </w:pPr>
            <w:r>
              <w:rPr>
                <w:rFonts w:ascii="Times New Roman" w:hAnsi="Times New Roman"/>
                <w:sz w:val="24"/>
                <w:szCs w:val="24"/>
              </w:rPr>
              <w:t xml:space="preserve">- </w:t>
            </w:r>
            <w:r w:rsidR="008924BE">
              <w:rPr>
                <w:rFonts w:ascii="Times New Roman" w:hAnsi="Times New Roman"/>
                <w:sz w:val="24"/>
                <w:szCs w:val="24"/>
              </w:rPr>
              <w:t>šalies regionuose (teritorijose), pasižyminčiuose didžiausiais priešlaikinio mirtingumo dėl pagrindinių neinfekcinių ligų rodikliais, gyvenantys asmenys;</w:t>
            </w:r>
          </w:p>
          <w:p w:rsidR="006B576C" w:rsidRDefault="008924BE" w:rsidP="00E315CD">
            <w:pPr>
              <w:tabs>
                <w:tab w:val="left" w:pos="567"/>
              </w:tabs>
              <w:jc w:val="both"/>
              <w:rPr>
                <w:rFonts w:ascii="Times New Roman" w:hAnsi="Times New Roman"/>
                <w:sz w:val="24"/>
                <w:szCs w:val="24"/>
              </w:rPr>
            </w:pPr>
            <w:r>
              <w:rPr>
                <w:rFonts w:ascii="Times New Roman" w:hAnsi="Times New Roman"/>
                <w:sz w:val="24"/>
                <w:szCs w:val="24"/>
              </w:rPr>
              <w:t>- tam tikrų socialinės rizikos grupių asmenys, kuriems socialinės ir ekonominės priežastys, žalingi įpročiai lemia sergamumą tam tikromis ligomis</w:t>
            </w:r>
            <w:r w:rsidR="00002D99">
              <w:rPr>
                <w:rFonts w:ascii="Times New Roman" w:hAnsi="Times New Roman"/>
                <w:sz w:val="24"/>
                <w:szCs w:val="24"/>
              </w:rPr>
              <w:t>;</w:t>
            </w:r>
          </w:p>
          <w:p w:rsidR="008924BE" w:rsidRDefault="006B576C" w:rsidP="00E315CD">
            <w:pPr>
              <w:tabs>
                <w:tab w:val="left" w:pos="567"/>
              </w:tabs>
              <w:jc w:val="both"/>
              <w:rPr>
                <w:rFonts w:ascii="Times New Roman" w:hAnsi="Times New Roman"/>
                <w:sz w:val="24"/>
                <w:szCs w:val="24"/>
              </w:rPr>
            </w:pPr>
            <w:r>
              <w:rPr>
                <w:rFonts w:ascii="Times New Roman" w:hAnsi="Times New Roman"/>
                <w:sz w:val="24"/>
                <w:szCs w:val="24"/>
              </w:rPr>
              <w:t>-</w:t>
            </w:r>
            <w:r w:rsidR="008924BE">
              <w:rPr>
                <w:rFonts w:ascii="Times New Roman" w:hAnsi="Times New Roman"/>
                <w:sz w:val="24"/>
                <w:szCs w:val="24"/>
              </w:rPr>
              <w:t xml:space="preserve"> </w:t>
            </w:r>
            <w:r>
              <w:rPr>
                <w:rFonts w:ascii="Times New Roman" w:hAnsi="Times New Roman"/>
                <w:sz w:val="24"/>
                <w:szCs w:val="24"/>
              </w:rPr>
              <w:t xml:space="preserve">asmenys, susiduriantys su </w:t>
            </w:r>
            <w:r w:rsidR="008924BE">
              <w:rPr>
                <w:rFonts w:ascii="Times New Roman" w:hAnsi="Times New Roman"/>
                <w:sz w:val="24"/>
                <w:szCs w:val="24"/>
              </w:rPr>
              <w:t>nepakankamu prieinamumu sveikatos priežiūros paslaugoms</w:t>
            </w:r>
            <w:r>
              <w:rPr>
                <w:rFonts w:ascii="Times New Roman" w:hAnsi="Times New Roman"/>
                <w:sz w:val="24"/>
                <w:szCs w:val="24"/>
              </w:rPr>
              <w:t>;</w:t>
            </w:r>
            <w:r w:rsidR="008924BE">
              <w:rPr>
                <w:rFonts w:ascii="Times New Roman" w:hAnsi="Times New Roman"/>
                <w:sz w:val="24"/>
                <w:szCs w:val="24"/>
              </w:rPr>
              <w:t xml:space="preserve"> </w:t>
            </w:r>
          </w:p>
          <w:p w:rsidR="006929C3" w:rsidRDefault="006B576C" w:rsidP="002D203D">
            <w:pPr>
              <w:tabs>
                <w:tab w:val="left" w:pos="567"/>
              </w:tabs>
              <w:jc w:val="both"/>
              <w:rPr>
                <w:rFonts w:ascii="Times New Roman" w:hAnsi="Times New Roman"/>
                <w:sz w:val="24"/>
                <w:szCs w:val="24"/>
              </w:rPr>
            </w:pPr>
            <w:r>
              <w:rPr>
                <w:rFonts w:ascii="Times New Roman" w:hAnsi="Times New Roman"/>
                <w:sz w:val="24"/>
                <w:szCs w:val="24"/>
              </w:rPr>
              <w:lastRenderedPageBreak/>
              <w:t>-  vaikai ir paaugliai iki 18 metų. Šiems asmenims dėl egzistuojančių  ekonominių ir socialinių aplinkybių kyla grėsmė socialinei atskirčiai bei neigiamam š</w:t>
            </w:r>
            <w:r w:rsidR="00002D99">
              <w:rPr>
                <w:rFonts w:ascii="Times New Roman" w:hAnsi="Times New Roman"/>
                <w:sz w:val="24"/>
                <w:szCs w:val="24"/>
              </w:rPr>
              <w:t>ių veiksnių poveikiui sveikatai;</w:t>
            </w:r>
          </w:p>
          <w:p w:rsidR="00002D99" w:rsidRDefault="00002D99" w:rsidP="002D203D">
            <w:pPr>
              <w:tabs>
                <w:tab w:val="left" w:pos="567"/>
              </w:tabs>
              <w:jc w:val="both"/>
              <w:rPr>
                <w:rFonts w:ascii="Times New Roman" w:hAnsi="Times New Roman"/>
                <w:sz w:val="24"/>
                <w:szCs w:val="24"/>
              </w:rPr>
            </w:pPr>
            <w:r>
              <w:rPr>
                <w:rFonts w:ascii="Times New Roman" w:hAnsi="Times New Roman"/>
                <w:sz w:val="24"/>
                <w:szCs w:val="24"/>
              </w:rPr>
              <w:t>-  vyresnio amžiaus (55 m. ir vyresni) asmenys. Šie gyventoj</w:t>
            </w:r>
            <w:r w:rsidR="00935A5D">
              <w:rPr>
                <w:rFonts w:ascii="Times New Roman" w:hAnsi="Times New Roman"/>
                <w:sz w:val="24"/>
                <w:szCs w:val="24"/>
              </w:rPr>
              <w:t xml:space="preserve">ai priskiriami tikslinei grupei, </w:t>
            </w:r>
            <w:r w:rsidR="00D118C8">
              <w:rPr>
                <w:rFonts w:ascii="Times New Roman" w:hAnsi="Times New Roman"/>
                <w:sz w:val="24"/>
                <w:szCs w:val="24"/>
              </w:rPr>
              <w:t>atsižvelgiant į siekį, kiek galima ilgiau išlaikyti gerą senstančių vyresnio amžiaus žmonių sveikatą, pagerinti jų gyvenimo kokybę bei sudaryti galimybes išlikti aktyviems darbe, bendruomenėje, gyventi savarankiškai.</w:t>
            </w:r>
          </w:p>
          <w:p w:rsidR="00D118C8" w:rsidRPr="006B576C" w:rsidRDefault="00D118C8" w:rsidP="002D203D">
            <w:pPr>
              <w:tabs>
                <w:tab w:val="left" w:pos="567"/>
              </w:tabs>
              <w:jc w:val="both"/>
              <w:rPr>
                <w:rFonts w:ascii="Times New Roman" w:hAnsi="Times New Roman"/>
                <w:sz w:val="24"/>
                <w:szCs w:val="24"/>
              </w:rPr>
            </w:pPr>
            <w:r>
              <w:rPr>
                <w:rFonts w:ascii="Times New Roman" w:hAnsi="Times New Roman"/>
                <w:sz w:val="24"/>
                <w:szCs w:val="24"/>
              </w:rPr>
              <w:t>NVO, tradicinės religinės bendruomenės, sveikatos priežiūros specialistų asociacijos pareiškėjais pasirinktos dėl to, kad šie subjekt</w:t>
            </w:r>
            <w:r w:rsidR="00640BC8">
              <w:rPr>
                <w:rFonts w:ascii="Times New Roman" w:hAnsi="Times New Roman"/>
                <w:sz w:val="24"/>
                <w:szCs w:val="24"/>
              </w:rPr>
              <w:t>ai turi pakankamai patirties teikti paslaugas, atitinkančias Priemonės veiklas. Taip pat minėtas paslaugas šie subjektai teikia neatlygintinai. Taigi, toks pasirinkimas neriboja konkurencijos bei kitų subjektų dalyvavimo paslaugų teikime. Bet koks Lietuvoje teisėtai veikiantis juridinis ar fizinis asmuo gali būti projekto vykdytojo partneriu, prisidėti savo lėšomis ir a</w:t>
            </w:r>
            <w:r w:rsidR="00345AAD">
              <w:rPr>
                <w:rFonts w:ascii="Times New Roman" w:hAnsi="Times New Roman"/>
                <w:sz w:val="24"/>
                <w:szCs w:val="24"/>
              </w:rPr>
              <w:t>ktyviai dalyvauti įgyvendinant P</w:t>
            </w:r>
            <w:r w:rsidR="00640BC8">
              <w:rPr>
                <w:rFonts w:ascii="Times New Roman" w:hAnsi="Times New Roman"/>
                <w:sz w:val="24"/>
                <w:szCs w:val="24"/>
              </w:rPr>
              <w:t xml:space="preserve">riemonės veiklas. </w:t>
            </w:r>
          </w:p>
        </w:tc>
      </w:tr>
      <w:tr w:rsidR="00FB6137" w:rsidRPr="00807A15" w:rsidTr="00465660">
        <w:tc>
          <w:tcPr>
            <w:tcW w:w="567" w:type="dxa"/>
          </w:tcPr>
          <w:p w:rsidR="00FB6137" w:rsidRPr="00807A15" w:rsidRDefault="00BC2F20" w:rsidP="00BC2F20">
            <w:pPr>
              <w:pStyle w:val="Sraopastraipa"/>
              <w:tabs>
                <w:tab w:val="left" w:pos="567"/>
              </w:tabs>
              <w:ind w:left="0"/>
              <w:rPr>
                <w:rFonts w:ascii="Times New Roman" w:hAnsi="Times New Roman"/>
                <w:sz w:val="24"/>
                <w:szCs w:val="24"/>
              </w:rPr>
            </w:pPr>
            <w:r>
              <w:rPr>
                <w:rFonts w:ascii="Times New Roman" w:hAnsi="Times New Roman"/>
                <w:sz w:val="24"/>
                <w:szCs w:val="24"/>
              </w:rPr>
              <w:lastRenderedPageBreak/>
              <w:t>8.</w:t>
            </w: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 xml:space="preserve">Supaprastintas išlaidų apmokėjimas </w:t>
            </w:r>
          </w:p>
        </w:tc>
        <w:tc>
          <w:tcPr>
            <w:tcW w:w="6945" w:type="dxa"/>
          </w:tcPr>
          <w:p w:rsidR="008109B3" w:rsidRDefault="00BC2F20" w:rsidP="00A34523">
            <w:pPr>
              <w:tabs>
                <w:tab w:val="left" w:pos="567"/>
              </w:tabs>
              <w:jc w:val="both"/>
              <w:rPr>
                <w:rFonts w:ascii="Times New Roman" w:hAnsi="Times New Roman"/>
                <w:sz w:val="24"/>
                <w:szCs w:val="24"/>
              </w:rPr>
            </w:pPr>
            <w:r w:rsidRPr="004809A5">
              <w:rPr>
                <w:rFonts w:ascii="Times New Roman" w:hAnsi="Times New Roman"/>
                <w:sz w:val="24"/>
                <w:szCs w:val="24"/>
              </w:rPr>
              <w:t>Įgyvendinant Priemonę</w:t>
            </w:r>
            <w:r w:rsidR="007A3ACB">
              <w:rPr>
                <w:rFonts w:ascii="Times New Roman" w:hAnsi="Times New Roman"/>
                <w:sz w:val="24"/>
                <w:szCs w:val="24"/>
              </w:rPr>
              <w:t xml:space="preserve">, </w:t>
            </w:r>
            <w:r w:rsidR="007A3ACB" w:rsidRPr="00671575">
              <w:rPr>
                <w:rFonts w:ascii="Times New Roman" w:hAnsi="Times New Roman"/>
                <w:sz w:val="24"/>
                <w:szCs w:val="24"/>
              </w:rPr>
              <w:t>remiantis Projektų administravimo ir finansavimo taisyklių 10 priedo Fiksuotosios normos taikymo netiesioginėms projekto išlaidoms apmokėti tvarkos aprašu,</w:t>
            </w:r>
            <w:r w:rsidR="00671575">
              <w:rPr>
                <w:rFonts w:ascii="Times New Roman" w:hAnsi="Times New Roman"/>
                <w:sz w:val="24"/>
                <w:szCs w:val="24"/>
              </w:rPr>
              <w:t xml:space="preserve"> </w:t>
            </w:r>
            <w:r w:rsidRPr="004809A5">
              <w:rPr>
                <w:rFonts w:ascii="Times New Roman" w:hAnsi="Times New Roman"/>
                <w:sz w:val="24"/>
                <w:szCs w:val="24"/>
              </w:rPr>
              <w:t>numatoma taikyti fiksuotą normą ne</w:t>
            </w:r>
            <w:r w:rsidR="00BE4187">
              <w:rPr>
                <w:rFonts w:ascii="Times New Roman" w:hAnsi="Times New Roman"/>
                <w:sz w:val="24"/>
                <w:szCs w:val="24"/>
              </w:rPr>
              <w:t>tiesioginėms projekto išlaidoms:</w:t>
            </w:r>
            <w:r w:rsidR="00671575">
              <w:rPr>
                <w:rFonts w:ascii="Times New Roman" w:hAnsi="Times New Roman"/>
                <w:sz w:val="24"/>
                <w:szCs w:val="24"/>
              </w:rPr>
              <w:t xml:space="preserve"> </w:t>
            </w:r>
            <w:r w:rsidR="00A34523">
              <w:rPr>
                <w:rFonts w:ascii="Times New Roman" w:hAnsi="Times New Roman"/>
                <w:sz w:val="24"/>
                <w:szCs w:val="24"/>
              </w:rPr>
              <w:t xml:space="preserve"> </w:t>
            </w:r>
          </w:p>
          <w:p w:rsidR="00F34AEB" w:rsidRDefault="00F34AEB" w:rsidP="00A34523">
            <w:pPr>
              <w:tabs>
                <w:tab w:val="left" w:pos="567"/>
              </w:tabs>
              <w:jc w:val="both"/>
              <w:rPr>
                <w:rFonts w:ascii="Times New Roman" w:hAnsi="Times New Roman"/>
                <w:sz w:val="24"/>
                <w:szCs w:val="24"/>
              </w:rPr>
            </w:pPr>
            <w:r>
              <w:rPr>
                <w:rFonts w:ascii="Times New Roman" w:hAnsi="Times New Roman"/>
                <w:sz w:val="24"/>
                <w:szCs w:val="24"/>
              </w:rPr>
              <w:t>- kuro ir viešojo transporto išlaidų fiksuotasis įkainis;</w:t>
            </w:r>
          </w:p>
          <w:p w:rsidR="00F34AEB" w:rsidRDefault="00F34AEB" w:rsidP="00A34523">
            <w:pPr>
              <w:tabs>
                <w:tab w:val="left" w:pos="567"/>
              </w:tabs>
              <w:jc w:val="both"/>
              <w:rPr>
                <w:rFonts w:ascii="Times New Roman" w:hAnsi="Times New Roman"/>
                <w:sz w:val="24"/>
                <w:szCs w:val="24"/>
              </w:rPr>
            </w:pPr>
            <w:r>
              <w:rPr>
                <w:rFonts w:ascii="Times New Roman" w:hAnsi="Times New Roman"/>
                <w:sz w:val="24"/>
                <w:szCs w:val="24"/>
              </w:rPr>
              <w:t xml:space="preserve">- trumpalaikių išvykų </w:t>
            </w:r>
            <w:r w:rsidRPr="00F34AEB">
              <w:rPr>
                <w:rFonts w:ascii="Times New Roman" w:hAnsi="Times New Roman"/>
                <w:sz w:val="24"/>
                <w:szCs w:val="24"/>
              </w:rPr>
              <w:t>išlaidų fiksuotasis įkainis;</w:t>
            </w:r>
          </w:p>
          <w:p w:rsidR="00F34AEB" w:rsidRDefault="00F34AEB" w:rsidP="00A34523">
            <w:pPr>
              <w:tabs>
                <w:tab w:val="left" w:pos="567"/>
              </w:tabs>
              <w:jc w:val="both"/>
              <w:rPr>
                <w:rFonts w:ascii="Times New Roman" w:hAnsi="Times New Roman"/>
                <w:sz w:val="24"/>
                <w:szCs w:val="24"/>
              </w:rPr>
            </w:pPr>
            <w:r>
              <w:rPr>
                <w:rFonts w:ascii="Times New Roman" w:hAnsi="Times New Roman"/>
                <w:sz w:val="24"/>
                <w:szCs w:val="24"/>
              </w:rPr>
              <w:t>- apgyvendinimo Lietuvoje fiksuotasis įkainis;</w:t>
            </w:r>
          </w:p>
          <w:p w:rsidR="00F34AEB" w:rsidRDefault="00F34AEB" w:rsidP="00A34523">
            <w:pPr>
              <w:tabs>
                <w:tab w:val="left" w:pos="567"/>
              </w:tabs>
              <w:jc w:val="both"/>
              <w:rPr>
                <w:rFonts w:ascii="Times New Roman" w:hAnsi="Times New Roman"/>
                <w:sz w:val="24"/>
                <w:szCs w:val="24"/>
              </w:rPr>
            </w:pPr>
            <w:r>
              <w:rPr>
                <w:rFonts w:ascii="Times New Roman" w:hAnsi="Times New Roman"/>
                <w:sz w:val="24"/>
                <w:szCs w:val="24"/>
              </w:rPr>
              <w:t>- kasmetinių atostogų ir papildomų poilsio dienų išmokų fiksuotosios normos;</w:t>
            </w:r>
          </w:p>
          <w:p w:rsidR="00F34AEB" w:rsidRPr="00F34AEB" w:rsidRDefault="00F34AEB" w:rsidP="00F34AEB">
            <w:pPr>
              <w:tabs>
                <w:tab w:val="left" w:pos="567"/>
              </w:tabs>
              <w:jc w:val="both"/>
              <w:rPr>
                <w:rFonts w:ascii="Times New Roman" w:hAnsi="Times New Roman"/>
                <w:sz w:val="24"/>
                <w:szCs w:val="24"/>
              </w:rPr>
            </w:pPr>
            <w:r>
              <w:rPr>
                <w:rFonts w:ascii="Times New Roman" w:hAnsi="Times New Roman"/>
                <w:sz w:val="24"/>
                <w:szCs w:val="24"/>
              </w:rPr>
              <w:t xml:space="preserve">- bendrųjų įgūdžių mokymo </w:t>
            </w:r>
            <w:r w:rsidRPr="00F34AEB">
              <w:rPr>
                <w:rFonts w:ascii="Times New Roman" w:hAnsi="Times New Roman"/>
                <w:sz w:val="24"/>
                <w:szCs w:val="24"/>
              </w:rPr>
              <w:t>fiksuotasis įkainis;</w:t>
            </w:r>
          </w:p>
          <w:p w:rsidR="008109B3" w:rsidRPr="00DE1B58" w:rsidRDefault="00F34AEB" w:rsidP="00DE1B58">
            <w:pPr>
              <w:tabs>
                <w:tab w:val="left" w:pos="567"/>
              </w:tabs>
              <w:jc w:val="both"/>
              <w:rPr>
                <w:rFonts w:ascii="Times New Roman" w:hAnsi="Times New Roman"/>
                <w:sz w:val="24"/>
                <w:szCs w:val="24"/>
              </w:rPr>
            </w:pPr>
            <w:r>
              <w:rPr>
                <w:rFonts w:ascii="Times New Roman" w:hAnsi="Times New Roman"/>
                <w:sz w:val="24"/>
                <w:szCs w:val="24"/>
              </w:rPr>
              <w:t>- renginio fiksuotasis įkainis</w:t>
            </w:r>
            <w:r w:rsidR="00AE62B0">
              <w:rPr>
                <w:rFonts w:ascii="Times New Roman" w:hAnsi="Times New Roman"/>
                <w:sz w:val="24"/>
                <w:szCs w:val="24"/>
              </w:rPr>
              <w:t>.</w:t>
            </w:r>
          </w:p>
        </w:tc>
      </w:tr>
      <w:tr w:rsidR="00FB6137" w:rsidRPr="00807A15" w:rsidTr="00BC2F20">
        <w:trPr>
          <w:trHeight w:val="1246"/>
        </w:trPr>
        <w:tc>
          <w:tcPr>
            <w:tcW w:w="567" w:type="dxa"/>
          </w:tcPr>
          <w:p w:rsidR="00FB6137" w:rsidRPr="00807A15" w:rsidRDefault="00BC2F20" w:rsidP="00BC2F20">
            <w:pPr>
              <w:pStyle w:val="Sraopastraipa"/>
              <w:tabs>
                <w:tab w:val="left" w:pos="567"/>
              </w:tabs>
              <w:ind w:left="0"/>
              <w:rPr>
                <w:rFonts w:ascii="Times New Roman" w:hAnsi="Times New Roman"/>
                <w:sz w:val="24"/>
                <w:szCs w:val="24"/>
              </w:rPr>
            </w:pPr>
            <w:r>
              <w:rPr>
                <w:rFonts w:ascii="Times New Roman" w:hAnsi="Times New Roman"/>
                <w:sz w:val="24"/>
                <w:szCs w:val="24"/>
              </w:rPr>
              <w:t>9.</w:t>
            </w:r>
          </w:p>
        </w:tc>
        <w:tc>
          <w:tcPr>
            <w:tcW w:w="2836" w:type="dxa"/>
          </w:tcPr>
          <w:p w:rsidR="00FB6137" w:rsidRPr="00807A15" w:rsidRDefault="00FB6137" w:rsidP="00465660">
            <w:pPr>
              <w:tabs>
                <w:tab w:val="left" w:pos="567"/>
              </w:tabs>
              <w:rPr>
                <w:rFonts w:ascii="Times New Roman" w:hAnsi="Times New Roman"/>
                <w:sz w:val="24"/>
                <w:szCs w:val="24"/>
                <w:highlight w:val="yellow"/>
              </w:rPr>
            </w:pPr>
            <w:r w:rsidRPr="00807A15">
              <w:rPr>
                <w:rFonts w:ascii="Times New Roman" w:hAnsi="Times New Roman"/>
                <w:sz w:val="24"/>
                <w:szCs w:val="24"/>
              </w:rPr>
              <w:t>Galimybė taikyti viešojo ir privataus sektorių partnerystės būdą (jei taikoma)</w:t>
            </w:r>
          </w:p>
        </w:tc>
        <w:tc>
          <w:tcPr>
            <w:tcW w:w="6945" w:type="dxa"/>
          </w:tcPr>
          <w:p w:rsidR="00EB4E1D" w:rsidRPr="00235DB6" w:rsidRDefault="0063152D" w:rsidP="00251EA6">
            <w:pPr>
              <w:tabs>
                <w:tab w:val="left" w:pos="567"/>
              </w:tabs>
              <w:jc w:val="both"/>
              <w:rPr>
                <w:rFonts w:ascii="Times New Roman" w:hAnsi="Times New Roman"/>
                <w:sz w:val="24"/>
                <w:szCs w:val="24"/>
              </w:rPr>
            </w:pPr>
            <w:r>
              <w:rPr>
                <w:rFonts w:ascii="Times New Roman" w:hAnsi="Times New Roman"/>
                <w:sz w:val="24"/>
                <w:szCs w:val="24"/>
              </w:rPr>
              <w:t>Netaikoma</w:t>
            </w:r>
          </w:p>
        </w:tc>
      </w:tr>
      <w:tr w:rsidR="00FB6137" w:rsidRPr="00807A15" w:rsidTr="00465660">
        <w:tc>
          <w:tcPr>
            <w:tcW w:w="567" w:type="dxa"/>
          </w:tcPr>
          <w:p w:rsidR="00FB6137" w:rsidRPr="00807A15" w:rsidRDefault="00BC2F20" w:rsidP="00BC2F20">
            <w:pPr>
              <w:pStyle w:val="Sraopastraipa"/>
              <w:tabs>
                <w:tab w:val="left" w:pos="567"/>
              </w:tabs>
              <w:ind w:left="0"/>
              <w:rPr>
                <w:rFonts w:ascii="Times New Roman" w:hAnsi="Times New Roman"/>
                <w:sz w:val="24"/>
                <w:szCs w:val="24"/>
              </w:rPr>
            </w:pPr>
            <w:r>
              <w:rPr>
                <w:rFonts w:ascii="Times New Roman" w:hAnsi="Times New Roman"/>
                <w:sz w:val="24"/>
                <w:szCs w:val="24"/>
              </w:rPr>
              <w:t>10.</w:t>
            </w:r>
          </w:p>
        </w:tc>
        <w:tc>
          <w:tcPr>
            <w:tcW w:w="2836" w:type="dxa"/>
          </w:tcPr>
          <w:p w:rsidR="00FB6137" w:rsidRPr="00807A15" w:rsidRDefault="00FB6137" w:rsidP="00465660">
            <w:pPr>
              <w:tabs>
                <w:tab w:val="left" w:pos="567"/>
              </w:tabs>
              <w:rPr>
                <w:rStyle w:val="Komentaronuoroda"/>
                <w:rFonts w:ascii="Times New Roman" w:hAnsi="Times New Roman"/>
                <w:sz w:val="24"/>
                <w:szCs w:val="24"/>
              </w:rPr>
            </w:pPr>
            <w:r w:rsidRPr="00807A15">
              <w:rPr>
                <w:rStyle w:val="Komentaronuoroda"/>
                <w:rFonts w:ascii="Times New Roman" w:hAnsi="Times New Roman"/>
                <w:sz w:val="24"/>
                <w:szCs w:val="24"/>
              </w:rPr>
              <w:t xml:space="preserve">Galimybė taikyti visuotinę dotaciją </w:t>
            </w:r>
            <w:r w:rsidRPr="00807A15">
              <w:rPr>
                <w:rFonts w:ascii="Times New Roman" w:hAnsi="Times New Roman"/>
                <w:sz w:val="24"/>
                <w:szCs w:val="24"/>
              </w:rPr>
              <w:t>(jei taikoma)</w:t>
            </w:r>
          </w:p>
        </w:tc>
        <w:tc>
          <w:tcPr>
            <w:tcW w:w="6945" w:type="dxa"/>
          </w:tcPr>
          <w:p w:rsidR="002B2AA3" w:rsidRPr="00807A15" w:rsidRDefault="0063152D" w:rsidP="00465660">
            <w:pPr>
              <w:tabs>
                <w:tab w:val="left" w:pos="567"/>
              </w:tabs>
              <w:jc w:val="both"/>
              <w:rPr>
                <w:rFonts w:ascii="Times New Roman" w:hAnsi="Times New Roman"/>
                <w:sz w:val="24"/>
                <w:szCs w:val="24"/>
              </w:rPr>
            </w:pPr>
            <w:r>
              <w:rPr>
                <w:rFonts w:ascii="Times New Roman" w:hAnsi="Times New Roman"/>
                <w:sz w:val="24"/>
                <w:szCs w:val="24"/>
              </w:rPr>
              <w:t>Netaikoma</w:t>
            </w:r>
          </w:p>
        </w:tc>
      </w:tr>
      <w:tr w:rsidR="00FB6137" w:rsidRPr="00807A15" w:rsidTr="00465660">
        <w:tc>
          <w:tcPr>
            <w:tcW w:w="567" w:type="dxa"/>
          </w:tcPr>
          <w:p w:rsidR="00FB6137" w:rsidRPr="00807A15" w:rsidRDefault="00BC2F20" w:rsidP="00BC2F20">
            <w:pPr>
              <w:pStyle w:val="Sraopastraipa"/>
              <w:tabs>
                <w:tab w:val="left" w:pos="567"/>
              </w:tabs>
              <w:ind w:left="0"/>
              <w:rPr>
                <w:rFonts w:ascii="Times New Roman" w:hAnsi="Times New Roman"/>
                <w:sz w:val="24"/>
                <w:szCs w:val="24"/>
              </w:rPr>
            </w:pPr>
            <w:r>
              <w:rPr>
                <w:rFonts w:ascii="Times New Roman" w:hAnsi="Times New Roman"/>
                <w:sz w:val="24"/>
                <w:szCs w:val="24"/>
              </w:rPr>
              <w:t>11.</w:t>
            </w:r>
          </w:p>
        </w:tc>
        <w:tc>
          <w:tcPr>
            <w:tcW w:w="2836" w:type="dxa"/>
          </w:tcPr>
          <w:p w:rsidR="00FB6137" w:rsidRPr="00807A15" w:rsidRDefault="00FB6137" w:rsidP="00465660">
            <w:pPr>
              <w:tabs>
                <w:tab w:val="left" w:pos="567"/>
              </w:tabs>
              <w:rPr>
                <w:rStyle w:val="Komentaronuoroda"/>
                <w:rFonts w:ascii="Times New Roman" w:hAnsi="Times New Roman"/>
                <w:sz w:val="24"/>
                <w:szCs w:val="24"/>
              </w:rPr>
            </w:pPr>
            <w:r w:rsidRPr="00807A15">
              <w:rPr>
                <w:rStyle w:val="Komentaronuoroda"/>
                <w:rFonts w:ascii="Times New Roman" w:hAnsi="Times New Roman"/>
                <w:sz w:val="24"/>
                <w:szCs w:val="24"/>
              </w:rPr>
              <w:t xml:space="preserve">Jungtinės priemonės tikslingumo pagrindimas </w:t>
            </w:r>
            <w:r w:rsidRPr="00807A15">
              <w:rPr>
                <w:rFonts w:ascii="Times New Roman" w:hAnsi="Times New Roman"/>
                <w:sz w:val="24"/>
                <w:szCs w:val="24"/>
              </w:rPr>
              <w:t>(jei taikoma)</w:t>
            </w:r>
          </w:p>
        </w:tc>
        <w:tc>
          <w:tcPr>
            <w:tcW w:w="6945" w:type="dxa"/>
          </w:tcPr>
          <w:p w:rsidR="00060144" w:rsidRPr="001F65D1" w:rsidRDefault="0063152D" w:rsidP="00060144">
            <w:pPr>
              <w:tabs>
                <w:tab w:val="left" w:pos="567"/>
              </w:tabs>
              <w:jc w:val="both"/>
              <w:rPr>
                <w:rFonts w:ascii="Times New Roman" w:hAnsi="Times New Roman"/>
                <w:sz w:val="24"/>
                <w:szCs w:val="24"/>
              </w:rPr>
            </w:pPr>
            <w:r>
              <w:rPr>
                <w:rFonts w:ascii="Times New Roman" w:hAnsi="Times New Roman"/>
                <w:sz w:val="24"/>
                <w:szCs w:val="24"/>
              </w:rPr>
              <w:t>Netaikoma</w:t>
            </w:r>
          </w:p>
          <w:p w:rsidR="00FB6137" w:rsidRPr="001F65D1" w:rsidRDefault="00FB6137" w:rsidP="00A737D0">
            <w:pPr>
              <w:tabs>
                <w:tab w:val="left" w:pos="567"/>
              </w:tabs>
              <w:jc w:val="both"/>
              <w:rPr>
                <w:rFonts w:ascii="Times New Roman" w:hAnsi="Times New Roman"/>
                <w:sz w:val="24"/>
                <w:szCs w:val="24"/>
              </w:rPr>
            </w:pPr>
          </w:p>
        </w:tc>
      </w:tr>
      <w:tr w:rsidR="00FB6137" w:rsidRPr="00807A15" w:rsidTr="00465660">
        <w:tc>
          <w:tcPr>
            <w:tcW w:w="567" w:type="dxa"/>
          </w:tcPr>
          <w:p w:rsidR="00FB6137" w:rsidRPr="00807A15" w:rsidRDefault="00BC2F20" w:rsidP="00BC2F20">
            <w:pPr>
              <w:pStyle w:val="Sraopastraipa"/>
              <w:tabs>
                <w:tab w:val="left" w:pos="567"/>
              </w:tabs>
              <w:ind w:left="0"/>
              <w:rPr>
                <w:rFonts w:ascii="Times New Roman" w:hAnsi="Times New Roman"/>
                <w:sz w:val="24"/>
                <w:szCs w:val="24"/>
              </w:rPr>
            </w:pPr>
            <w:r>
              <w:rPr>
                <w:rFonts w:ascii="Times New Roman" w:hAnsi="Times New Roman"/>
                <w:sz w:val="24"/>
                <w:szCs w:val="24"/>
              </w:rPr>
              <w:t>12.</w:t>
            </w:r>
          </w:p>
        </w:tc>
        <w:tc>
          <w:tcPr>
            <w:tcW w:w="2836" w:type="dxa"/>
          </w:tcPr>
          <w:p w:rsidR="00FB6137" w:rsidRPr="00807A15" w:rsidRDefault="00FB6137" w:rsidP="00465660">
            <w:pPr>
              <w:tabs>
                <w:tab w:val="left" w:pos="567"/>
              </w:tabs>
              <w:rPr>
                <w:rStyle w:val="Komentaronuoroda"/>
                <w:rFonts w:ascii="Times New Roman" w:hAnsi="Times New Roman"/>
                <w:sz w:val="24"/>
                <w:szCs w:val="24"/>
              </w:rPr>
            </w:pPr>
            <w:r w:rsidRPr="00807A15">
              <w:rPr>
                <w:rStyle w:val="Komentaronuoroda"/>
                <w:rFonts w:ascii="Times New Roman" w:hAnsi="Times New Roman"/>
                <w:sz w:val="24"/>
                <w:szCs w:val="24"/>
              </w:rPr>
              <w:t>Galimų rizikų vertinimas</w:t>
            </w:r>
          </w:p>
        </w:tc>
        <w:tc>
          <w:tcPr>
            <w:tcW w:w="6945" w:type="dxa"/>
          </w:tcPr>
          <w:p w:rsidR="0076145C" w:rsidRPr="009B40D7" w:rsidRDefault="00345AAD" w:rsidP="001F4492">
            <w:pPr>
              <w:tabs>
                <w:tab w:val="left" w:pos="567"/>
              </w:tabs>
              <w:jc w:val="both"/>
              <w:rPr>
                <w:rFonts w:ascii="Times New Roman" w:hAnsi="Times New Roman"/>
                <w:sz w:val="24"/>
                <w:szCs w:val="24"/>
              </w:rPr>
            </w:pPr>
            <w:r>
              <w:rPr>
                <w:rFonts w:ascii="Times New Roman" w:hAnsi="Times New Roman"/>
                <w:sz w:val="24"/>
                <w:szCs w:val="24"/>
              </w:rPr>
              <w:t>Esminių rizikų sėkmingam P</w:t>
            </w:r>
            <w:r w:rsidR="00FE3CA8" w:rsidRPr="00F11145">
              <w:rPr>
                <w:rFonts w:ascii="Times New Roman" w:hAnsi="Times New Roman"/>
                <w:sz w:val="24"/>
                <w:szCs w:val="24"/>
              </w:rPr>
              <w:t>riemonės įgyvendinimu</w:t>
            </w:r>
            <w:r w:rsidR="0063152D">
              <w:rPr>
                <w:rFonts w:ascii="Times New Roman" w:hAnsi="Times New Roman"/>
                <w:sz w:val="24"/>
                <w:szCs w:val="24"/>
              </w:rPr>
              <w:t>i šiuo metu neįžvelgiama. Galim</w:t>
            </w:r>
            <w:r w:rsidR="00AE62B0">
              <w:rPr>
                <w:rFonts w:ascii="Times New Roman" w:hAnsi="Times New Roman"/>
                <w:sz w:val="24"/>
                <w:szCs w:val="24"/>
              </w:rPr>
              <w:t>a</w:t>
            </w:r>
            <w:r w:rsidR="00FE3CA8" w:rsidRPr="00F11145">
              <w:rPr>
                <w:rFonts w:ascii="Times New Roman" w:hAnsi="Times New Roman"/>
                <w:sz w:val="24"/>
                <w:szCs w:val="24"/>
              </w:rPr>
              <w:t xml:space="preserve"> vidutinė</w:t>
            </w:r>
            <w:r w:rsidR="0063152D">
              <w:rPr>
                <w:rFonts w:ascii="Times New Roman" w:hAnsi="Times New Roman"/>
                <w:sz w:val="24"/>
                <w:szCs w:val="24"/>
              </w:rPr>
              <w:t xml:space="preserve"> rizik</w:t>
            </w:r>
            <w:r w:rsidR="00AE62B0">
              <w:rPr>
                <w:rFonts w:ascii="Times New Roman" w:hAnsi="Times New Roman"/>
                <w:sz w:val="24"/>
                <w:szCs w:val="24"/>
              </w:rPr>
              <w:t>a</w:t>
            </w:r>
            <w:r w:rsidR="00FE3CA8" w:rsidRPr="00F11145">
              <w:rPr>
                <w:rFonts w:ascii="Times New Roman" w:hAnsi="Times New Roman"/>
                <w:sz w:val="24"/>
                <w:szCs w:val="24"/>
              </w:rPr>
              <w:t>, kad projektų finansavimo sąlygų aprašui parengti prireiks daugiau laiko, kadangi</w:t>
            </w:r>
            <w:r w:rsidR="001506A7">
              <w:rPr>
                <w:rFonts w:ascii="Times New Roman" w:hAnsi="Times New Roman"/>
                <w:sz w:val="24"/>
                <w:szCs w:val="24"/>
              </w:rPr>
              <w:t xml:space="preserve"> Ministerija</w:t>
            </w:r>
            <w:r w:rsidR="008B31B2">
              <w:rPr>
                <w:rFonts w:ascii="Times New Roman" w:hAnsi="Times New Roman"/>
                <w:sz w:val="24"/>
                <w:szCs w:val="24"/>
              </w:rPr>
              <w:t xml:space="preserve"> </w:t>
            </w:r>
            <w:r w:rsidR="00FE3CA8" w:rsidRPr="00F11145">
              <w:rPr>
                <w:rFonts w:ascii="Times New Roman" w:hAnsi="Times New Roman"/>
                <w:sz w:val="24"/>
                <w:szCs w:val="24"/>
              </w:rPr>
              <w:t>2014–2020 metų programavimo laikotarpiu pirmą kartą administruos Europos socialinio fondo lėšas</w:t>
            </w:r>
            <w:r w:rsidR="0063152D">
              <w:rPr>
                <w:rFonts w:ascii="Times New Roman" w:hAnsi="Times New Roman"/>
                <w:sz w:val="24"/>
                <w:szCs w:val="24"/>
              </w:rPr>
              <w:t xml:space="preserve">. </w:t>
            </w:r>
            <w:r w:rsidR="00FE3CA8" w:rsidRPr="00F11145">
              <w:rPr>
                <w:rFonts w:ascii="Times New Roman" w:hAnsi="Times New Roman"/>
                <w:sz w:val="24"/>
                <w:szCs w:val="24"/>
              </w:rPr>
              <w:t xml:space="preserve">Šiai rizikai suvaldyti planuojama konsultuotis su atsakingais </w:t>
            </w:r>
            <w:r w:rsidR="008B31B2">
              <w:rPr>
                <w:rFonts w:ascii="Times New Roman" w:hAnsi="Times New Roman"/>
                <w:sz w:val="24"/>
                <w:szCs w:val="24"/>
              </w:rPr>
              <w:t>M</w:t>
            </w:r>
            <w:r w:rsidR="00FE3CA8" w:rsidRPr="00F11145">
              <w:rPr>
                <w:rFonts w:ascii="Times New Roman" w:hAnsi="Times New Roman"/>
                <w:sz w:val="24"/>
                <w:szCs w:val="24"/>
              </w:rPr>
              <w:t xml:space="preserve">inisterijos padaliniais, Socialinės apsaugos ir darbo ministerija, </w:t>
            </w:r>
            <w:r w:rsidR="00FE3CA8">
              <w:rPr>
                <w:rFonts w:ascii="Times New Roman" w:hAnsi="Times New Roman"/>
                <w:sz w:val="24"/>
                <w:szCs w:val="24"/>
              </w:rPr>
              <w:t>VšĮ Eu</w:t>
            </w:r>
            <w:r w:rsidR="0063152D">
              <w:rPr>
                <w:rFonts w:ascii="Times New Roman" w:hAnsi="Times New Roman"/>
                <w:sz w:val="24"/>
                <w:szCs w:val="24"/>
              </w:rPr>
              <w:t xml:space="preserve">ropos socialinio fondo agentūra. Taip pat bus </w:t>
            </w:r>
            <w:r w:rsidR="00FE3CA8" w:rsidRPr="00F11145">
              <w:rPr>
                <w:rFonts w:ascii="Times New Roman" w:hAnsi="Times New Roman"/>
                <w:sz w:val="24"/>
                <w:szCs w:val="24"/>
              </w:rPr>
              <w:t>kelia</w:t>
            </w:r>
            <w:r w:rsidR="0063152D">
              <w:rPr>
                <w:rFonts w:ascii="Times New Roman" w:hAnsi="Times New Roman"/>
                <w:sz w:val="24"/>
                <w:szCs w:val="24"/>
              </w:rPr>
              <w:t>ma</w:t>
            </w:r>
            <w:r w:rsidR="00FE3CA8" w:rsidRPr="00F11145">
              <w:rPr>
                <w:rFonts w:ascii="Times New Roman" w:hAnsi="Times New Roman"/>
                <w:sz w:val="24"/>
                <w:szCs w:val="24"/>
              </w:rPr>
              <w:t xml:space="preserve"> atitinkamų </w:t>
            </w:r>
            <w:r w:rsidR="008B31B2">
              <w:rPr>
                <w:rFonts w:ascii="Times New Roman" w:hAnsi="Times New Roman"/>
                <w:sz w:val="24"/>
                <w:szCs w:val="24"/>
              </w:rPr>
              <w:t>M</w:t>
            </w:r>
            <w:r w:rsidR="00FE3CA8" w:rsidRPr="00F11145">
              <w:rPr>
                <w:rFonts w:ascii="Times New Roman" w:hAnsi="Times New Roman"/>
                <w:sz w:val="24"/>
                <w:szCs w:val="24"/>
              </w:rPr>
              <w:t>inis</w:t>
            </w:r>
            <w:r w:rsidR="0063152D">
              <w:rPr>
                <w:rFonts w:ascii="Times New Roman" w:hAnsi="Times New Roman"/>
                <w:sz w:val="24"/>
                <w:szCs w:val="24"/>
              </w:rPr>
              <w:t>terijos darbuotojų kvalifikacija</w:t>
            </w:r>
            <w:r w:rsidR="00FE3CA8" w:rsidRPr="00F11145">
              <w:rPr>
                <w:rFonts w:ascii="Times New Roman" w:hAnsi="Times New Roman"/>
                <w:sz w:val="24"/>
                <w:szCs w:val="24"/>
              </w:rPr>
              <w:t>.</w:t>
            </w:r>
          </w:p>
        </w:tc>
      </w:tr>
      <w:tr w:rsidR="00FB6137" w:rsidRPr="00807A15" w:rsidTr="00465660">
        <w:tc>
          <w:tcPr>
            <w:tcW w:w="567" w:type="dxa"/>
          </w:tcPr>
          <w:p w:rsidR="00FB6137" w:rsidRPr="00807A15" w:rsidRDefault="00BC2F20" w:rsidP="00BC2F20">
            <w:pPr>
              <w:pStyle w:val="Sraopastraipa"/>
              <w:tabs>
                <w:tab w:val="left" w:pos="567"/>
              </w:tabs>
              <w:ind w:left="0"/>
              <w:rPr>
                <w:rFonts w:ascii="Times New Roman" w:hAnsi="Times New Roman"/>
                <w:sz w:val="24"/>
                <w:szCs w:val="24"/>
              </w:rPr>
            </w:pPr>
            <w:r>
              <w:rPr>
                <w:rFonts w:ascii="Times New Roman" w:hAnsi="Times New Roman"/>
                <w:sz w:val="24"/>
                <w:szCs w:val="24"/>
              </w:rPr>
              <w:t>13.</w:t>
            </w:r>
          </w:p>
        </w:tc>
        <w:tc>
          <w:tcPr>
            <w:tcW w:w="2836" w:type="dxa"/>
          </w:tcPr>
          <w:p w:rsidR="00FB6137" w:rsidRPr="00807A15" w:rsidRDefault="00FB6137" w:rsidP="00465660">
            <w:pPr>
              <w:tabs>
                <w:tab w:val="left" w:pos="567"/>
              </w:tabs>
              <w:rPr>
                <w:rStyle w:val="Komentaronuoroda"/>
                <w:rFonts w:ascii="Times New Roman" w:hAnsi="Times New Roman"/>
                <w:sz w:val="24"/>
                <w:szCs w:val="24"/>
              </w:rPr>
            </w:pPr>
            <w:r w:rsidRPr="00807A15">
              <w:rPr>
                <w:rStyle w:val="Komentaronuoroda"/>
                <w:rFonts w:ascii="Times New Roman" w:hAnsi="Times New Roman"/>
                <w:sz w:val="24"/>
                <w:szCs w:val="24"/>
              </w:rPr>
              <w:t>Horizontaliųjų principų įgyvendinimas</w:t>
            </w:r>
          </w:p>
        </w:tc>
        <w:tc>
          <w:tcPr>
            <w:tcW w:w="6945" w:type="dxa"/>
          </w:tcPr>
          <w:p w:rsidR="00CF052F" w:rsidRPr="00807A15" w:rsidRDefault="00485A4F" w:rsidP="00485142">
            <w:pPr>
              <w:tabs>
                <w:tab w:val="left" w:pos="567"/>
              </w:tabs>
              <w:jc w:val="both"/>
              <w:rPr>
                <w:rFonts w:ascii="Times New Roman" w:hAnsi="Times New Roman"/>
                <w:sz w:val="24"/>
                <w:szCs w:val="24"/>
              </w:rPr>
            </w:pPr>
            <w:r>
              <w:rPr>
                <w:rFonts w:ascii="Times New Roman" w:hAnsi="Times New Roman"/>
                <w:sz w:val="24"/>
                <w:szCs w:val="24"/>
              </w:rPr>
              <w:t xml:space="preserve">Priemonės </w:t>
            </w:r>
            <w:r w:rsidR="00685946">
              <w:rPr>
                <w:rFonts w:ascii="Times New Roman" w:hAnsi="Times New Roman"/>
                <w:sz w:val="24"/>
                <w:szCs w:val="24"/>
              </w:rPr>
              <w:t xml:space="preserve">veiklos </w:t>
            </w:r>
            <w:r w:rsidR="00485142">
              <w:rPr>
                <w:rFonts w:ascii="Times New Roman" w:hAnsi="Times New Roman"/>
                <w:sz w:val="24"/>
                <w:szCs w:val="24"/>
              </w:rPr>
              <w:t xml:space="preserve">aktyviai </w:t>
            </w:r>
            <w:r>
              <w:rPr>
                <w:rFonts w:ascii="Times New Roman" w:hAnsi="Times New Roman"/>
                <w:sz w:val="24"/>
                <w:szCs w:val="24"/>
              </w:rPr>
              <w:t xml:space="preserve">prisidės prie darnaus vystymosi </w:t>
            </w:r>
            <w:r w:rsidR="00CF052F">
              <w:rPr>
                <w:rFonts w:ascii="Times New Roman" w:hAnsi="Times New Roman"/>
                <w:sz w:val="24"/>
                <w:szCs w:val="24"/>
              </w:rPr>
              <w:t xml:space="preserve">horizontaliojo principo tuo, kad jas įgyvendinus, bus </w:t>
            </w:r>
            <w:r>
              <w:rPr>
                <w:rFonts w:ascii="Times New Roman" w:hAnsi="Times New Roman"/>
                <w:sz w:val="24"/>
                <w:szCs w:val="24"/>
              </w:rPr>
              <w:t xml:space="preserve">skatinamas socialinės </w:t>
            </w:r>
            <w:proofErr w:type="spellStart"/>
            <w:r>
              <w:rPr>
                <w:rFonts w:ascii="Times New Roman" w:hAnsi="Times New Roman"/>
                <w:sz w:val="24"/>
                <w:szCs w:val="24"/>
              </w:rPr>
              <w:t>įtraukties</w:t>
            </w:r>
            <w:proofErr w:type="spellEnd"/>
            <w:r>
              <w:rPr>
                <w:rFonts w:ascii="Times New Roman" w:hAnsi="Times New Roman"/>
                <w:sz w:val="24"/>
                <w:szCs w:val="24"/>
              </w:rPr>
              <w:t xml:space="preserve"> didinimas.</w:t>
            </w:r>
            <w:r w:rsidR="00CF052F">
              <w:rPr>
                <w:rFonts w:ascii="Times New Roman" w:hAnsi="Times New Roman"/>
                <w:sz w:val="24"/>
                <w:szCs w:val="24"/>
              </w:rPr>
              <w:t xml:space="preserve"> </w:t>
            </w:r>
            <w:r w:rsidR="00485142">
              <w:rPr>
                <w:rFonts w:ascii="Times New Roman" w:hAnsi="Times New Roman"/>
                <w:sz w:val="24"/>
                <w:szCs w:val="24"/>
              </w:rPr>
              <w:t>Taip pat aktyviai prisidės prie l</w:t>
            </w:r>
            <w:r w:rsidR="00CF052F">
              <w:rPr>
                <w:rFonts w:ascii="Times New Roman" w:hAnsi="Times New Roman"/>
                <w:sz w:val="24"/>
                <w:szCs w:val="24"/>
              </w:rPr>
              <w:t>ygių galimybių ir nediskriminavimo horizontal</w:t>
            </w:r>
            <w:r w:rsidR="00485142">
              <w:rPr>
                <w:rFonts w:ascii="Times New Roman" w:hAnsi="Times New Roman"/>
                <w:sz w:val="24"/>
                <w:szCs w:val="24"/>
              </w:rPr>
              <w:t>iojo</w:t>
            </w:r>
            <w:r w:rsidR="00CF052F">
              <w:rPr>
                <w:rFonts w:ascii="Times New Roman" w:hAnsi="Times New Roman"/>
                <w:sz w:val="24"/>
                <w:szCs w:val="24"/>
              </w:rPr>
              <w:t xml:space="preserve"> princip</w:t>
            </w:r>
            <w:r w:rsidR="00485142">
              <w:rPr>
                <w:rFonts w:ascii="Times New Roman" w:hAnsi="Times New Roman"/>
                <w:sz w:val="24"/>
                <w:szCs w:val="24"/>
              </w:rPr>
              <w:t>o</w:t>
            </w:r>
            <w:r w:rsidR="00CF052F">
              <w:rPr>
                <w:rFonts w:ascii="Times New Roman" w:hAnsi="Times New Roman"/>
                <w:sz w:val="24"/>
                <w:szCs w:val="24"/>
              </w:rPr>
              <w:t xml:space="preserve"> </w:t>
            </w:r>
            <w:r w:rsidR="00942975">
              <w:rPr>
                <w:rFonts w:ascii="Times New Roman" w:hAnsi="Times New Roman"/>
                <w:sz w:val="24"/>
                <w:szCs w:val="24"/>
              </w:rPr>
              <w:t>įgyvendin</w:t>
            </w:r>
            <w:r w:rsidR="00485142">
              <w:rPr>
                <w:rFonts w:ascii="Times New Roman" w:hAnsi="Times New Roman"/>
                <w:sz w:val="24"/>
                <w:szCs w:val="24"/>
              </w:rPr>
              <w:t>imo</w:t>
            </w:r>
            <w:r w:rsidR="00942975">
              <w:rPr>
                <w:rFonts w:ascii="Times New Roman" w:hAnsi="Times New Roman"/>
                <w:sz w:val="24"/>
                <w:szCs w:val="24"/>
              </w:rPr>
              <w:t xml:space="preserve"> </w:t>
            </w:r>
            <w:r w:rsidR="00942975">
              <w:rPr>
                <w:rFonts w:ascii="Times New Roman" w:hAnsi="Times New Roman"/>
                <w:sz w:val="24"/>
                <w:szCs w:val="24"/>
              </w:rPr>
              <w:lastRenderedPageBreak/>
              <w:t xml:space="preserve">tuo, kad </w:t>
            </w:r>
            <w:r w:rsidR="00345AAD">
              <w:rPr>
                <w:rFonts w:ascii="Times New Roman" w:hAnsi="Times New Roman"/>
                <w:sz w:val="24"/>
                <w:szCs w:val="24"/>
              </w:rPr>
              <w:t>veiklomis</w:t>
            </w:r>
            <w:r w:rsidR="00942975">
              <w:rPr>
                <w:rFonts w:ascii="Times New Roman" w:hAnsi="Times New Roman"/>
                <w:sz w:val="24"/>
                <w:szCs w:val="24"/>
              </w:rPr>
              <w:t xml:space="preserve"> bus mažinama pažeidžiamiausių visuomenės grupių </w:t>
            </w:r>
            <w:r w:rsidR="00CF052F">
              <w:rPr>
                <w:rFonts w:ascii="Times New Roman" w:hAnsi="Times New Roman"/>
                <w:sz w:val="24"/>
                <w:szCs w:val="24"/>
              </w:rPr>
              <w:t>socialinė atskirtis</w:t>
            </w:r>
            <w:r w:rsidR="00942975">
              <w:rPr>
                <w:rFonts w:ascii="Times New Roman" w:hAnsi="Times New Roman"/>
                <w:sz w:val="24"/>
                <w:szCs w:val="24"/>
              </w:rPr>
              <w:t>, bus ugdoma šios socialinės grupės motyvacija, gebėjimai dalyvauti visuomen</w:t>
            </w:r>
            <w:r w:rsidR="00796471">
              <w:rPr>
                <w:rFonts w:ascii="Times New Roman" w:hAnsi="Times New Roman"/>
                <w:sz w:val="24"/>
                <w:szCs w:val="24"/>
              </w:rPr>
              <w:t>inėje</w:t>
            </w:r>
            <w:r w:rsidR="00942975">
              <w:rPr>
                <w:rFonts w:ascii="Times New Roman" w:hAnsi="Times New Roman"/>
                <w:sz w:val="24"/>
                <w:szCs w:val="24"/>
              </w:rPr>
              <w:t xml:space="preserve"> veikloje ir darbo rinkoje</w:t>
            </w:r>
            <w:r w:rsidR="00C93773">
              <w:rPr>
                <w:rFonts w:ascii="Times New Roman" w:hAnsi="Times New Roman"/>
                <w:sz w:val="24"/>
                <w:szCs w:val="24"/>
              </w:rPr>
              <w:t xml:space="preserve">. Pažeidžiamiausioms visuomenės grupėms bus teikiamos </w:t>
            </w:r>
            <w:r w:rsidR="00942975">
              <w:rPr>
                <w:rFonts w:ascii="Times New Roman" w:hAnsi="Times New Roman"/>
                <w:sz w:val="24"/>
                <w:szCs w:val="24"/>
              </w:rPr>
              <w:t>socialinės reabilitacijos</w:t>
            </w:r>
            <w:r w:rsidR="00C93773">
              <w:rPr>
                <w:rFonts w:ascii="Times New Roman" w:hAnsi="Times New Roman"/>
                <w:sz w:val="24"/>
                <w:szCs w:val="24"/>
              </w:rPr>
              <w:t xml:space="preserve"> paslaugos, plėtojamos tikslinės priemonės, skirtos jų sveikatos stiprinimui ir ligų prevencijai.</w:t>
            </w:r>
          </w:p>
        </w:tc>
      </w:tr>
      <w:tr w:rsidR="00FB6137" w:rsidRPr="00807A15" w:rsidTr="00465660">
        <w:tc>
          <w:tcPr>
            <w:tcW w:w="10348" w:type="dxa"/>
            <w:gridSpan w:val="3"/>
            <w:shd w:val="clear" w:color="auto" w:fill="F2F2F2" w:themeFill="background1" w:themeFillShade="F2"/>
          </w:tcPr>
          <w:p w:rsidR="00FB6137" w:rsidRPr="00807A15" w:rsidRDefault="00FB6137" w:rsidP="00465660">
            <w:pPr>
              <w:tabs>
                <w:tab w:val="left" w:pos="567"/>
              </w:tabs>
              <w:jc w:val="center"/>
              <w:rPr>
                <w:rFonts w:ascii="Times New Roman" w:hAnsi="Times New Roman"/>
                <w:sz w:val="24"/>
                <w:szCs w:val="24"/>
              </w:rPr>
            </w:pPr>
            <w:r w:rsidRPr="00807A15">
              <w:rPr>
                <w:rFonts w:ascii="Times New Roman" w:hAnsi="Times New Roman"/>
                <w:sz w:val="24"/>
                <w:szCs w:val="24"/>
              </w:rPr>
              <w:lastRenderedPageBreak/>
              <w:t>II. Finansavimo forma</w:t>
            </w:r>
          </w:p>
        </w:tc>
      </w:tr>
      <w:tr w:rsidR="00FB6137" w:rsidRPr="00807A15" w:rsidTr="00273D87">
        <w:tc>
          <w:tcPr>
            <w:tcW w:w="567" w:type="dxa"/>
          </w:tcPr>
          <w:p w:rsidR="00273D87" w:rsidRPr="00273D87" w:rsidRDefault="00273D87" w:rsidP="00273D87">
            <w:pPr>
              <w:tabs>
                <w:tab w:val="left" w:pos="567"/>
              </w:tabs>
              <w:rPr>
                <w:rFonts w:ascii="Times New Roman" w:hAnsi="Times New Roman"/>
                <w:sz w:val="24"/>
                <w:szCs w:val="24"/>
              </w:rPr>
            </w:pPr>
            <w:r>
              <w:rPr>
                <w:rFonts w:ascii="Times New Roman" w:hAnsi="Times New Roman"/>
                <w:sz w:val="24"/>
                <w:szCs w:val="24"/>
              </w:rPr>
              <w:t>14.</w:t>
            </w: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Priemonės finansavimo formos pasirinkimo pagrindimas</w:t>
            </w:r>
          </w:p>
        </w:tc>
        <w:tc>
          <w:tcPr>
            <w:tcW w:w="6945" w:type="dxa"/>
          </w:tcPr>
          <w:p w:rsidR="00D308DB" w:rsidRPr="005E6839" w:rsidRDefault="00B374E5" w:rsidP="005E6839">
            <w:pPr>
              <w:pStyle w:val="Sraopastraipa"/>
              <w:tabs>
                <w:tab w:val="left" w:pos="175"/>
              </w:tabs>
              <w:ind w:left="33"/>
              <w:jc w:val="both"/>
              <w:rPr>
                <w:rFonts w:ascii="Times New Roman" w:hAnsi="Times New Roman"/>
                <w:sz w:val="24"/>
                <w:szCs w:val="24"/>
              </w:rPr>
            </w:pPr>
            <w:r>
              <w:rPr>
                <w:rFonts w:ascii="Times New Roman" w:hAnsi="Times New Roman"/>
                <w:sz w:val="24"/>
                <w:szCs w:val="24"/>
              </w:rPr>
              <w:t>Priemonės finansavimo forma – n</w:t>
            </w:r>
            <w:r w:rsidR="00D308DB" w:rsidRPr="00D308DB">
              <w:rPr>
                <w:rFonts w:ascii="Times New Roman" w:hAnsi="Times New Roman"/>
                <w:sz w:val="24"/>
                <w:szCs w:val="24"/>
              </w:rPr>
              <w:t>egrąžinamoji subsidija. Ši finansavimo forma buvo pa</w:t>
            </w:r>
            <w:r w:rsidR="00D308DB">
              <w:rPr>
                <w:rFonts w:ascii="Times New Roman" w:hAnsi="Times New Roman"/>
                <w:sz w:val="24"/>
                <w:szCs w:val="24"/>
              </w:rPr>
              <w:t>sirinkta, k</w:t>
            </w:r>
            <w:r w:rsidR="00D308DB" w:rsidRPr="00D308DB">
              <w:rPr>
                <w:rFonts w:ascii="Times New Roman" w:hAnsi="Times New Roman"/>
                <w:sz w:val="24"/>
                <w:szCs w:val="24"/>
              </w:rPr>
              <w:t>adangi</w:t>
            </w:r>
            <w:r w:rsidR="009B097C">
              <w:rPr>
                <w:rFonts w:ascii="Times New Roman" w:hAnsi="Times New Roman"/>
                <w:sz w:val="24"/>
                <w:szCs w:val="24"/>
              </w:rPr>
              <w:t xml:space="preserve"> </w:t>
            </w:r>
            <w:r w:rsidR="00265D44">
              <w:rPr>
                <w:rFonts w:ascii="Times New Roman" w:hAnsi="Times New Roman"/>
                <w:sz w:val="24"/>
                <w:szCs w:val="24"/>
              </w:rPr>
              <w:t xml:space="preserve">veiklų įgyvendinimo vykdytojais </w:t>
            </w:r>
            <w:r w:rsidR="00EC73C9">
              <w:rPr>
                <w:rFonts w:ascii="Times New Roman" w:hAnsi="Times New Roman"/>
                <w:sz w:val="24"/>
                <w:szCs w:val="24"/>
              </w:rPr>
              <w:t xml:space="preserve">yra numatyti ne pelno siekiantys subjektai, t.y. NVO, tradicinės religinės bendruomenės, sveikatos priežiūros specialistų asociacijos. </w:t>
            </w:r>
            <w:r w:rsidR="00D308DB">
              <w:rPr>
                <w:rFonts w:ascii="Times New Roman" w:hAnsi="Times New Roman"/>
                <w:sz w:val="24"/>
                <w:szCs w:val="24"/>
              </w:rPr>
              <w:t xml:space="preserve"> </w:t>
            </w:r>
            <w:r w:rsidR="00EC73C9">
              <w:rPr>
                <w:rFonts w:ascii="Times New Roman" w:hAnsi="Times New Roman"/>
                <w:sz w:val="24"/>
                <w:szCs w:val="24"/>
              </w:rPr>
              <w:t xml:space="preserve">Veiklų įgyvendinimo tikslas nėra susijęs </w:t>
            </w:r>
            <w:r w:rsidR="00645D22">
              <w:rPr>
                <w:rFonts w:ascii="Times New Roman" w:hAnsi="Times New Roman"/>
                <w:sz w:val="24"/>
                <w:szCs w:val="24"/>
              </w:rPr>
              <w:t>su ekonominės naudos gavimu, todėl šios</w:t>
            </w:r>
            <w:r w:rsidR="00655CB2">
              <w:rPr>
                <w:rFonts w:ascii="Times New Roman" w:hAnsi="Times New Roman"/>
                <w:sz w:val="24"/>
                <w:szCs w:val="24"/>
              </w:rPr>
              <w:t xml:space="preserve"> </w:t>
            </w:r>
            <w:r w:rsidR="005E6839">
              <w:rPr>
                <w:rFonts w:ascii="Times New Roman" w:hAnsi="Times New Roman"/>
                <w:sz w:val="24"/>
                <w:szCs w:val="24"/>
              </w:rPr>
              <w:t xml:space="preserve">Priemonės atveju kitos finansavimo formos nepasiteisintų ir nebūtų pasiektas Priemonės tikslas. </w:t>
            </w:r>
            <w:r w:rsidR="00645D22">
              <w:rPr>
                <w:rFonts w:ascii="Times New Roman" w:hAnsi="Times New Roman"/>
                <w:sz w:val="24"/>
                <w:szCs w:val="24"/>
              </w:rPr>
              <w:t xml:space="preserve"> </w:t>
            </w:r>
            <w:r w:rsidR="005E6839">
              <w:rPr>
                <w:rFonts w:ascii="Times New Roman" w:hAnsi="Times New Roman"/>
                <w:sz w:val="24"/>
                <w:szCs w:val="24"/>
              </w:rPr>
              <w:t xml:space="preserve">VšĮ Viešosios politikos ir vadybos instituto atlikto Lietuvos 2014-2020 m. ES struktūrinių fondų investicijų veiksmų programos išankstinio vertinimo galutinėje ataskaitoje pažymėta, kad intervencijų pobūdis neturėtų būti susijęs su ekonomine nauda, o negrąžinamos subsidijos taikymas yra tinkama ir efektyvi paramos forma. </w:t>
            </w:r>
          </w:p>
        </w:tc>
      </w:tr>
      <w:tr w:rsidR="00FB6137" w:rsidRPr="00807A15" w:rsidTr="00273D87">
        <w:tc>
          <w:tcPr>
            <w:tcW w:w="567" w:type="dxa"/>
          </w:tcPr>
          <w:p w:rsidR="00FB6137" w:rsidRDefault="00273D87" w:rsidP="00273D87">
            <w:pPr>
              <w:tabs>
                <w:tab w:val="left" w:pos="567"/>
              </w:tabs>
              <w:rPr>
                <w:rFonts w:ascii="Times New Roman" w:hAnsi="Times New Roman"/>
                <w:sz w:val="24"/>
                <w:szCs w:val="24"/>
              </w:rPr>
            </w:pPr>
            <w:r>
              <w:rPr>
                <w:rFonts w:ascii="Times New Roman" w:hAnsi="Times New Roman"/>
                <w:sz w:val="24"/>
                <w:szCs w:val="24"/>
              </w:rPr>
              <w:t>15.</w:t>
            </w:r>
          </w:p>
          <w:p w:rsidR="00BB7DD5" w:rsidRPr="00273D87" w:rsidRDefault="00BB7DD5" w:rsidP="00273D87">
            <w:pPr>
              <w:tabs>
                <w:tab w:val="left" w:pos="567"/>
              </w:tabs>
              <w:rPr>
                <w:rFonts w:ascii="Times New Roman" w:hAnsi="Times New Roman"/>
                <w:sz w:val="24"/>
                <w:szCs w:val="24"/>
              </w:rPr>
            </w:pPr>
          </w:p>
        </w:tc>
        <w:tc>
          <w:tcPr>
            <w:tcW w:w="2836" w:type="dxa"/>
          </w:tcPr>
          <w:p w:rsidR="00BB7DD5" w:rsidRPr="00807A15" w:rsidRDefault="009A17FA" w:rsidP="00465660">
            <w:pPr>
              <w:tabs>
                <w:tab w:val="left" w:pos="567"/>
              </w:tabs>
              <w:rPr>
                <w:rFonts w:ascii="Times New Roman" w:hAnsi="Times New Roman"/>
                <w:sz w:val="24"/>
                <w:szCs w:val="24"/>
              </w:rPr>
            </w:pPr>
            <w:r>
              <w:rPr>
                <w:rFonts w:ascii="Times New Roman" w:hAnsi="Times New Roman"/>
                <w:sz w:val="24"/>
                <w:szCs w:val="24"/>
              </w:rPr>
              <w:t xml:space="preserve">Galimybė taikyti finansines </w:t>
            </w:r>
            <w:r w:rsidR="00FB6137" w:rsidRPr="00807A15">
              <w:rPr>
                <w:rFonts w:ascii="Times New Roman" w:hAnsi="Times New Roman"/>
                <w:sz w:val="24"/>
                <w:szCs w:val="24"/>
              </w:rPr>
              <w:t>priemones (jei taikoma)</w:t>
            </w:r>
          </w:p>
        </w:tc>
        <w:tc>
          <w:tcPr>
            <w:tcW w:w="6945" w:type="dxa"/>
          </w:tcPr>
          <w:p w:rsidR="00D308DB" w:rsidRPr="00D308DB" w:rsidRDefault="00D308DB" w:rsidP="00465660">
            <w:pPr>
              <w:tabs>
                <w:tab w:val="left" w:pos="567"/>
              </w:tabs>
              <w:jc w:val="both"/>
              <w:rPr>
                <w:rFonts w:ascii="Times New Roman" w:hAnsi="Times New Roman"/>
                <w:sz w:val="24"/>
                <w:szCs w:val="24"/>
              </w:rPr>
            </w:pPr>
            <w:r w:rsidRPr="00D308DB">
              <w:rPr>
                <w:rFonts w:ascii="Times New Roman" w:hAnsi="Times New Roman"/>
                <w:sz w:val="24"/>
                <w:szCs w:val="24"/>
              </w:rPr>
              <w:t>Netaikoma</w:t>
            </w:r>
            <w:r>
              <w:rPr>
                <w:rFonts w:ascii="Times New Roman" w:hAnsi="Times New Roman"/>
                <w:sz w:val="24"/>
                <w:szCs w:val="24"/>
              </w:rPr>
              <w:t>.</w:t>
            </w:r>
          </w:p>
        </w:tc>
      </w:tr>
      <w:tr w:rsidR="00FB6137" w:rsidRPr="00807A15" w:rsidTr="00273D87">
        <w:tc>
          <w:tcPr>
            <w:tcW w:w="567" w:type="dxa"/>
          </w:tcPr>
          <w:p w:rsidR="00FB6137" w:rsidRPr="00BB7DD5" w:rsidRDefault="00BB7DD5" w:rsidP="00BB7DD5">
            <w:pPr>
              <w:tabs>
                <w:tab w:val="left" w:pos="567"/>
              </w:tabs>
              <w:rPr>
                <w:rFonts w:ascii="Times New Roman" w:hAnsi="Times New Roman"/>
                <w:sz w:val="24"/>
                <w:szCs w:val="24"/>
              </w:rPr>
            </w:pPr>
            <w:r>
              <w:rPr>
                <w:rFonts w:ascii="Times New Roman" w:hAnsi="Times New Roman"/>
                <w:sz w:val="24"/>
                <w:szCs w:val="24"/>
              </w:rPr>
              <w:t>16.</w:t>
            </w: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 xml:space="preserve">Galimybė taikyti grąžinamąją subsidiją </w:t>
            </w:r>
          </w:p>
        </w:tc>
        <w:tc>
          <w:tcPr>
            <w:tcW w:w="6945" w:type="dxa"/>
          </w:tcPr>
          <w:p w:rsidR="00D308DB" w:rsidRPr="00807A15" w:rsidRDefault="00345AAD" w:rsidP="00D308DB">
            <w:pPr>
              <w:tabs>
                <w:tab w:val="left" w:pos="175"/>
              </w:tabs>
              <w:jc w:val="both"/>
              <w:rPr>
                <w:rFonts w:ascii="Times New Roman" w:hAnsi="Times New Roman"/>
                <w:sz w:val="24"/>
                <w:szCs w:val="24"/>
              </w:rPr>
            </w:pPr>
            <w:r>
              <w:rPr>
                <w:rFonts w:ascii="Times New Roman" w:hAnsi="Times New Roman"/>
                <w:sz w:val="24"/>
                <w:szCs w:val="24"/>
              </w:rPr>
              <w:t>Įgyvendinant P</w:t>
            </w:r>
            <w:r w:rsidR="00D308DB" w:rsidRPr="00D308DB">
              <w:rPr>
                <w:rFonts w:ascii="Times New Roman" w:hAnsi="Times New Roman"/>
                <w:sz w:val="24"/>
                <w:szCs w:val="24"/>
              </w:rPr>
              <w:t>riemonę numatoma t</w:t>
            </w:r>
            <w:r w:rsidR="000C001F">
              <w:rPr>
                <w:rFonts w:ascii="Times New Roman" w:hAnsi="Times New Roman"/>
                <w:sz w:val="24"/>
                <w:szCs w:val="24"/>
              </w:rPr>
              <w:t>aikyti negrąžinamąją subsidiją, nes galimi pareiškėjai yra ne pelno siekiančios organizacijos, kurios įgyvendindamos projektus sieks ne ekonominės naudos, o socialinės atskirties mažinimo, paslaugų kokybės ir prieinamumo gerinimo. Dėl šios priežasties pareiškėjai neturės galimybės sukaupti lėšų ir jas grąžinti.</w:t>
            </w:r>
          </w:p>
        </w:tc>
      </w:tr>
      <w:tr w:rsidR="00FB6137" w:rsidRPr="00807A15" w:rsidTr="00465660">
        <w:tc>
          <w:tcPr>
            <w:tcW w:w="10348" w:type="dxa"/>
            <w:gridSpan w:val="3"/>
            <w:shd w:val="clear" w:color="auto" w:fill="F2F2F2" w:themeFill="background1" w:themeFillShade="F2"/>
          </w:tcPr>
          <w:p w:rsidR="00FB6137" w:rsidRPr="00807A15" w:rsidRDefault="00FB6137" w:rsidP="00465660">
            <w:pPr>
              <w:tabs>
                <w:tab w:val="left" w:pos="567"/>
              </w:tabs>
              <w:ind w:left="34"/>
              <w:jc w:val="center"/>
              <w:rPr>
                <w:rFonts w:ascii="Times New Roman" w:hAnsi="Times New Roman"/>
                <w:sz w:val="24"/>
                <w:szCs w:val="24"/>
              </w:rPr>
            </w:pPr>
            <w:r w:rsidRPr="00807A15">
              <w:rPr>
                <w:rFonts w:ascii="Times New Roman" w:hAnsi="Times New Roman"/>
                <w:sz w:val="24"/>
                <w:szCs w:val="24"/>
              </w:rPr>
              <w:t>III. Atrankos būdas</w:t>
            </w:r>
          </w:p>
        </w:tc>
      </w:tr>
      <w:tr w:rsidR="00FB6137" w:rsidRPr="00807A15" w:rsidTr="00465660">
        <w:tc>
          <w:tcPr>
            <w:tcW w:w="567" w:type="dxa"/>
          </w:tcPr>
          <w:p w:rsidR="00FB6137" w:rsidRPr="00BB7DD5" w:rsidRDefault="00BB7DD5" w:rsidP="00BB7DD5">
            <w:pPr>
              <w:tabs>
                <w:tab w:val="left" w:pos="567"/>
              </w:tabs>
              <w:rPr>
                <w:rFonts w:ascii="Times New Roman" w:hAnsi="Times New Roman"/>
                <w:sz w:val="24"/>
                <w:szCs w:val="24"/>
              </w:rPr>
            </w:pPr>
            <w:r>
              <w:rPr>
                <w:rFonts w:ascii="Times New Roman" w:hAnsi="Times New Roman"/>
                <w:sz w:val="24"/>
                <w:szCs w:val="24"/>
              </w:rPr>
              <w:t>17.</w:t>
            </w: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 xml:space="preserve">Projektų atrankos būdo pagrįstumas </w:t>
            </w:r>
          </w:p>
        </w:tc>
        <w:tc>
          <w:tcPr>
            <w:tcW w:w="6945" w:type="dxa"/>
          </w:tcPr>
          <w:p w:rsidR="009B32AC" w:rsidRPr="00807A15" w:rsidRDefault="002E43B3" w:rsidP="00774669">
            <w:pPr>
              <w:tabs>
                <w:tab w:val="left" w:pos="178"/>
              </w:tabs>
              <w:jc w:val="both"/>
              <w:rPr>
                <w:rFonts w:ascii="Times New Roman" w:hAnsi="Times New Roman"/>
                <w:sz w:val="24"/>
                <w:szCs w:val="24"/>
              </w:rPr>
            </w:pPr>
            <w:r>
              <w:rPr>
                <w:rFonts w:ascii="Times New Roman" w:hAnsi="Times New Roman"/>
                <w:sz w:val="24"/>
                <w:szCs w:val="24"/>
              </w:rPr>
              <w:t>P</w:t>
            </w:r>
            <w:r w:rsidR="00774669">
              <w:rPr>
                <w:rFonts w:ascii="Times New Roman" w:hAnsi="Times New Roman"/>
                <w:sz w:val="24"/>
                <w:szCs w:val="24"/>
              </w:rPr>
              <w:t xml:space="preserve">rojektai </w:t>
            </w:r>
            <w:r>
              <w:rPr>
                <w:rFonts w:ascii="Times New Roman" w:hAnsi="Times New Roman"/>
                <w:sz w:val="24"/>
                <w:szCs w:val="24"/>
              </w:rPr>
              <w:t>bus</w:t>
            </w:r>
            <w:r w:rsidR="00774669">
              <w:rPr>
                <w:rFonts w:ascii="Times New Roman" w:hAnsi="Times New Roman"/>
                <w:sz w:val="24"/>
                <w:szCs w:val="24"/>
              </w:rPr>
              <w:t xml:space="preserve"> atrinkti konkurso būdu.</w:t>
            </w:r>
          </w:p>
        </w:tc>
      </w:tr>
      <w:tr w:rsidR="00FB6137" w:rsidRPr="00807A15" w:rsidTr="00465660">
        <w:tc>
          <w:tcPr>
            <w:tcW w:w="10348" w:type="dxa"/>
            <w:gridSpan w:val="3"/>
            <w:shd w:val="clear" w:color="auto" w:fill="F2F2F2" w:themeFill="background1" w:themeFillShade="F2"/>
          </w:tcPr>
          <w:p w:rsidR="00FB6137" w:rsidRPr="00807A15" w:rsidRDefault="00FB6137" w:rsidP="00465660">
            <w:pPr>
              <w:tabs>
                <w:tab w:val="left" w:pos="567"/>
              </w:tabs>
              <w:ind w:left="34"/>
              <w:jc w:val="center"/>
              <w:rPr>
                <w:rFonts w:ascii="Times New Roman" w:hAnsi="Times New Roman"/>
                <w:sz w:val="24"/>
                <w:szCs w:val="24"/>
              </w:rPr>
            </w:pPr>
            <w:r w:rsidRPr="00807A15">
              <w:rPr>
                <w:rFonts w:ascii="Times New Roman" w:hAnsi="Times New Roman"/>
                <w:sz w:val="24"/>
                <w:szCs w:val="24"/>
              </w:rPr>
              <w:t>IV. Įgyvendinančioji institucija</w:t>
            </w:r>
          </w:p>
        </w:tc>
      </w:tr>
      <w:tr w:rsidR="00FB6137" w:rsidRPr="00807A15" w:rsidTr="00465660">
        <w:tc>
          <w:tcPr>
            <w:tcW w:w="567" w:type="dxa"/>
          </w:tcPr>
          <w:p w:rsidR="00FB6137" w:rsidRPr="00BB7DD5" w:rsidRDefault="00BB7DD5" w:rsidP="00BB7DD5">
            <w:pPr>
              <w:tabs>
                <w:tab w:val="left" w:pos="567"/>
              </w:tabs>
              <w:rPr>
                <w:rFonts w:ascii="Times New Roman" w:hAnsi="Times New Roman"/>
                <w:sz w:val="24"/>
                <w:szCs w:val="24"/>
              </w:rPr>
            </w:pPr>
            <w:r>
              <w:rPr>
                <w:rFonts w:ascii="Times New Roman" w:hAnsi="Times New Roman"/>
                <w:sz w:val="24"/>
                <w:szCs w:val="24"/>
              </w:rPr>
              <w:t>18.</w:t>
            </w:r>
          </w:p>
        </w:tc>
        <w:tc>
          <w:tcPr>
            <w:tcW w:w="2836" w:type="dxa"/>
          </w:tcPr>
          <w:p w:rsidR="00FB6137" w:rsidRPr="00807A15" w:rsidRDefault="00E418CC" w:rsidP="00465660">
            <w:pPr>
              <w:tabs>
                <w:tab w:val="left" w:pos="567"/>
              </w:tabs>
              <w:rPr>
                <w:rFonts w:ascii="Times New Roman" w:hAnsi="Times New Roman"/>
                <w:sz w:val="24"/>
                <w:szCs w:val="24"/>
              </w:rPr>
            </w:pPr>
            <w:r>
              <w:rPr>
                <w:rFonts w:ascii="Times New Roman" w:hAnsi="Times New Roman"/>
                <w:sz w:val="24"/>
                <w:szCs w:val="24"/>
              </w:rPr>
              <w:t xml:space="preserve">Įgyvendinančiosios </w:t>
            </w:r>
            <w:r w:rsidR="00FB6137" w:rsidRPr="00807A15">
              <w:rPr>
                <w:rFonts w:ascii="Times New Roman" w:hAnsi="Times New Roman"/>
                <w:sz w:val="24"/>
                <w:szCs w:val="24"/>
              </w:rPr>
              <w:t>institucijos pasirinkimas (jei taikoma)</w:t>
            </w:r>
          </w:p>
        </w:tc>
        <w:tc>
          <w:tcPr>
            <w:tcW w:w="6945" w:type="dxa"/>
          </w:tcPr>
          <w:p w:rsidR="006967C9" w:rsidRPr="0064051A" w:rsidRDefault="00345AAD" w:rsidP="00774669">
            <w:pPr>
              <w:tabs>
                <w:tab w:val="left" w:pos="178"/>
              </w:tabs>
              <w:jc w:val="both"/>
              <w:rPr>
                <w:rFonts w:ascii="Times New Roman" w:hAnsi="Times New Roman"/>
                <w:strike/>
                <w:color w:val="000000" w:themeColor="text1"/>
                <w:sz w:val="24"/>
                <w:szCs w:val="24"/>
              </w:rPr>
            </w:pPr>
            <w:r>
              <w:rPr>
                <w:rFonts w:ascii="Times New Roman" w:hAnsi="Times New Roman"/>
                <w:color w:val="000000" w:themeColor="text1"/>
                <w:sz w:val="24"/>
                <w:szCs w:val="24"/>
              </w:rPr>
              <w:t>Už P</w:t>
            </w:r>
            <w:r w:rsidR="00E30325" w:rsidRPr="005A5BC0">
              <w:rPr>
                <w:rFonts w:ascii="Times New Roman" w:hAnsi="Times New Roman"/>
                <w:color w:val="000000" w:themeColor="text1"/>
                <w:sz w:val="24"/>
                <w:szCs w:val="24"/>
              </w:rPr>
              <w:t>riemonės įgyvendinimą pasirenkama įg</w:t>
            </w:r>
            <w:r w:rsidR="00E51A8A">
              <w:rPr>
                <w:rFonts w:ascii="Times New Roman" w:hAnsi="Times New Roman"/>
                <w:color w:val="000000" w:themeColor="text1"/>
                <w:sz w:val="24"/>
                <w:szCs w:val="24"/>
              </w:rPr>
              <w:t>yvendinančioji institucija –</w:t>
            </w:r>
            <w:r w:rsidR="00E30325" w:rsidRPr="005A5BC0">
              <w:rPr>
                <w:rFonts w:ascii="Times New Roman" w:hAnsi="Times New Roman"/>
                <w:color w:val="000000" w:themeColor="text1"/>
                <w:sz w:val="24"/>
                <w:szCs w:val="24"/>
              </w:rPr>
              <w:t xml:space="preserve"> </w:t>
            </w:r>
            <w:r w:rsidR="00E30325">
              <w:rPr>
                <w:rFonts w:ascii="Times New Roman" w:hAnsi="Times New Roman"/>
                <w:sz w:val="24"/>
                <w:szCs w:val="24"/>
              </w:rPr>
              <w:t xml:space="preserve">Europos socialinio fondo </w:t>
            </w:r>
            <w:r w:rsidR="00E30325" w:rsidRPr="00D37DA0">
              <w:rPr>
                <w:rFonts w:ascii="Times New Roman" w:hAnsi="Times New Roman"/>
                <w:color w:val="000000" w:themeColor="text1"/>
                <w:sz w:val="24"/>
                <w:szCs w:val="24"/>
              </w:rPr>
              <w:t>agentūra</w:t>
            </w:r>
            <w:r w:rsidR="00E30325" w:rsidRPr="005A5BC0">
              <w:rPr>
                <w:rFonts w:ascii="Times New Roman" w:hAnsi="Times New Roman"/>
                <w:color w:val="000000" w:themeColor="text1"/>
                <w:sz w:val="24"/>
                <w:szCs w:val="24"/>
              </w:rPr>
              <w:t xml:space="preserve">, </w:t>
            </w:r>
            <w:r w:rsidR="00E30325" w:rsidRPr="00C549C5">
              <w:rPr>
                <w:rFonts w:ascii="Times New Roman" w:hAnsi="Times New Roman"/>
                <w:sz w:val="24"/>
                <w:szCs w:val="24"/>
              </w:rPr>
              <w:t xml:space="preserve">kadangi ši institucija </w:t>
            </w:r>
            <w:r w:rsidR="00E30325">
              <w:rPr>
                <w:rFonts w:ascii="Times New Roman" w:hAnsi="Times New Roman"/>
                <w:sz w:val="24"/>
                <w:szCs w:val="24"/>
              </w:rPr>
              <w:t>nurodyta</w:t>
            </w:r>
            <w:r w:rsidR="00E30325" w:rsidRPr="00FB3431">
              <w:rPr>
                <w:rFonts w:ascii="Times New Roman" w:hAnsi="Times New Roman"/>
                <w:sz w:val="24"/>
                <w:szCs w:val="24"/>
              </w:rPr>
              <w:t xml:space="preserve"> </w:t>
            </w:r>
            <w:r w:rsidR="00E30325">
              <w:rPr>
                <w:rFonts w:ascii="Times New Roman" w:hAnsi="Times New Roman"/>
                <w:sz w:val="24"/>
                <w:szCs w:val="24"/>
              </w:rPr>
              <w:t>A</w:t>
            </w:r>
            <w:r w:rsidR="00E30325" w:rsidRPr="00A01D0C">
              <w:rPr>
                <w:rFonts w:ascii="Times New Roman" w:hAnsi="Times New Roman"/>
                <w:sz w:val="24"/>
                <w:szCs w:val="24"/>
              </w:rPr>
              <w:t>tsakomybės ir funkcijų paskirstymo tarp institucijų, įgyvendinant 2014–2020 metų Europos Sąjungos struktūrinių fondų investicijų veiksmų programą</w:t>
            </w:r>
            <w:r w:rsidR="00E30325">
              <w:rPr>
                <w:rFonts w:ascii="Times New Roman" w:hAnsi="Times New Roman"/>
                <w:sz w:val="24"/>
                <w:szCs w:val="24"/>
              </w:rPr>
              <w:t>, taisyklių, patvirtintų</w:t>
            </w:r>
            <w:r w:rsidR="00E30325" w:rsidRPr="00FB3431">
              <w:rPr>
                <w:rFonts w:ascii="Times New Roman" w:hAnsi="Times New Roman"/>
                <w:sz w:val="24"/>
                <w:szCs w:val="24"/>
              </w:rPr>
              <w:t xml:space="preserve"> Lietuvos Respublikos Vyriausybės </w:t>
            </w:r>
            <w:r w:rsidR="00E30325" w:rsidRPr="00A01D0C">
              <w:rPr>
                <w:rFonts w:ascii="Times New Roman" w:hAnsi="Times New Roman"/>
                <w:color w:val="000000"/>
                <w:sz w:val="24"/>
                <w:szCs w:val="24"/>
              </w:rPr>
              <w:t>2014 m. birželio 4 d. nutarimu Nr. 528 „</w:t>
            </w:r>
            <w:r w:rsidR="00E30325" w:rsidRPr="00A01D0C">
              <w:rPr>
                <w:rFonts w:ascii="Times New Roman" w:hAnsi="Times New Roman"/>
                <w:sz w:val="24"/>
                <w:szCs w:val="24"/>
              </w:rPr>
              <w:t>Dėl atsakomybės ir funkcijų paskirstymo tarp institucijų, įgyvendinant 2014–2020 metų Europos Sąjungos struktūrinių fondų investicijų veiksmų programą“ priede „A</w:t>
            </w:r>
            <w:r w:rsidR="00E30325" w:rsidRPr="00A01D0C">
              <w:rPr>
                <w:rFonts w:ascii="Times New Roman" w:hAnsi="Times New Roman"/>
                <w:bCs/>
                <w:sz w:val="24"/>
                <w:szCs w:val="24"/>
              </w:rPr>
              <w:t xml:space="preserve">tsakomybės paskirstymas tarp institucijų, atsakingų už 2014–2020 metų Europos Sąjungos struktūrinių fondų investicijų veiksmų programos prioritetų įgyvendinimą“ </w:t>
            </w:r>
            <w:r w:rsidR="005653FE">
              <w:rPr>
                <w:rFonts w:ascii="Times New Roman" w:hAnsi="Times New Roman"/>
                <w:sz w:val="24"/>
                <w:szCs w:val="24"/>
              </w:rPr>
              <w:t>kaip įgyvendinančioji</w:t>
            </w:r>
            <w:r w:rsidR="00E30325" w:rsidRPr="00A01D0C">
              <w:rPr>
                <w:rFonts w:ascii="Times New Roman" w:hAnsi="Times New Roman"/>
                <w:bCs/>
                <w:sz w:val="24"/>
                <w:szCs w:val="24"/>
              </w:rPr>
              <w:t xml:space="preserve"> </w:t>
            </w:r>
            <w:r w:rsidR="00E30325" w:rsidRPr="00A01D0C">
              <w:rPr>
                <w:rFonts w:ascii="Times New Roman" w:hAnsi="Times New Roman"/>
                <w:sz w:val="24"/>
                <w:szCs w:val="24"/>
              </w:rPr>
              <w:t xml:space="preserve">2014–2020 metų Europos Sąjungos struktūrinių fondų investicijų veiksmų programos </w:t>
            </w:r>
            <w:r w:rsidR="005653FE">
              <w:rPr>
                <w:rFonts w:ascii="Times New Roman" w:hAnsi="Times New Roman"/>
                <w:sz w:val="24"/>
                <w:szCs w:val="24"/>
              </w:rPr>
              <w:t xml:space="preserve">8 </w:t>
            </w:r>
            <w:r w:rsidR="00E30325" w:rsidRPr="00A01D0C">
              <w:rPr>
                <w:rFonts w:ascii="Times New Roman" w:hAnsi="Times New Roman"/>
                <w:sz w:val="24"/>
                <w:szCs w:val="24"/>
              </w:rPr>
              <w:t>prioriteto, 4 investicinio prioriteto, institucija. N</w:t>
            </w:r>
            <w:r w:rsidR="00E30325" w:rsidRPr="00C549C5">
              <w:rPr>
                <w:rFonts w:ascii="Times New Roman" w:hAnsi="Times New Roman"/>
                <w:sz w:val="24"/>
                <w:szCs w:val="24"/>
              </w:rPr>
              <w:t>umatomos įgyvendinti veiklos finansuojamos Europos socialinio fondo lėšomis</w:t>
            </w:r>
            <w:r w:rsidR="00E30325">
              <w:rPr>
                <w:rFonts w:ascii="Times New Roman" w:hAnsi="Times New Roman"/>
                <w:sz w:val="24"/>
                <w:szCs w:val="24"/>
              </w:rPr>
              <w:t>.</w:t>
            </w:r>
          </w:p>
        </w:tc>
      </w:tr>
      <w:tr w:rsidR="00FB6137" w:rsidRPr="00807A15" w:rsidTr="00465660">
        <w:tc>
          <w:tcPr>
            <w:tcW w:w="10348" w:type="dxa"/>
            <w:gridSpan w:val="3"/>
            <w:shd w:val="clear" w:color="auto" w:fill="F2F2F2" w:themeFill="background1" w:themeFillShade="F2"/>
          </w:tcPr>
          <w:p w:rsidR="00FB6137" w:rsidRPr="00807A15" w:rsidRDefault="00FB6137" w:rsidP="00465660">
            <w:pPr>
              <w:tabs>
                <w:tab w:val="left" w:pos="567"/>
                <w:tab w:val="left" w:pos="709"/>
              </w:tabs>
              <w:ind w:left="34"/>
              <w:jc w:val="center"/>
              <w:rPr>
                <w:rFonts w:ascii="Times New Roman" w:hAnsi="Times New Roman"/>
                <w:sz w:val="24"/>
                <w:szCs w:val="24"/>
              </w:rPr>
            </w:pPr>
            <w:r w:rsidRPr="00807A15">
              <w:rPr>
                <w:rFonts w:ascii="Times New Roman" w:hAnsi="Times New Roman"/>
                <w:sz w:val="24"/>
                <w:szCs w:val="24"/>
              </w:rPr>
              <w:t>V.</w:t>
            </w:r>
            <w:r w:rsidRPr="00807A15">
              <w:rPr>
                <w:rFonts w:ascii="Times New Roman" w:hAnsi="Times New Roman"/>
                <w:bCs/>
                <w:sz w:val="24"/>
                <w:szCs w:val="24"/>
              </w:rPr>
              <w:t xml:space="preserve"> Reikalavimai, susiję su paramos pagal kitas iš ES finansuojamas programas ir kitą tarptautinę paramą atskyrimu</w:t>
            </w:r>
          </w:p>
        </w:tc>
      </w:tr>
      <w:tr w:rsidR="00FB6137" w:rsidRPr="00807A15" w:rsidTr="00465660">
        <w:tc>
          <w:tcPr>
            <w:tcW w:w="567" w:type="dxa"/>
          </w:tcPr>
          <w:p w:rsidR="00FB6137" w:rsidRPr="00BB7DD5" w:rsidRDefault="00BB7DD5" w:rsidP="00BB7DD5">
            <w:pPr>
              <w:tabs>
                <w:tab w:val="left" w:pos="567"/>
              </w:tabs>
              <w:rPr>
                <w:rFonts w:ascii="Times New Roman" w:hAnsi="Times New Roman"/>
                <w:sz w:val="24"/>
                <w:szCs w:val="24"/>
              </w:rPr>
            </w:pPr>
            <w:r>
              <w:rPr>
                <w:rFonts w:ascii="Times New Roman" w:hAnsi="Times New Roman"/>
                <w:sz w:val="24"/>
                <w:szCs w:val="24"/>
              </w:rPr>
              <w:lastRenderedPageBreak/>
              <w:t>19.</w:t>
            </w: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 xml:space="preserve">Priemonės sankirtų su kitomis veiksmų programos priemonėmis įvertinimas ir nustatymas </w:t>
            </w:r>
          </w:p>
        </w:tc>
        <w:tc>
          <w:tcPr>
            <w:tcW w:w="6945" w:type="dxa"/>
          </w:tcPr>
          <w:p w:rsidR="00A3485A" w:rsidRDefault="008A3590" w:rsidP="005D47DF">
            <w:pPr>
              <w:tabs>
                <w:tab w:val="left" w:pos="567"/>
              </w:tabs>
              <w:jc w:val="both"/>
              <w:rPr>
                <w:rFonts w:ascii="Times New Roman" w:hAnsi="Times New Roman"/>
                <w:sz w:val="24"/>
                <w:szCs w:val="24"/>
              </w:rPr>
            </w:pPr>
            <w:r>
              <w:rPr>
                <w:rFonts w:ascii="Times New Roman" w:hAnsi="Times New Roman"/>
                <w:sz w:val="24"/>
                <w:szCs w:val="24"/>
              </w:rPr>
              <w:t>Priemonės sankirtų su kit</w:t>
            </w:r>
            <w:r w:rsidR="00FE3403">
              <w:rPr>
                <w:rFonts w:ascii="Times New Roman" w:hAnsi="Times New Roman"/>
                <w:sz w:val="24"/>
                <w:szCs w:val="24"/>
              </w:rPr>
              <w:t xml:space="preserve">omis </w:t>
            </w:r>
            <w:r w:rsidR="00D73E9B">
              <w:rPr>
                <w:rFonts w:ascii="Times New Roman" w:hAnsi="Times New Roman"/>
                <w:sz w:val="24"/>
                <w:szCs w:val="24"/>
              </w:rPr>
              <w:t xml:space="preserve">Ministerijos </w:t>
            </w:r>
            <w:r w:rsidR="00F938F2">
              <w:rPr>
                <w:rFonts w:ascii="Times New Roman" w:hAnsi="Times New Roman"/>
                <w:sz w:val="24"/>
                <w:szCs w:val="24"/>
              </w:rPr>
              <w:t>administruojamo 8.4.2 konkretaus uždavinio „Sumažinti sveikatos netolygumus, gerinant sveikatos priežiūros kokybę ir prieinamumą tikslinėms gyventojų grupėms ir skatinti sveiką senėjimą“ veiklomis nėra. Ši priemon</w:t>
            </w:r>
            <w:r w:rsidR="009B40D7">
              <w:rPr>
                <w:rFonts w:ascii="Times New Roman" w:hAnsi="Times New Roman"/>
                <w:sz w:val="24"/>
                <w:szCs w:val="24"/>
              </w:rPr>
              <w:t>ė tik papildo kitas 8.4.2</w:t>
            </w:r>
            <w:r w:rsidR="00F938F2">
              <w:rPr>
                <w:rFonts w:ascii="Times New Roman" w:hAnsi="Times New Roman"/>
                <w:sz w:val="24"/>
                <w:szCs w:val="24"/>
              </w:rPr>
              <w:t xml:space="preserve"> uždavinio veiklas ir su jomis nesidubliuoja.</w:t>
            </w:r>
          </w:p>
          <w:p w:rsidR="00562C9C" w:rsidRPr="00A3485A" w:rsidRDefault="00562C9C" w:rsidP="00FE3403">
            <w:pPr>
              <w:tabs>
                <w:tab w:val="left" w:pos="567"/>
              </w:tabs>
              <w:jc w:val="both"/>
              <w:rPr>
                <w:rFonts w:ascii="Times New Roman" w:hAnsi="Times New Roman"/>
                <w:sz w:val="24"/>
                <w:szCs w:val="24"/>
              </w:rPr>
            </w:pPr>
            <w:r>
              <w:rPr>
                <w:rFonts w:ascii="Times New Roman" w:hAnsi="Times New Roman"/>
                <w:sz w:val="24"/>
                <w:szCs w:val="24"/>
              </w:rPr>
              <w:t xml:space="preserve">Siekiant išvengti galimos </w:t>
            </w:r>
            <w:r w:rsidR="009B40D7">
              <w:rPr>
                <w:rFonts w:ascii="Times New Roman" w:hAnsi="Times New Roman"/>
                <w:sz w:val="24"/>
                <w:szCs w:val="24"/>
              </w:rPr>
              <w:t xml:space="preserve">sankirtos tarp Priemonės 1.3.3 </w:t>
            </w:r>
            <w:r>
              <w:rPr>
                <w:rFonts w:ascii="Times New Roman" w:hAnsi="Times New Roman"/>
                <w:sz w:val="24"/>
                <w:szCs w:val="24"/>
              </w:rPr>
              <w:t>veiklos „</w:t>
            </w:r>
            <w:r w:rsidR="003C31F8">
              <w:rPr>
                <w:rFonts w:ascii="Times New Roman" w:hAnsi="Times New Roman"/>
                <w:sz w:val="24"/>
                <w:szCs w:val="24"/>
              </w:rPr>
              <w:t>Aktyvaus laisvalaikio, meno programų ar kitų projektų, skirtų gerinti vaikų ir paauglių iki 18 metų amžiaus fizinę ir psichinę sveikatą, skatinti sveiką ir aktyvų gyvenimo būdą bei užimtumą laisvalaikio metu, įgyvendinimas“ ir Švietimo ir mokslo ministerijos</w:t>
            </w:r>
            <w:r w:rsidR="00E22F74">
              <w:rPr>
                <w:rFonts w:ascii="Times New Roman" w:hAnsi="Times New Roman"/>
                <w:sz w:val="24"/>
                <w:szCs w:val="24"/>
              </w:rPr>
              <w:t xml:space="preserve"> (toliau – ŠMM)</w:t>
            </w:r>
            <w:r w:rsidR="003C31F8">
              <w:rPr>
                <w:rFonts w:ascii="Times New Roman" w:hAnsi="Times New Roman"/>
                <w:sz w:val="24"/>
                <w:szCs w:val="24"/>
              </w:rPr>
              <w:t xml:space="preserve"> kuruojamos priemonės Nr. 08.4.1-ESFA-V-418 „Integrali pagalba į namus“ veiklomis: 1) integralios pagalbos (socialinės globos ir slaugos) namuose teikimas bei konsultavimo paslaugų (pagalbos prižiūrint patiems) teikimas šeimos nariams, prižiūrintiems vaikus su negalia, neįgalius darbingo amžiaus asmenis ar senyvo </w:t>
            </w:r>
            <w:r w:rsidR="00E22F74">
              <w:rPr>
                <w:rFonts w:ascii="Times New Roman" w:hAnsi="Times New Roman"/>
                <w:sz w:val="24"/>
                <w:szCs w:val="24"/>
              </w:rPr>
              <w:t xml:space="preserve">amžiaus asmenis; 2) mobiliųjų komandų darbuotojų ir savanorių mokymai, Ministerijos kuruojamose priemonėse bus finansuojamos tik tos veiklos, pagal kurias bus apmokomi asmenys teikti priežiūros ir pagalbos paslaugas neįgaliesiems ir negalintiems apsitarnauti žmonėms, kuriems nustatytas arba specialusis nuolatinės slaugos poreikis, arba </w:t>
            </w:r>
            <w:r w:rsidR="00E22F74" w:rsidRPr="00E22F74">
              <w:rPr>
                <w:rFonts w:ascii="Times New Roman" w:hAnsi="Times New Roman"/>
                <w:sz w:val="24"/>
                <w:szCs w:val="24"/>
              </w:rPr>
              <w:t xml:space="preserve">specialusis nuolatinės </w:t>
            </w:r>
            <w:r w:rsidR="00E22F74">
              <w:rPr>
                <w:rFonts w:ascii="Times New Roman" w:hAnsi="Times New Roman"/>
                <w:sz w:val="24"/>
                <w:szCs w:val="24"/>
              </w:rPr>
              <w:t>priežiūros</w:t>
            </w:r>
            <w:r w:rsidR="00E22F74" w:rsidRPr="00E22F74">
              <w:rPr>
                <w:rFonts w:ascii="Times New Roman" w:hAnsi="Times New Roman"/>
                <w:sz w:val="24"/>
                <w:szCs w:val="24"/>
              </w:rPr>
              <w:t xml:space="preserve"> poreikis</w:t>
            </w:r>
            <w:r w:rsidR="00E22F74">
              <w:rPr>
                <w:rFonts w:ascii="Times New Roman" w:hAnsi="Times New Roman"/>
                <w:sz w:val="24"/>
                <w:szCs w:val="24"/>
              </w:rPr>
              <w:t xml:space="preserve">, arba darbingumo lygis 0-25 proc., arba neįgalumo lygis 0-25 proc. Priemonės atskiriamumas nuo </w:t>
            </w:r>
            <w:r w:rsidR="003C31F8">
              <w:rPr>
                <w:rFonts w:ascii="Times New Roman" w:hAnsi="Times New Roman"/>
                <w:sz w:val="24"/>
                <w:szCs w:val="24"/>
              </w:rPr>
              <w:t xml:space="preserve"> </w:t>
            </w:r>
            <w:r w:rsidR="00E22F74">
              <w:rPr>
                <w:rFonts w:ascii="Times New Roman" w:hAnsi="Times New Roman"/>
                <w:sz w:val="24"/>
                <w:szCs w:val="24"/>
              </w:rPr>
              <w:t>ŠMM kuruojamos priemonės pasireiškia ir tuo, kad priežiūros ir pagalbos teikimas neįgaliesiems ir negalintiems apsitarnauti žmonėms namuose susijęs su medicinine pagalba</w:t>
            </w:r>
            <w:r w:rsidR="005D47DF">
              <w:rPr>
                <w:rFonts w:ascii="Times New Roman" w:hAnsi="Times New Roman"/>
                <w:sz w:val="24"/>
                <w:szCs w:val="24"/>
              </w:rPr>
              <w:t xml:space="preserve">, o ne su socialine reabilitacija. Apmokant teikti Priemonėje numatytas priežiūros ir pagalbos paslaugas neįgaliesiems ir negalintiems apsitarnauti žmonėms namuose bei rengti tokių paslaugų teikimo programas turi dalyvauti licencijuoti sveikatos priežiūros specialistai. </w:t>
            </w:r>
          </w:p>
        </w:tc>
      </w:tr>
      <w:tr w:rsidR="00FB6137" w:rsidRPr="00807A15" w:rsidTr="00465660">
        <w:tc>
          <w:tcPr>
            <w:tcW w:w="567" w:type="dxa"/>
          </w:tcPr>
          <w:p w:rsidR="00FB6137" w:rsidRPr="00BB7DD5" w:rsidRDefault="00BB7DD5" w:rsidP="00BB7DD5">
            <w:pPr>
              <w:tabs>
                <w:tab w:val="left" w:pos="567"/>
              </w:tabs>
              <w:rPr>
                <w:rFonts w:ascii="Times New Roman" w:hAnsi="Times New Roman"/>
                <w:sz w:val="24"/>
                <w:szCs w:val="24"/>
              </w:rPr>
            </w:pPr>
            <w:r>
              <w:rPr>
                <w:rFonts w:ascii="Times New Roman" w:hAnsi="Times New Roman"/>
                <w:sz w:val="24"/>
                <w:szCs w:val="24"/>
              </w:rPr>
              <w:t>20.</w:t>
            </w: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 xml:space="preserve">Priemonės sankirtų su kitų ES struktūrinių fondų, kitos ES finansinės paramos ar kitos tarptautinės paramos priemonėmis įvertinimas ir nustatymas </w:t>
            </w:r>
          </w:p>
        </w:tc>
        <w:tc>
          <w:tcPr>
            <w:tcW w:w="6945" w:type="dxa"/>
          </w:tcPr>
          <w:p w:rsidR="008D3D58" w:rsidRDefault="005D47DF" w:rsidP="00BC6C72">
            <w:pPr>
              <w:tabs>
                <w:tab w:val="left" w:pos="567"/>
              </w:tabs>
              <w:jc w:val="both"/>
              <w:rPr>
                <w:rFonts w:ascii="Times New Roman" w:hAnsi="Times New Roman"/>
                <w:sz w:val="24"/>
                <w:szCs w:val="24"/>
              </w:rPr>
            </w:pPr>
            <w:r>
              <w:rPr>
                <w:rFonts w:ascii="Times New Roman" w:hAnsi="Times New Roman"/>
                <w:sz w:val="24"/>
                <w:szCs w:val="24"/>
              </w:rPr>
              <w:t>Pagal M</w:t>
            </w:r>
            <w:r w:rsidR="00BC6C72" w:rsidRPr="00BC2F20">
              <w:rPr>
                <w:rFonts w:ascii="Times New Roman" w:hAnsi="Times New Roman"/>
                <w:sz w:val="24"/>
                <w:szCs w:val="24"/>
              </w:rPr>
              <w:t>inisterijos kompetenciją įvertinus numatomas finansuoti veiklas</w:t>
            </w:r>
            <w:r>
              <w:rPr>
                <w:rFonts w:ascii="Times New Roman" w:hAnsi="Times New Roman"/>
                <w:sz w:val="24"/>
                <w:szCs w:val="24"/>
              </w:rPr>
              <w:t>,</w:t>
            </w:r>
            <w:r w:rsidR="00BC6C72" w:rsidRPr="00BC2F20">
              <w:rPr>
                <w:rFonts w:ascii="Times New Roman" w:hAnsi="Times New Roman"/>
                <w:sz w:val="24"/>
                <w:szCs w:val="24"/>
              </w:rPr>
              <w:t xml:space="preserve"> sankirtų su kitų ES struktūrinių fondų, kitos ES finansinės paramos ar kitos tarptautinės paramos priemonėmis nenustatyta</w:t>
            </w:r>
            <w:r w:rsidR="00C2004A">
              <w:rPr>
                <w:rFonts w:ascii="Times New Roman" w:hAnsi="Times New Roman"/>
                <w:sz w:val="24"/>
                <w:szCs w:val="24"/>
              </w:rPr>
              <w:t>.</w:t>
            </w:r>
            <w:r w:rsidR="0023485D">
              <w:rPr>
                <w:rFonts w:ascii="Times New Roman" w:hAnsi="Times New Roman"/>
                <w:sz w:val="24"/>
                <w:szCs w:val="24"/>
              </w:rPr>
              <w:t xml:space="preserve"> </w:t>
            </w:r>
          </w:p>
          <w:p w:rsidR="00C2004A" w:rsidRDefault="00C2004A" w:rsidP="00BC6C72">
            <w:pPr>
              <w:tabs>
                <w:tab w:val="left" w:pos="567"/>
              </w:tabs>
              <w:jc w:val="both"/>
              <w:rPr>
                <w:rFonts w:ascii="Times New Roman" w:hAnsi="Times New Roman"/>
                <w:sz w:val="24"/>
                <w:szCs w:val="24"/>
              </w:rPr>
            </w:pPr>
          </w:p>
          <w:p w:rsidR="00C2004A" w:rsidRPr="00C2004A" w:rsidRDefault="00C2004A" w:rsidP="004A42A5">
            <w:pPr>
              <w:tabs>
                <w:tab w:val="left" w:pos="567"/>
              </w:tabs>
              <w:jc w:val="both"/>
              <w:rPr>
                <w:rFonts w:ascii="Times New Roman" w:hAnsi="Times New Roman"/>
                <w:color w:val="FF0000"/>
                <w:sz w:val="24"/>
                <w:szCs w:val="24"/>
              </w:rPr>
            </w:pPr>
          </w:p>
        </w:tc>
      </w:tr>
      <w:tr w:rsidR="00FB6137" w:rsidRPr="00807A15" w:rsidTr="00465660">
        <w:tc>
          <w:tcPr>
            <w:tcW w:w="567" w:type="dxa"/>
          </w:tcPr>
          <w:p w:rsidR="00FB6137" w:rsidRPr="00BB7DD5" w:rsidRDefault="00BB7DD5" w:rsidP="00BB7DD5">
            <w:pPr>
              <w:tabs>
                <w:tab w:val="left" w:pos="567"/>
              </w:tabs>
              <w:rPr>
                <w:rFonts w:ascii="Times New Roman" w:hAnsi="Times New Roman"/>
                <w:sz w:val="24"/>
                <w:szCs w:val="24"/>
              </w:rPr>
            </w:pPr>
            <w:r>
              <w:rPr>
                <w:rFonts w:ascii="Times New Roman" w:hAnsi="Times New Roman"/>
                <w:sz w:val="24"/>
                <w:szCs w:val="24"/>
              </w:rPr>
              <w:t>21.</w:t>
            </w: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Priemonės sankirtos su iš valstybės biudžeto programų finansuojamomis veiklomis</w:t>
            </w:r>
          </w:p>
        </w:tc>
        <w:tc>
          <w:tcPr>
            <w:tcW w:w="6945" w:type="dxa"/>
          </w:tcPr>
          <w:p w:rsidR="001110B3" w:rsidRPr="00807A15" w:rsidRDefault="001D1C11" w:rsidP="001D1C11">
            <w:pPr>
              <w:tabs>
                <w:tab w:val="left" w:pos="567"/>
              </w:tabs>
              <w:jc w:val="both"/>
              <w:rPr>
                <w:rFonts w:ascii="Times New Roman" w:hAnsi="Times New Roman"/>
                <w:sz w:val="24"/>
                <w:szCs w:val="24"/>
              </w:rPr>
            </w:pPr>
            <w:r>
              <w:rPr>
                <w:rFonts w:ascii="Times New Roman" w:hAnsi="Times New Roman"/>
                <w:sz w:val="24"/>
                <w:szCs w:val="24"/>
              </w:rPr>
              <w:t xml:space="preserve">Analogiškos priemonės veiklos iš </w:t>
            </w:r>
            <w:r w:rsidR="00555660" w:rsidRPr="00807A15">
              <w:rPr>
                <w:rFonts w:ascii="Times New Roman" w:hAnsi="Times New Roman"/>
                <w:sz w:val="24"/>
                <w:szCs w:val="24"/>
              </w:rPr>
              <w:t xml:space="preserve">valstybės biudžeto programų </w:t>
            </w:r>
            <w:r>
              <w:rPr>
                <w:rFonts w:ascii="Times New Roman" w:hAnsi="Times New Roman"/>
                <w:sz w:val="24"/>
                <w:szCs w:val="24"/>
              </w:rPr>
              <w:t xml:space="preserve">nėra finansuojamos, todėl sankirtų tarp </w:t>
            </w:r>
            <w:r w:rsidR="00345AAD">
              <w:rPr>
                <w:rFonts w:ascii="Times New Roman" w:hAnsi="Times New Roman"/>
                <w:sz w:val="24"/>
                <w:szCs w:val="24"/>
              </w:rPr>
              <w:t>P</w:t>
            </w:r>
            <w:r>
              <w:rPr>
                <w:rFonts w:ascii="Times New Roman" w:hAnsi="Times New Roman"/>
                <w:sz w:val="24"/>
                <w:szCs w:val="24"/>
              </w:rPr>
              <w:t>riemonės veiklų ir veiklų, finansuojamų iš valstybės biudžeto programų, nėra.</w:t>
            </w:r>
          </w:p>
        </w:tc>
      </w:tr>
      <w:tr w:rsidR="00FB6137" w:rsidRPr="00807A15" w:rsidTr="00465660">
        <w:tc>
          <w:tcPr>
            <w:tcW w:w="10348" w:type="dxa"/>
            <w:gridSpan w:val="3"/>
            <w:shd w:val="clear" w:color="auto" w:fill="F2F2F2" w:themeFill="background1" w:themeFillShade="F2"/>
          </w:tcPr>
          <w:p w:rsidR="00FB6137" w:rsidRPr="00807A15" w:rsidRDefault="00FB6137" w:rsidP="00465660">
            <w:pPr>
              <w:tabs>
                <w:tab w:val="left" w:pos="567"/>
              </w:tabs>
              <w:jc w:val="center"/>
              <w:rPr>
                <w:rFonts w:ascii="Times New Roman" w:hAnsi="Times New Roman"/>
                <w:sz w:val="24"/>
                <w:szCs w:val="24"/>
              </w:rPr>
            </w:pPr>
            <w:r w:rsidRPr="00807A15">
              <w:rPr>
                <w:rFonts w:ascii="Times New Roman" w:hAnsi="Times New Roman"/>
                <w:sz w:val="24"/>
                <w:szCs w:val="24"/>
              </w:rPr>
              <w:t>VI. P</w:t>
            </w:r>
            <w:r w:rsidRPr="00807A15">
              <w:rPr>
                <w:rFonts w:ascii="Times New Roman" w:hAnsi="Times New Roman"/>
                <w:bCs/>
                <w:sz w:val="24"/>
                <w:szCs w:val="24"/>
              </w:rPr>
              <w:t>riemonės įgyvendinimo stebėsenos rodikliai</w:t>
            </w:r>
          </w:p>
        </w:tc>
      </w:tr>
      <w:tr w:rsidR="00FB6137" w:rsidRPr="00807A15" w:rsidTr="00465660">
        <w:tc>
          <w:tcPr>
            <w:tcW w:w="567" w:type="dxa"/>
          </w:tcPr>
          <w:p w:rsidR="00FB6137" w:rsidRPr="00BB7DD5" w:rsidRDefault="00BB7DD5" w:rsidP="00BB7DD5">
            <w:pPr>
              <w:tabs>
                <w:tab w:val="left" w:pos="567"/>
              </w:tabs>
              <w:rPr>
                <w:rFonts w:ascii="Times New Roman" w:hAnsi="Times New Roman"/>
                <w:sz w:val="24"/>
                <w:szCs w:val="24"/>
              </w:rPr>
            </w:pPr>
            <w:r>
              <w:rPr>
                <w:rFonts w:ascii="Times New Roman" w:hAnsi="Times New Roman"/>
                <w:sz w:val="24"/>
                <w:szCs w:val="24"/>
              </w:rPr>
              <w:t>22.</w:t>
            </w: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Nacionalinių stebėsenos rodiklių nustatymo poreikis</w:t>
            </w:r>
          </w:p>
        </w:tc>
        <w:tc>
          <w:tcPr>
            <w:tcW w:w="6945" w:type="dxa"/>
          </w:tcPr>
          <w:p w:rsidR="001110B3" w:rsidRPr="00807A15" w:rsidRDefault="001110B3" w:rsidP="00B374E5">
            <w:pPr>
              <w:tabs>
                <w:tab w:val="left" w:pos="567"/>
              </w:tabs>
              <w:jc w:val="both"/>
              <w:rPr>
                <w:rFonts w:ascii="Times New Roman" w:hAnsi="Times New Roman"/>
                <w:sz w:val="24"/>
                <w:szCs w:val="24"/>
              </w:rPr>
            </w:pPr>
            <w:r w:rsidRPr="001110B3">
              <w:rPr>
                <w:rFonts w:ascii="Times New Roman" w:hAnsi="Times New Roman"/>
                <w:sz w:val="24"/>
                <w:szCs w:val="24"/>
              </w:rPr>
              <w:t>Nacionaliniai stebėsenos rodikliai su siektinomis reikšmėmis iki 2018 metų ir 2023 metų pabaigos yra nustatomi, nes veiksmų programoje nustatytų stebėsenos rodiklių nepakanka siekiant užtikrinti tinkamą i</w:t>
            </w:r>
            <w:r w:rsidR="00345AAD">
              <w:rPr>
                <w:rFonts w:ascii="Times New Roman" w:hAnsi="Times New Roman"/>
                <w:sz w:val="24"/>
                <w:szCs w:val="24"/>
              </w:rPr>
              <w:t>r kokybišką P</w:t>
            </w:r>
            <w:r w:rsidRPr="001110B3">
              <w:rPr>
                <w:rFonts w:ascii="Times New Roman" w:hAnsi="Times New Roman"/>
                <w:sz w:val="24"/>
                <w:szCs w:val="24"/>
              </w:rPr>
              <w:t>riemonės įgyvendinimo stebėseną, t. y. veiksmų programos stebėsenos rodikliai nepakankamai atspindi pagal</w:t>
            </w:r>
            <w:r w:rsidR="00345AAD">
              <w:rPr>
                <w:rFonts w:ascii="Times New Roman" w:hAnsi="Times New Roman"/>
                <w:sz w:val="24"/>
                <w:szCs w:val="24"/>
              </w:rPr>
              <w:t xml:space="preserve"> P</w:t>
            </w:r>
            <w:r w:rsidR="00B374E5">
              <w:rPr>
                <w:rFonts w:ascii="Times New Roman" w:hAnsi="Times New Roman"/>
                <w:sz w:val="24"/>
                <w:szCs w:val="24"/>
              </w:rPr>
              <w:t xml:space="preserve">riemonę remiamų veiklų </w:t>
            </w:r>
            <w:r w:rsidR="00B374E5" w:rsidRPr="00B374E5">
              <w:rPr>
                <w:rFonts w:ascii="Times New Roman" w:hAnsi="Times New Roman"/>
                <w:sz w:val="24"/>
                <w:szCs w:val="24"/>
              </w:rPr>
              <w:t>pobūdį</w:t>
            </w:r>
            <w:r w:rsidR="00FE3246">
              <w:rPr>
                <w:rFonts w:ascii="Times New Roman" w:hAnsi="Times New Roman"/>
                <w:sz w:val="24"/>
                <w:szCs w:val="24"/>
              </w:rPr>
              <w:t xml:space="preserve">, </w:t>
            </w:r>
            <w:r w:rsidR="00345AAD">
              <w:rPr>
                <w:rFonts w:ascii="Times New Roman" w:hAnsi="Times New Roman"/>
                <w:sz w:val="24"/>
                <w:szCs w:val="24"/>
              </w:rPr>
              <w:t>taip pat P</w:t>
            </w:r>
            <w:r w:rsidR="00FE3246" w:rsidRPr="00E418CC">
              <w:rPr>
                <w:rFonts w:ascii="Times New Roman" w:hAnsi="Times New Roman"/>
                <w:sz w:val="24"/>
                <w:szCs w:val="24"/>
              </w:rPr>
              <w:t xml:space="preserve">riemonės rezultatyvumui stebėti reikalingi rodikliai, kurie būtų skaičiuojami pagal projektų duomenis. </w:t>
            </w:r>
          </w:p>
        </w:tc>
      </w:tr>
      <w:tr w:rsidR="00FB6137" w:rsidRPr="00807A15" w:rsidTr="00465660">
        <w:tc>
          <w:tcPr>
            <w:tcW w:w="10348" w:type="dxa"/>
            <w:gridSpan w:val="3"/>
            <w:shd w:val="clear" w:color="auto" w:fill="F2F2F2" w:themeFill="background1" w:themeFillShade="F2"/>
          </w:tcPr>
          <w:p w:rsidR="00FB6137" w:rsidRPr="00807A15" w:rsidRDefault="00FB6137" w:rsidP="00465660">
            <w:pPr>
              <w:tabs>
                <w:tab w:val="left" w:pos="567"/>
              </w:tabs>
              <w:ind w:left="34"/>
              <w:jc w:val="center"/>
              <w:rPr>
                <w:rFonts w:ascii="Times New Roman" w:hAnsi="Times New Roman"/>
                <w:sz w:val="24"/>
                <w:szCs w:val="24"/>
              </w:rPr>
            </w:pPr>
            <w:r w:rsidRPr="00807A15">
              <w:rPr>
                <w:rFonts w:ascii="Times New Roman" w:hAnsi="Times New Roman"/>
                <w:bCs/>
                <w:sz w:val="24"/>
                <w:szCs w:val="24"/>
              </w:rPr>
              <w:lastRenderedPageBreak/>
              <w:t>VII. Priemonės finansavimo šaltiniai</w:t>
            </w:r>
          </w:p>
        </w:tc>
      </w:tr>
      <w:tr w:rsidR="00FB6137" w:rsidRPr="00807A15" w:rsidTr="00465660">
        <w:tc>
          <w:tcPr>
            <w:tcW w:w="567" w:type="dxa"/>
          </w:tcPr>
          <w:p w:rsidR="00FB6137" w:rsidRPr="00DA64D9" w:rsidRDefault="00DA64D9" w:rsidP="00DA64D9">
            <w:pPr>
              <w:tabs>
                <w:tab w:val="left" w:pos="567"/>
              </w:tabs>
              <w:rPr>
                <w:rFonts w:ascii="Times New Roman" w:hAnsi="Times New Roman"/>
                <w:sz w:val="24"/>
                <w:szCs w:val="24"/>
              </w:rPr>
            </w:pPr>
            <w:r>
              <w:rPr>
                <w:rFonts w:ascii="Times New Roman" w:hAnsi="Times New Roman"/>
                <w:sz w:val="24"/>
                <w:szCs w:val="24"/>
              </w:rPr>
              <w:t>23.</w:t>
            </w:r>
          </w:p>
        </w:tc>
        <w:tc>
          <w:tcPr>
            <w:tcW w:w="2836" w:type="dxa"/>
          </w:tcPr>
          <w:p w:rsidR="00FB6137" w:rsidRPr="00240B58" w:rsidRDefault="00FB6137" w:rsidP="00465660">
            <w:pPr>
              <w:tabs>
                <w:tab w:val="left" w:pos="567"/>
              </w:tabs>
              <w:rPr>
                <w:rFonts w:ascii="Times New Roman" w:hAnsi="Times New Roman"/>
                <w:sz w:val="24"/>
                <w:szCs w:val="24"/>
              </w:rPr>
            </w:pPr>
            <w:r w:rsidRPr="00240B58">
              <w:rPr>
                <w:rFonts w:ascii="Times New Roman" w:hAnsi="Times New Roman"/>
                <w:sz w:val="24"/>
                <w:szCs w:val="24"/>
              </w:rPr>
              <w:t>Priemonei skiriamo finansavimo sumos pagrindimas</w:t>
            </w:r>
          </w:p>
        </w:tc>
        <w:tc>
          <w:tcPr>
            <w:tcW w:w="6945" w:type="dxa"/>
          </w:tcPr>
          <w:p w:rsidR="005D47DF" w:rsidRDefault="00197915" w:rsidP="00463464">
            <w:pPr>
              <w:tabs>
                <w:tab w:val="left" w:pos="567"/>
              </w:tabs>
              <w:jc w:val="both"/>
              <w:rPr>
                <w:rFonts w:ascii="Times New Roman" w:hAnsi="Times New Roman"/>
                <w:sz w:val="24"/>
                <w:szCs w:val="24"/>
              </w:rPr>
            </w:pPr>
            <w:r>
              <w:rPr>
                <w:rFonts w:ascii="Times New Roman" w:hAnsi="Times New Roman"/>
                <w:sz w:val="24"/>
                <w:szCs w:val="24"/>
                <w:lang w:eastAsia="lt-LT"/>
              </w:rPr>
              <w:t xml:space="preserve">Priemonės </w:t>
            </w:r>
            <w:r w:rsidR="005D47DF">
              <w:rPr>
                <w:rFonts w:ascii="Times New Roman" w:hAnsi="Times New Roman"/>
                <w:sz w:val="24"/>
                <w:szCs w:val="24"/>
                <w:lang w:eastAsia="lt-LT"/>
              </w:rPr>
              <w:t xml:space="preserve">veiklos atrinktos iš </w:t>
            </w:r>
            <w:r w:rsidRPr="00CB16D1">
              <w:rPr>
                <w:rFonts w:ascii="Times New Roman" w:hAnsi="Times New Roman"/>
                <w:sz w:val="24"/>
                <w:szCs w:val="24"/>
              </w:rPr>
              <w:t>Sveikatos netolygumų mažinimo Lietuvoje 2014−2023 m. veiksmų plano</w:t>
            </w:r>
            <w:r w:rsidR="00CB16D1">
              <w:rPr>
                <w:rFonts w:ascii="Times New Roman" w:hAnsi="Times New Roman"/>
                <w:sz w:val="24"/>
                <w:szCs w:val="24"/>
              </w:rPr>
              <w:t xml:space="preserve">, iš </w:t>
            </w:r>
            <w:r w:rsidRPr="00CB16D1">
              <w:rPr>
                <w:rFonts w:ascii="Times New Roman" w:hAnsi="Times New Roman"/>
                <w:sz w:val="24"/>
                <w:szCs w:val="24"/>
              </w:rPr>
              <w:t>Sveiko senėjimo užtikrinimo Lietuvoje 2014−2023 m. veiksmų plano</w:t>
            </w:r>
            <w:r w:rsidR="00CB16D1">
              <w:rPr>
                <w:rFonts w:ascii="Times New Roman" w:hAnsi="Times New Roman"/>
                <w:sz w:val="24"/>
                <w:szCs w:val="24"/>
              </w:rPr>
              <w:t xml:space="preserve"> bei </w:t>
            </w:r>
            <w:r w:rsidR="00CB16D1" w:rsidRPr="005D47DF">
              <w:rPr>
                <w:rFonts w:ascii="Times New Roman" w:hAnsi="Times New Roman"/>
                <w:sz w:val="24"/>
                <w:szCs w:val="24"/>
              </w:rPr>
              <w:t xml:space="preserve">iš </w:t>
            </w:r>
            <w:r w:rsidR="001B1842" w:rsidRPr="005D47DF">
              <w:rPr>
                <w:rFonts w:ascii="Times New Roman" w:hAnsi="Times New Roman"/>
                <w:sz w:val="24"/>
                <w:szCs w:val="24"/>
              </w:rPr>
              <w:t>Nacionalinė</w:t>
            </w:r>
            <w:r w:rsidR="001B1842">
              <w:rPr>
                <w:rFonts w:ascii="Times New Roman" w:hAnsi="Times New Roman"/>
                <w:sz w:val="24"/>
                <w:szCs w:val="24"/>
              </w:rPr>
              <w:t>s</w:t>
            </w:r>
            <w:r w:rsidR="001B1842" w:rsidRPr="005D47DF">
              <w:rPr>
                <w:rFonts w:ascii="Times New Roman" w:hAnsi="Times New Roman"/>
                <w:sz w:val="24"/>
                <w:szCs w:val="24"/>
              </w:rPr>
              <w:t xml:space="preserve"> vėžio profilaktikos ir kontrolės 2014–2025 metų programos </w:t>
            </w:r>
            <w:r w:rsidR="001B1842">
              <w:rPr>
                <w:rFonts w:ascii="Times New Roman" w:hAnsi="Times New Roman"/>
                <w:sz w:val="24"/>
                <w:szCs w:val="24"/>
              </w:rPr>
              <w:t xml:space="preserve">ir </w:t>
            </w:r>
            <w:r w:rsidR="005D47DF" w:rsidRPr="005D47DF">
              <w:rPr>
                <w:rFonts w:ascii="Times New Roman" w:hAnsi="Times New Roman"/>
                <w:sz w:val="24"/>
                <w:szCs w:val="24"/>
              </w:rPr>
              <w:t>Nacionalinės vėžio profilaktikos ir kontrolės 2014−2025 metų programos įgyvendinimo 2017−2019 metais priemonių</w:t>
            </w:r>
            <w:r w:rsidR="005D47DF">
              <w:rPr>
                <w:rFonts w:ascii="Times New Roman" w:hAnsi="Times New Roman"/>
                <w:sz w:val="24"/>
                <w:szCs w:val="24"/>
              </w:rPr>
              <w:t xml:space="preserve"> plano</w:t>
            </w:r>
            <w:r w:rsidR="001B1842">
              <w:rPr>
                <w:rFonts w:ascii="Times New Roman" w:hAnsi="Times New Roman"/>
                <w:sz w:val="24"/>
                <w:szCs w:val="24"/>
              </w:rPr>
              <w:t xml:space="preserve">. </w:t>
            </w:r>
            <w:r w:rsidR="005D47DF" w:rsidRPr="005D47DF">
              <w:rPr>
                <w:rFonts w:ascii="Times New Roman" w:hAnsi="Times New Roman"/>
                <w:sz w:val="24"/>
                <w:szCs w:val="24"/>
              </w:rPr>
              <w:t xml:space="preserve"> </w:t>
            </w:r>
          </w:p>
          <w:p w:rsidR="005D47DF" w:rsidRDefault="001B1842" w:rsidP="00463464">
            <w:pPr>
              <w:tabs>
                <w:tab w:val="left" w:pos="567"/>
              </w:tabs>
              <w:jc w:val="both"/>
              <w:rPr>
                <w:rFonts w:ascii="Times New Roman" w:hAnsi="Times New Roman"/>
                <w:sz w:val="24"/>
                <w:szCs w:val="24"/>
              </w:rPr>
            </w:pPr>
            <w:r>
              <w:rPr>
                <w:rFonts w:ascii="Times New Roman" w:hAnsi="Times New Roman"/>
                <w:sz w:val="24"/>
                <w:szCs w:val="24"/>
              </w:rPr>
              <w:t xml:space="preserve">Priemonės veikloms įgyvendinti lėšų numatyta tiek, kad būtų galima pasiekti suplanuotus rodiklius bei kokybiškai ir savalaikiai įgyvendinti </w:t>
            </w:r>
          </w:p>
          <w:p w:rsidR="00CB16D1" w:rsidRPr="00197915" w:rsidRDefault="001B1842" w:rsidP="00463464">
            <w:pPr>
              <w:tabs>
                <w:tab w:val="left" w:pos="567"/>
              </w:tabs>
              <w:jc w:val="both"/>
              <w:rPr>
                <w:rFonts w:ascii="Times New Roman" w:hAnsi="Times New Roman"/>
                <w:sz w:val="24"/>
                <w:szCs w:val="24"/>
              </w:rPr>
            </w:pPr>
            <w:r>
              <w:rPr>
                <w:rFonts w:ascii="Times New Roman" w:hAnsi="Times New Roman"/>
                <w:sz w:val="24"/>
                <w:szCs w:val="24"/>
              </w:rPr>
              <w:t>projektus.</w:t>
            </w:r>
          </w:p>
        </w:tc>
      </w:tr>
      <w:tr w:rsidR="00FB6137" w:rsidRPr="00807A15" w:rsidTr="00465660">
        <w:tc>
          <w:tcPr>
            <w:tcW w:w="567" w:type="dxa"/>
          </w:tcPr>
          <w:p w:rsidR="00FB6137" w:rsidRPr="00DA64D9" w:rsidRDefault="00DA64D9" w:rsidP="00DA64D9">
            <w:pPr>
              <w:tabs>
                <w:tab w:val="left" w:pos="567"/>
              </w:tabs>
              <w:rPr>
                <w:rFonts w:ascii="Times New Roman" w:hAnsi="Times New Roman"/>
                <w:sz w:val="24"/>
                <w:szCs w:val="24"/>
              </w:rPr>
            </w:pPr>
            <w:r>
              <w:rPr>
                <w:rFonts w:ascii="Times New Roman" w:hAnsi="Times New Roman"/>
                <w:sz w:val="24"/>
                <w:szCs w:val="24"/>
              </w:rPr>
              <w:t>24.</w:t>
            </w:r>
          </w:p>
        </w:tc>
        <w:tc>
          <w:tcPr>
            <w:tcW w:w="2836" w:type="dxa"/>
          </w:tcPr>
          <w:p w:rsidR="00FB6137" w:rsidRPr="00240B58" w:rsidDel="00A8791D" w:rsidRDefault="00FB6137" w:rsidP="00465660">
            <w:pPr>
              <w:tabs>
                <w:tab w:val="left" w:pos="567"/>
              </w:tabs>
              <w:rPr>
                <w:rFonts w:ascii="Times New Roman" w:hAnsi="Times New Roman"/>
                <w:sz w:val="24"/>
                <w:szCs w:val="24"/>
              </w:rPr>
            </w:pPr>
            <w:r w:rsidRPr="00240B58">
              <w:rPr>
                <w:rFonts w:ascii="Times New Roman" w:hAnsi="Times New Roman"/>
                <w:sz w:val="24"/>
                <w:szCs w:val="24"/>
              </w:rPr>
              <w:t>Priemonei skiriamų ES struktūrinių fondų lėšų pagrindimas</w:t>
            </w:r>
          </w:p>
        </w:tc>
        <w:tc>
          <w:tcPr>
            <w:tcW w:w="6945" w:type="dxa"/>
          </w:tcPr>
          <w:p w:rsidR="00382B48" w:rsidRPr="00807A15" w:rsidDel="00A8791D" w:rsidRDefault="00345AAD" w:rsidP="00240B58">
            <w:pPr>
              <w:tabs>
                <w:tab w:val="left" w:pos="567"/>
              </w:tabs>
              <w:jc w:val="both"/>
              <w:rPr>
                <w:rFonts w:ascii="Times New Roman" w:hAnsi="Times New Roman"/>
                <w:sz w:val="24"/>
                <w:szCs w:val="24"/>
              </w:rPr>
            </w:pPr>
            <w:r>
              <w:rPr>
                <w:rFonts w:ascii="Times New Roman" w:hAnsi="Times New Roman"/>
                <w:sz w:val="24"/>
                <w:szCs w:val="24"/>
              </w:rPr>
              <w:t>Kadangi P</w:t>
            </w:r>
            <w:r w:rsidR="00382B48" w:rsidRPr="007831F5">
              <w:rPr>
                <w:rFonts w:ascii="Times New Roman" w:hAnsi="Times New Roman"/>
                <w:sz w:val="24"/>
                <w:szCs w:val="24"/>
              </w:rPr>
              <w:t xml:space="preserve">riemonei numatoma taikyti negrąžinamąją subsidiją, </w:t>
            </w:r>
            <w:r w:rsidR="00BE7B41">
              <w:rPr>
                <w:rFonts w:ascii="Times New Roman" w:hAnsi="Times New Roman"/>
                <w:sz w:val="24"/>
                <w:szCs w:val="24"/>
              </w:rPr>
              <w:t>skiriamo finansavimo (ES ir VB) lėšos sudaro 95 proc., o projekto vykdytojo lėšos sudaro 5 proc. (2,5 proc. kitos viešosios lėšos ir 2,5 proc. privačios lėšos) Priemonės įgyvendinimui suplanuotų lėšų vertės. Požymių, patvirtinančių valstybės pagalbos draudimą, nenustatyta.</w:t>
            </w:r>
          </w:p>
        </w:tc>
      </w:tr>
      <w:tr w:rsidR="00FB6137" w:rsidRPr="00807A15" w:rsidTr="00465660">
        <w:tc>
          <w:tcPr>
            <w:tcW w:w="567" w:type="dxa"/>
          </w:tcPr>
          <w:p w:rsidR="00FB6137" w:rsidRPr="00DA64D9" w:rsidRDefault="00DA64D9" w:rsidP="00DA64D9">
            <w:pPr>
              <w:tabs>
                <w:tab w:val="left" w:pos="567"/>
              </w:tabs>
              <w:rPr>
                <w:rFonts w:ascii="Times New Roman" w:hAnsi="Times New Roman"/>
                <w:sz w:val="24"/>
                <w:szCs w:val="24"/>
              </w:rPr>
            </w:pPr>
            <w:r>
              <w:rPr>
                <w:rFonts w:ascii="Times New Roman" w:hAnsi="Times New Roman"/>
                <w:sz w:val="24"/>
                <w:szCs w:val="24"/>
              </w:rPr>
              <w:t>25.</w:t>
            </w:r>
          </w:p>
        </w:tc>
        <w:tc>
          <w:tcPr>
            <w:tcW w:w="2836" w:type="dxa"/>
          </w:tcPr>
          <w:p w:rsidR="00FB6137" w:rsidRPr="00A534B7" w:rsidRDefault="00FB6137" w:rsidP="00465660">
            <w:pPr>
              <w:tabs>
                <w:tab w:val="left" w:pos="567"/>
              </w:tabs>
              <w:rPr>
                <w:rFonts w:ascii="Times New Roman" w:hAnsi="Times New Roman"/>
                <w:sz w:val="24"/>
                <w:szCs w:val="24"/>
              </w:rPr>
            </w:pPr>
            <w:r w:rsidRPr="00A534B7">
              <w:rPr>
                <w:rFonts w:ascii="Times New Roman" w:hAnsi="Times New Roman"/>
                <w:sz w:val="24"/>
                <w:szCs w:val="24"/>
              </w:rPr>
              <w:t>Priemonės finansavimo iš Lietuvos Respublikos valstybės biudžeto poreikio pagrindimas (jei taikoma)</w:t>
            </w:r>
          </w:p>
        </w:tc>
        <w:tc>
          <w:tcPr>
            <w:tcW w:w="6945" w:type="dxa"/>
          </w:tcPr>
          <w:p w:rsidR="000F6FA2" w:rsidRPr="00B97B73" w:rsidRDefault="00B97B73" w:rsidP="000F6FA2">
            <w:pPr>
              <w:tabs>
                <w:tab w:val="left" w:pos="567"/>
              </w:tabs>
              <w:jc w:val="both"/>
              <w:rPr>
                <w:rFonts w:ascii="Times New Roman" w:hAnsi="Times New Roman"/>
                <w:sz w:val="24"/>
                <w:szCs w:val="24"/>
              </w:rPr>
            </w:pPr>
            <w:r>
              <w:rPr>
                <w:rFonts w:ascii="Times New Roman" w:hAnsi="Times New Roman"/>
                <w:sz w:val="24"/>
                <w:szCs w:val="24"/>
              </w:rPr>
              <w:t xml:space="preserve">Priemonės įgyvendinimui numatoma </w:t>
            </w:r>
            <w:r w:rsidR="0072395A">
              <w:rPr>
                <w:rFonts w:ascii="Times New Roman" w:hAnsi="Times New Roman"/>
                <w:sz w:val="24"/>
                <w:szCs w:val="24"/>
              </w:rPr>
              <w:t>skirti</w:t>
            </w:r>
            <w:r>
              <w:rPr>
                <w:rFonts w:ascii="Times New Roman" w:hAnsi="Times New Roman"/>
                <w:sz w:val="24"/>
                <w:szCs w:val="24"/>
              </w:rPr>
              <w:t xml:space="preserve"> </w:t>
            </w:r>
            <w:r w:rsidR="00A16B93">
              <w:rPr>
                <w:rFonts w:ascii="Times New Roman" w:hAnsi="Times New Roman"/>
                <w:sz w:val="24"/>
                <w:szCs w:val="24"/>
                <w:lang w:val="en-US"/>
              </w:rPr>
              <w:t>10</w:t>
            </w:r>
            <w:r w:rsidR="00160BD1">
              <w:rPr>
                <w:rFonts w:ascii="Times New Roman" w:hAnsi="Times New Roman"/>
                <w:sz w:val="24"/>
                <w:szCs w:val="24"/>
                <w:lang w:val="en-US"/>
              </w:rPr>
              <w:t xml:space="preserve"> proc.</w:t>
            </w:r>
            <w:r>
              <w:rPr>
                <w:rFonts w:ascii="Times New Roman" w:hAnsi="Times New Roman"/>
                <w:sz w:val="24"/>
                <w:szCs w:val="24"/>
                <w:lang w:val="en-US"/>
              </w:rPr>
              <w:t xml:space="preserve"> </w:t>
            </w:r>
            <w:r w:rsidRPr="00160BD1">
              <w:rPr>
                <w:rFonts w:ascii="Times New Roman" w:hAnsi="Times New Roman"/>
                <w:sz w:val="24"/>
                <w:szCs w:val="24"/>
              </w:rPr>
              <w:t>valstybės</w:t>
            </w:r>
            <w:r>
              <w:rPr>
                <w:rFonts w:ascii="Times New Roman" w:hAnsi="Times New Roman"/>
                <w:sz w:val="24"/>
                <w:szCs w:val="24"/>
              </w:rPr>
              <w:t xml:space="preserve"> biudžeto lė</w:t>
            </w:r>
            <w:r w:rsidR="00B87A2B">
              <w:rPr>
                <w:rFonts w:ascii="Times New Roman" w:hAnsi="Times New Roman"/>
                <w:sz w:val="24"/>
                <w:szCs w:val="24"/>
              </w:rPr>
              <w:t>šų</w:t>
            </w:r>
            <w:r w:rsidR="0072395A">
              <w:rPr>
                <w:rFonts w:ascii="Times New Roman" w:hAnsi="Times New Roman"/>
                <w:sz w:val="24"/>
                <w:szCs w:val="24"/>
              </w:rPr>
              <w:t xml:space="preserve"> nuo bendros tinkamų finansuoti išlaidų vertės.</w:t>
            </w:r>
            <w:r w:rsidR="00A16B93">
              <w:rPr>
                <w:rFonts w:ascii="Times New Roman" w:hAnsi="Times New Roman"/>
                <w:sz w:val="24"/>
                <w:szCs w:val="24"/>
              </w:rPr>
              <w:t xml:space="preserve"> </w:t>
            </w:r>
            <w:r w:rsidR="00B608A9">
              <w:rPr>
                <w:rFonts w:ascii="Times New Roman" w:hAnsi="Times New Roman"/>
                <w:sz w:val="24"/>
                <w:szCs w:val="24"/>
              </w:rPr>
              <w:t xml:space="preserve">Lėšų </w:t>
            </w:r>
            <w:r w:rsidR="009B40D7">
              <w:rPr>
                <w:rFonts w:ascii="Times New Roman" w:hAnsi="Times New Roman"/>
                <w:sz w:val="24"/>
                <w:szCs w:val="24"/>
              </w:rPr>
              <w:t>skyrimas</w:t>
            </w:r>
            <w:r w:rsidR="00B608A9">
              <w:rPr>
                <w:rFonts w:ascii="Times New Roman" w:hAnsi="Times New Roman"/>
                <w:sz w:val="24"/>
                <w:szCs w:val="24"/>
              </w:rPr>
              <w:t xml:space="preserve"> iš Lietuvos Respublikos biudžeto yra būtinas, nes NVO, tradicinės religinės bendruomenės ir sveikatos priežiūros specialistų asociacijos nėra pelno siekiantys ūkio subjektai ir negali arba nedidele dalimi gali savo lėšomis prisidėti prie Priemonės veiklų įgyvendinimo.</w:t>
            </w:r>
          </w:p>
        </w:tc>
      </w:tr>
      <w:tr w:rsidR="00FB6137" w:rsidRPr="00807A15" w:rsidTr="00465660">
        <w:tc>
          <w:tcPr>
            <w:tcW w:w="567" w:type="dxa"/>
          </w:tcPr>
          <w:p w:rsidR="00FB6137" w:rsidRPr="00DA64D9" w:rsidRDefault="00DA64D9" w:rsidP="00DA64D9">
            <w:pPr>
              <w:tabs>
                <w:tab w:val="left" w:pos="567"/>
              </w:tabs>
              <w:rPr>
                <w:rFonts w:ascii="Times New Roman" w:hAnsi="Times New Roman"/>
                <w:sz w:val="24"/>
                <w:szCs w:val="24"/>
              </w:rPr>
            </w:pPr>
            <w:r>
              <w:rPr>
                <w:rFonts w:ascii="Times New Roman" w:hAnsi="Times New Roman"/>
                <w:sz w:val="24"/>
                <w:szCs w:val="24"/>
              </w:rPr>
              <w:t>26.</w:t>
            </w:r>
          </w:p>
        </w:tc>
        <w:tc>
          <w:tcPr>
            <w:tcW w:w="2836" w:type="dxa"/>
          </w:tcPr>
          <w:p w:rsidR="00FB6137" w:rsidRPr="00A534B7" w:rsidRDefault="00FB6137" w:rsidP="00465660">
            <w:pPr>
              <w:tabs>
                <w:tab w:val="left" w:pos="567"/>
              </w:tabs>
              <w:rPr>
                <w:rFonts w:ascii="Times New Roman" w:hAnsi="Times New Roman"/>
                <w:sz w:val="24"/>
                <w:szCs w:val="24"/>
              </w:rPr>
            </w:pPr>
            <w:r w:rsidRPr="00A534B7">
              <w:rPr>
                <w:rFonts w:ascii="Times New Roman" w:hAnsi="Times New Roman"/>
                <w:sz w:val="24"/>
                <w:szCs w:val="24"/>
              </w:rPr>
              <w:t>Priemonės finansavimo iš savivaldybių biudžetų poreikio pagrindimas (jei taikoma)</w:t>
            </w:r>
          </w:p>
        </w:tc>
        <w:tc>
          <w:tcPr>
            <w:tcW w:w="6945" w:type="dxa"/>
          </w:tcPr>
          <w:p w:rsidR="0072395A" w:rsidRDefault="00A534B7" w:rsidP="0072395A">
            <w:pPr>
              <w:tabs>
                <w:tab w:val="left" w:pos="567"/>
              </w:tabs>
              <w:jc w:val="both"/>
              <w:rPr>
                <w:rFonts w:ascii="Times New Roman" w:hAnsi="Times New Roman"/>
                <w:sz w:val="24"/>
                <w:szCs w:val="24"/>
              </w:rPr>
            </w:pPr>
            <w:r>
              <w:rPr>
                <w:rFonts w:ascii="Times New Roman" w:hAnsi="Times New Roman"/>
                <w:sz w:val="24"/>
                <w:szCs w:val="24"/>
              </w:rPr>
              <w:t>Netaikoma</w:t>
            </w:r>
          </w:p>
          <w:p w:rsidR="006B2335" w:rsidRPr="00807A15" w:rsidRDefault="006B2335" w:rsidP="00160BD1">
            <w:pPr>
              <w:tabs>
                <w:tab w:val="left" w:pos="567"/>
              </w:tabs>
              <w:jc w:val="both"/>
              <w:rPr>
                <w:rFonts w:ascii="Times New Roman" w:hAnsi="Times New Roman"/>
                <w:sz w:val="24"/>
                <w:szCs w:val="24"/>
              </w:rPr>
            </w:pPr>
          </w:p>
        </w:tc>
      </w:tr>
      <w:tr w:rsidR="00FB6137" w:rsidRPr="00807A15" w:rsidTr="00465660">
        <w:tc>
          <w:tcPr>
            <w:tcW w:w="567" w:type="dxa"/>
          </w:tcPr>
          <w:p w:rsidR="00FB6137" w:rsidRPr="00DA64D9" w:rsidRDefault="00DA64D9" w:rsidP="00DA64D9">
            <w:pPr>
              <w:tabs>
                <w:tab w:val="left" w:pos="567"/>
              </w:tabs>
              <w:rPr>
                <w:rFonts w:ascii="Times New Roman" w:hAnsi="Times New Roman"/>
                <w:sz w:val="24"/>
                <w:szCs w:val="24"/>
              </w:rPr>
            </w:pPr>
            <w:r>
              <w:rPr>
                <w:rFonts w:ascii="Times New Roman" w:hAnsi="Times New Roman"/>
                <w:sz w:val="24"/>
                <w:szCs w:val="24"/>
              </w:rPr>
              <w:t>27.</w:t>
            </w:r>
          </w:p>
        </w:tc>
        <w:tc>
          <w:tcPr>
            <w:tcW w:w="2836" w:type="dxa"/>
          </w:tcPr>
          <w:p w:rsidR="00FB6137" w:rsidRPr="00A534B7" w:rsidRDefault="00FB6137" w:rsidP="00465660">
            <w:pPr>
              <w:tabs>
                <w:tab w:val="left" w:pos="567"/>
              </w:tabs>
              <w:rPr>
                <w:rFonts w:ascii="Times New Roman" w:hAnsi="Times New Roman"/>
                <w:sz w:val="24"/>
                <w:szCs w:val="24"/>
              </w:rPr>
            </w:pPr>
            <w:r w:rsidRPr="00A534B7">
              <w:rPr>
                <w:rFonts w:ascii="Times New Roman" w:hAnsi="Times New Roman"/>
                <w:sz w:val="24"/>
                <w:szCs w:val="24"/>
              </w:rPr>
              <w:t>Priemonės finansavimo iš projektų vykdytojų ir (arba) partnerių lėšų, finansuojamų iš valstybės biudžeto arba viešųjų lėšų, poreikio pagrindimas (jei taikoma)</w:t>
            </w:r>
          </w:p>
        </w:tc>
        <w:tc>
          <w:tcPr>
            <w:tcW w:w="6945" w:type="dxa"/>
          </w:tcPr>
          <w:p w:rsidR="006B2335" w:rsidRPr="00807A15" w:rsidRDefault="00A534B7" w:rsidP="00647A78">
            <w:pPr>
              <w:tabs>
                <w:tab w:val="left" w:pos="567"/>
              </w:tabs>
              <w:jc w:val="both"/>
              <w:rPr>
                <w:rFonts w:ascii="Times New Roman" w:hAnsi="Times New Roman"/>
                <w:sz w:val="24"/>
                <w:szCs w:val="24"/>
              </w:rPr>
            </w:pPr>
            <w:r>
              <w:rPr>
                <w:rFonts w:ascii="Times New Roman" w:hAnsi="Times New Roman"/>
                <w:sz w:val="24"/>
                <w:szCs w:val="24"/>
              </w:rPr>
              <w:t xml:space="preserve">Priemonės finansavimui projektų vykdytojų lėšų numatyta skirti 5 proc. (2,5 proc. kitos viešosios lėšos ir 2,5 proc. privačios lėšos) nuo bendros tinkamų finansuoti išlaidų vertės. </w:t>
            </w:r>
            <w:r w:rsidR="00303303">
              <w:rPr>
                <w:rFonts w:ascii="Times New Roman" w:hAnsi="Times New Roman"/>
                <w:sz w:val="24"/>
                <w:szCs w:val="24"/>
              </w:rPr>
              <w:t xml:space="preserve">Projektų vykdytojų lėšų dalis numatyta 5 proc. dydžio todėl, kad projektų vykdytojai – NVO, tradicinės religinės bendruomenės, sveikatos priežiūros specialistų asociacijos nėra pelno siekiantys ūkio subjektai ir negali arba nedidele dalimi gali savo lėšomis prisidėti prie Priemonės veiklų įgyvendinimo. </w:t>
            </w:r>
          </w:p>
        </w:tc>
      </w:tr>
      <w:tr w:rsidR="00FB6137" w:rsidRPr="00807A15" w:rsidTr="00465660">
        <w:tc>
          <w:tcPr>
            <w:tcW w:w="10348" w:type="dxa"/>
            <w:gridSpan w:val="3"/>
            <w:shd w:val="clear" w:color="auto" w:fill="F2F2F2" w:themeFill="background1" w:themeFillShade="F2"/>
          </w:tcPr>
          <w:p w:rsidR="00FB6137" w:rsidRPr="00807A15" w:rsidRDefault="00FB6137" w:rsidP="00465660">
            <w:pPr>
              <w:tabs>
                <w:tab w:val="left" w:pos="567"/>
              </w:tabs>
              <w:ind w:left="34"/>
              <w:jc w:val="center"/>
              <w:rPr>
                <w:rFonts w:ascii="Times New Roman" w:hAnsi="Times New Roman"/>
                <w:sz w:val="24"/>
                <w:szCs w:val="24"/>
              </w:rPr>
            </w:pPr>
            <w:r w:rsidRPr="00807A15">
              <w:rPr>
                <w:rFonts w:ascii="Times New Roman" w:hAnsi="Times New Roman"/>
                <w:sz w:val="24"/>
                <w:szCs w:val="24"/>
              </w:rPr>
              <w:t>Papildoma informacija</w:t>
            </w:r>
          </w:p>
        </w:tc>
      </w:tr>
      <w:tr w:rsidR="00FB6137" w:rsidRPr="00807A15" w:rsidTr="00465660">
        <w:tc>
          <w:tcPr>
            <w:tcW w:w="567" w:type="dxa"/>
          </w:tcPr>
          <w:p w:rsidR="00FB6137" w:rsidRPr="00DA64D9" w:rsidRDefault="00DA64D9" w:rsidP="00DA64D9">
            <w:pPr>
              <w:tabs>
                <w:tab w:val="left" w:pos="567"/>
              </w:tabs>
              <w:rPr>
                <w:rFonts w:ascii="Times New Roman" w:hAnsi="Times New Roman"/>
                <w:sz w:val="24"/>
                <w:szCs w:val="24"/>
              </w:rPr>
            </w:pPr>
            <w:r>
              <w:rPr>
                <w:rFonts w:ascii="Times New Roman" w:hAnsi="Times New Roman"/>
                <w:sz w:val="24"/>
                <w:szCs w:val="24"/>
              </w:rPr>
              <w:t>28.</w:t>
            </w: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Priemonės suderinimas su kitomis institucijomis</w:t>
            </w:r>
          </w:p>
        </w:tc>
        <w:tc>
          <w:tcPr>
            <w:tcW w:w="6945" w:type="dxa"/>
          </w:tcPr>
          <w:p w:rsidR="000F6FA2" w:rsidRDefault="00303303" w:rsidP="00422F90">
            <w:pPr>
              <w:widowControl w:val="0"/>
              <w:shd w:val="clear" w:color="auto" w:fill="FFFFFF"/>
              <w:autoSpaceDE w:val="0"/>
              <w:autoSpaceDN w:val="0"/>
              <w:adjustRightInd w:val="0"/>
              <w:ind w:right="10"/>
              <w:jc w:val="both"/>
              <w:rPr>
                <w:rFonts w:ascii="Times New Roman" w:hAnsi="Times New Roman"/>
                <w:sz w:val="24"/>
                <w:szCs w:val="24"/>
              </w:rPr>
            </w:pPr>
            <w:r>
              <w:rPr>
                <w:rFonts w:ascii="Times New Roman" w:hAnsi="Times New Roman"/>
                <w:sz w:val="24"/>
                <w:szCs w:val="24"/>
              </w:rPr>
              <w:t>Priemonė suderinta su:</w:t>
            </w:r>
          </w:p>
          <w:p w:rsidR="00303303" w:rsidRDefault="00303303" w:rsidP="00303303">
            <w:pPr>
              <w:widowControl w:val="0"/>
              <w:shd w:val="clear" w:color="auto" w:fill="FFFFFF"/>
              <w:autoSpaceDE w:val="0"/>
              <w:autoSpaceDN w:val="0"/>
              <w:adjustRightInd w:val="0"/>
              <w:ind w:right="10"/>
              <w:jc w:val="both"/>
              <w:rPr>
                <w:rFonts w:ascii="Times New Roman" w:hAnsi="Times New Roman"/>
                <w:sz w:val="24"/>
                <w:szCs w:val="24"/>
              </w:rPr>
            </w:pPr>
            <w:r>
              <w:rPr>
                <w:rFonts w:ascii="Times New Roman" w:hAnsi="Times New Roman"/>
                <w:sz w:val="24"/>
                <w:szCs w:val="24"/>
              </w:rPr>
              <w:t>- Švietimo ir mokslo ministerija (2016-08-16 raštas Nr. SR-3601). Atsižvelgta į pateiktą pastabą.</w:t>
            </w:r>
          </w:p>
          <w:p w:rsidR="00303303" w:rsidRPr="00303303" w:rsidRDefault="00303303" w:rsidP="00303303">
            <w:pPr>
              <w:widowControl w:val="0"/>
              <w:shd w:val="clear" w:color="auto" w:fill="FFFFFF"/>
              <w:autoSpaceDE w:val="0"/>
              <w:autoSpaceDN w:val="0"/>
              <w:adjustRightInd w:val="0"/>
              <w:ind w:right="10"/>
              <w:jc w:val="both"/>
              <w:rPr>
                <w:rFonts w:ascii="Times New Roman" w:hAnsi="Times New Roman"/>
                <w:sz w:val="24"/>
                <w:szCs w:val="24"/>
              </w:rPr>
            </w:pPr>
            <w:r>
              <w:rPr>
                <w:rFonts w:ascii="Times New Roman" w:hAnsi="Times New Roman"/>
                <w:sz w:val="24"/>
                <w:szCs w:val="24"/>
              </w:rPr>
              <w:t xml:space="preserve">- Socialinės apsaugos ir darbo ministerija (2016-08-31 raštas Nr. (21.1.17-81)SD-5296). Neatsižvelgta į pateiktą pastabą dėl galimos diskriminacijos pasirinkus pareiškėjus tradicines religines bendruomenes, nes pagal Religinių bendruomenių ir bendrijų įstatymo 5 str. </w:t>
            </w:r>
            <w:r w:rsidR="00B749F7">
              <w:rPr>
                <w:rFonts w:ascii="Times New Roman" w:hAnsi="Times New Roman"/>
                <w:sz w:val="24"/>
                <w:szCs w:val="24"/>
              </w:rPr>
              <w:t xml:space="preserve">valstybė pripažįsta tik devynias tradicines Lietuvoje egzistuojančias religines bendruomenes ir bendrijas. </w:t>
            </w:r>
          </w:p>
        </w:tc>
      </w:tr>
      <w:tr w:rsidR="00FB6137" w:rsidRPr="00807A15" w:rsidTr="00465660">
        <w:tc>
          <w:tcPr>
            <w:tcW w:w="567" w:type="dxa"/>
          </w:tcPr>
          <w:p w:rsidR="00FB6137" w:rsidRPr="00DA64D9" w:rsidRDefault="00DA64D9" w:rsidP="00DA64D9">
            <w:pPr>
              <w:tabs>
                <w:tab w:val="left" w:pos="567"/>
              </w:tabs>
              <w:rPr>
                <w:rFonts w:ascii="Times New Roman" w:hAnsi="Times New Roman"/>
                <w:sz w:val="24"/>
                <w:szCs w:val="24"/>
              </w:rPr>
            </w:pPr>
            <w:r>
              <w:rPr>
                <w:rFonts w:ascii="Times New Roman" w:hAnsi="Times New Roman"/>
                <w:sz w:val="24"/>
                <w:szCs w:val="24"/>
              </w:rPr>
              <w:t>29.</w:t>
            </w: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Kita</w:t>
            </w:r>
          </w:p>
        </w:tc>
        <w:tc>
          <w:tcPr>
            <w:tcW w:w="6945" w:type="dxa"/>
          </w:tcPr>
          <w:p w:rsidR="006B2335" w:rsidRPr="00807A15" w:rsidRDefault="006B2335" w:rsidP="00465660">
            <w:pPr>
              <w:tabs>
                <w:tab w:val="left" w:pos="567"/>
              </w:tabs>
              <w:jc w:val="both"/>
              <w:rPr>
                <w:rFonts w:ascii="Times New Roman" w:hAnsi="Times New Roman"/>
                <w:sz w:val="24"/>
                <w:szCs w:val="24"/>
              </w:rPr>
            </w:pPr>
            <w:r>
              <w:rPr>
                <w:rFonts w:ascii="Times New Roman" w:hAnsi="Times New Roman"/>
                <w:sz w:val="24"/>
                <w:szCs w:val="24"/>
              </w:rPr>
              <w:t>Netaikoma.</w:t>
            </w:r>
          </w:p>
        </w:tc>
      </w:tr>
    </w:tbl>
    <w:p w:rsidR="006943E0" w:rsidRPr="009813AB" w:rsidRDefault="005535B8" w:rsidP="009A0DAD"/>
    <w:sectPr w:rsidR="006943E0" w:rsidRPr="009813AB" w:rsidSect="00283EF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822F6"/>
    <w:multiLevelType w:val="multilevel"/>
    <w:tmpl w:val="59DA8D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b w:val="0"/>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3C0AD5"/>
    <w:multiLevelType w:val="hybridMultilevel"/>
    <w:tmpl w:val="A7840BAE"/>
    <w:lvl w:ilvl="0" w:tplc="78D020DA">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867F36"/>
    <w:multiLevelType w:val="hybridMultilevel"/>
    <w:tmpl w:val="FBA6A8E8"/>
    <w:lvl w:ilvl="0" w:tplc="B226083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7225B06"/>
    <w:multiLevelType w:val="hybridMultilevel"/>
    <w:tmpl w:val="7DCEC83C"/>
    <w:lvl w:ilvl="0" w:tplc="75B03DBA">
      <w:start w:val="1"/>
      <w:numFmt w:val="decimal"/>
      <w:lvlText w:val="%1."/>
      <w:lvlJc w:val="left"/>
      <w:pPr>
        <w:ind w:left="1004"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9274A8"/>
    <w:multiLevelType w:val="hybridMultilevel"/>
    <w:tmpl w:val="8AA8C186"/>
    <w:lvl w:ilvl="0" w:tplc="F3AEE186">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AA16728"/>
    <w:multiLevelType w:val="multilevel"/>
    <w:tmpl w:val="467EE296"/>
    <w:lvl w:ilvl="0">
      <w:start w:val="1"/>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1179" w:hanging="720"/>
      </w:pPr>
      <w:rPr>
        <w:rFonts w:hint="default"/>
        <w:i w:val="0"/>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3C524A3F"/>
    <w:multiLevelType w:val="multilevel"/>
    <w:tmpl w:val="AF666782"/>
    <w:lvl w:ilvl="0">
      <w:start w:val="1"/>
      <w:numFmt w:val="decimal"/>
      <w:lvlText w:val="7.1.3.%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5.1.2.%3."/>
      <w:lvlJc w:val="left"/>
      <w:pPr>
        <w:tabs>
          <w:tab w:val="num" w:pos="720"/>
        </w:tabs>
        <w:ind w:left="720" w:hanging="720"/>
      </w:pPr>
      <w:rPr>
        <w:rFonts w:hint="default"/>
      </w:rPr>
    </w:lvl>
    <w:lvl w:ilvl="3">
      <w:start w:val="1"/>
      <w:numFmt w:val="decimal"/>
      <w:lvlText w:val="%1.%2.1.%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D383F04"/>
    <w:multiLevelType w:val="multilevel"/>
    <w:tmpl w:val="71B25926"/>
    <w:lvl w:ilvl="0">
      <w:start w:val="1"/>
      <w:numFmt w:val="decimal"/>
      <w:lvlText w:val="%1"/>
      <w:lvlJc w:val="left"/>
      <w:pPr>
        <w:ind w:left="480" w:hanging="480"/>
      </w:pPr>
      <w:rPr>
        <w:i w:val="0"/>
        <w:color w:val="auto"/>
      </w:rPr>
    </w:lvl>
    <w:lvl w:ilvl="1">
      <w:start w:val="3"/>
      <w:numFmt w:val="decimal"/>
      <w:lvlText w:val="%1.%2"/>
      <w:lvlJc w:val="left"/>
      <w:pPr>
        <w:ind w:left="497" w:hanging="480"/>
      </w:pPr>
      <w:rPr>
        <w:i w:val="0"/>
        <w:color w:val="auto"/>
      </w:rPr>
    </w:lvl>
    <w:lvl w:ilvl="2">
      <w:start w:val="2"/>
      <w:numFmt w:val="decimal"/>
      <w:lvlText w:val="%1.%2.%3"/>
      <w:lvlJc w:val="left"/>
      <w:pPr>
        <w:ind w:left="754" w:hanging="720"/>
      </w:pPr>
      <w:rPr>
        <w:i w:val="0"/>
        <w:color w:val="auto"/>
      </w:rPr>
    </w:lvl>
    <w:lvl w:ilvl="3">
      <w:start w:val="1"/>
      <w:numFmt w:val="decimal"/>
      <w:lvlText w:val="%1.%2.%3.%4"/>
      <w:lvlJc w:val="left"/>
      <w:pPr>
        <w:ind w:left="771" w:hanging="720"/>
      </w:pPr>
      <w:rPr>
        <w:i w:val="0"/>
        <w:color w:val="auto"/>
      </w:rPr>
    </w:lvl>
    <w:lvl w:ilvl="4">
      <w:start w:val="1"/>
      <w:numFmt w:val="decimal"/>
      <w:lvlText w:val="%1.%2.%3.%4.%5"/>
      <w:lvlJc w:val="left"/>
      <w:pPr>
        <w:ind w:left="1148" w:hanging="1080"/>
      </w:pPr>
      <w:rPr>
        <w:i w:val="0"/>
        <w:color w:val="auto"/>
      </w:rPr>
    </w:lvl>
    <w:lvl w:ilvl="5">
      <w:start w:val="1"/>
      <w:numFmt w:val="decimal"/>
      <w:lvlText w:val="%1.%2.%3.%4.%5.%6"/>
      <w:lvlJc w:val="left"/>
      <w:pPr>
        <w:ind w:left="1165" w:hanging="1080"/>
      </w:pPr>
      <w:rPr>
        <w:i w:val="0"/>
        <w:color w:val="auto"/>
      </w:rPr>
    </w:lvl>
    <w:lvl w:ilvl="6">
      <w:start w:val="1"/>
      <w:numFmt w:val="decimal"/>
      <w:lvlText w:val="%1.%2.%3.%4.%5.%6.%7"/>
      <w:lvlJc w:val="left"/>
      <w:pPr>
        <w:ind w:left="1542" w:hanging="1440"/>
      </w:pPr>
      <w:rPr>
        <w:i w:val="0"/>
        <w:color w:val="auto"/>
      </w:rPr>
    </w:lvl>
    <w:lvl w:ilvl="7">
      <w:start w:val="1"/>
      <w:numFmt w:val="decimal"/>
      <w:lvlText w:val="%1.%2.%3.%4.%5.%6.%7.%8"/>
      <w:lvlJc w:val="left"/>
      <w:pPr>
        <w:ind w:left="1559" w:hanging="1440"/>
      </w:pPr>
      <w:rPr>
        <w:i w:val="0"/>
        <w:color w:val="auto"/>
      </w:rPr>
    </w:lvl>
    <w:lvl w:ilvl="8">
      <w:start w:val="1"/>
      <w:numFmt w:val="decimal"/>
      <w:lvlText w:val="%1.%2.%3.%4.%5.%6.%7.%8.%9"/>
      <w:lvlJc w:val="left"/>
      <w:pPr>
        <w:ind w:left="1936" w:hanging="1800"/>
      </w:pPr>
      <w:rPr>
        <w:i w:val="0"/>
        <w:color w:val="auto"/>
      </w:rPr>
    </w:lvl>
  </w:abstractNum>
  <w:abstractNum w:abstractNumId="8" w15:restartNumberingAfterBreak="0">
    <w:nsid w:val="40FF387C"/>
    <w:multiLevelType w:val="hybridMultilevel"/>
    <w:tmpl w:val="E4E83E94"/>
    <w:lvl w:ilvl="0" w:tplc="6F2A41E8">
      <w:start w:val="32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1935E3F"/>
    <w:multiLevelType w:val="hybridMultilevel"/>
    <w:tmpl w:val="B8C2671E"/>
    <w:lvl w:ilvl="0" w:tplc="21B461A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2D351FA"/>
    <w:multiLevelType w:val="hybridMultilevel"/>
    <w:tmpl w:val="6CB48C8C"/>
    <w:lvl w:ilvl="0" w:tplc="CA62BA8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486262"/>
    <w:multiLevelType w:val="hybridMultilevel"/>
    <w:tmpl w:val="3BB2997E"/>
    <w:lvl w:ilvl="0" w:tplc="E6003CD6">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14E5B1E"/>
    <w:multiLevelType w:val="hybridMultilevel"/>
    <w:tmpl w:val="8F54351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54B60659"/>
    <w:multiLevelType w:val="hybridMultilevel"/>
    <w:tmpl w:val="9920108C"/>
    <w:lvl w:ilvl="0" w:tplc="6A3A94DE">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7E77178"/>
    <w:multiLevelType w:val="hybridMultilevel"/>
    <w:tmpl w:val="0E1823EC"/>
    <w:lvl w:ilvl="0" w:tplc="D7208D8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A7F70F3"/>
    <w:multiLevelType w:val="multilevel"/>
    <w:tmpl w:val="C7F4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747F24"/>
    <w:multiLevelType w:val="hybridMultilevel"/>
    <w:tmpl w:val="9B4C21C8"/>
    <w:lvl w:ilvl="0" w:tplc="C01ED4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A42BDB"/>
    <w:multiLevelType w:val="hybridMultilevel"/>
    <w:tmpl w:val="04F81806"/>
    <w:lvl w:ilvl="0" w:tplc="0427000F">
      <w:start w:val="1"/>
      <w:numFmt w:val="decimal"/>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C16626"/>
    <w:multiLevelType w:val="hybridMultilevel"/>
    <w:tmpl w:val="244CDF74"/>
    <w:lvl w:ilvl="0" w:tplc="5D70E7DA">
      <w:start w:val="32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207651F"/>
    <w:multiLevelType w:val="hybridMultilevel"/>
    <w:tmpl w:val="3C12F478"/>
    <w:lvl w:ilvl="0" w:tplc="6812EAE6">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3C75BA"/>
    <w:multiLevelType w:val="multilevel"/>
    <w:tmpl w:val="69044FE0"/>
    <w:lvl w:ilvl="0">
      <w:start w:val="8"/>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790A3B2A"/>
    <w:multiLevelType w:val="hybridMultilevel"/>
    <w:tmpl w:val="E710094A"/>
    <w:lvl w:ilvl="0" w:tplc="9B12758C">
      <w:start w:val="1"/>
      <w:numFmt w:val="decimal"/>
      <w:lvlText w:val="8.3.1.%1."/>
      <w:lvlJc w:val="left"/>
      <w:pPr>
        <w:tabs>
          <w:tab w:val="num" w:pos="502"/>
        </w:tabs>
        <w:ind w:left="502"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7AE86968"/>
    <w:multiLevelType w:val="hybridMultilevel"/>
    <w:tmpl w:val="DC4008A8"/>
    <w:lvl w:ilvl="0" w:tplc="3FC6EDA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E0C5D17"/>
    <w:multiLevelType w:val="hybridMultilevel"/>
    <w:tmpl w:val="C2DC1CD6"/>
    <w:lvl w:ilvl="0" w:tplc="BE9CFCDA">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6"/>
  </w:num>
  <w:num w:numId="4">
    <w:abstractNumId w:val="6"/>
  </w:num>
  <w:num w:numId="5">
    <w:abstractNumId w:val="21"/>
  </w:num>
  <w:num w:numId="6">
    <w:abstractNumId w:val="20"/>
  </w:num>
  <w:num w:numId="7">
    <w:abstractNumId w:val="19"/>
  </w:num>
  <w:num w:numId="8">
    <w:abstractNumId w:val="10"/>
  </w:num>
  <w:num w:numId="9">
    <w:abstractNumId w:val="1"/>
  </w:num>
  <w:num w:numId="10">
    <w:abstractNumId w:val="2"/>
  </w:num>
  <w:num w:numId="11">
    <w:abstractNumId w:val="11"/>
  </w:num>
  <w:num w:numId="12">
    <w:abstractNumId w:val="23"/>
  </w:num>
  <w:num w:numId="13">
    <w:abstractNumId w:val="22"/>
  </w:num>
  <w:num w:numId="14">
    <w:abstractNumId w:val="14"/>
  </w:num>
  <w:num w:numId="15">
    <w:abstractNumId w:val="9"/>
  </w:num>
  <w:num w:numId="16">
    <w:abstractNumId w:val="12"/>
  </w:num>
  <w:num w:numId="17">
    <w:abstractNumId w:val="4"/>
  </w:num>
  <w:num w:numId="18">
    <w:abstractNumId w:val="0"/>
  </w:num>
  <w:num w:numId="19">
    <w:abstractNumId w:val="3"/>
  </w:num>
  <w:num w:numId="20">
    <w:abstractNumId w:val="5"/>
  </w:num>
  <w:num w:numId="21">
    <w:abstractNumId w:val="15"/>
  </w:num>
  <w:num w:numId="22">
    <w:abstractNumId w:val="7"/>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137"/>
    <w:rsid w:val="00002D99"/>
    <w:rsid w:val="00005A41"/>
    <w:rsid w:val="00006201"/>
    <w:rsid w:val="0000708C"/>
    <w:rsid w:val="00015D0C"/>
    <w:rsid w:val="00016640"/>
    <w:rsid w:val="00016F52"/>
    <w:rsid w:val="000276E0"/>
    <w:rsid w:val="00030F87"/>
    <w:rsid w:val="00034728"/>
    <w:rsid w:val="000351E2"/>
    <w:rsid w:val="000357E8"/>
    <w:rsid w:val="0003642A"/>
    <w:rsid w:val="000406F5"/>
    <w:rsid w:val="00043DA8"/>
    <w:rsid w:val="00047D05"/>
    <w:rsid w:val="00052426"/>
    <w:rsid w:val="00054355"/>
    <w:rsid w:val="00060144"/>
    <w:rsid w:val="00064CF6"/>
    <w:rsid w:val="0006713C"/>
    <w:rsid w:val="0007696C"/>
    <w:rsid w:val="00081C35"/>
    <w:rsid w:val="00082C09"/>
    <w:rsid w:val="000860B2"/>
    <w:rsid w:val="000868F5"/>
    <w:rsid w:val="00097E62"/>
    <w:rsid w:val="000A0ABE"/>
    <w:rsid w:val="000A1C94"/>
    <w:rsid w:val="000A7016"/>
    <w:rsid w:val="000A7527"/>
    <w:rsid w:val="000B662C"/>
    <w:rsid w:val="000C001F"/>
    <w:rsid w:val="000C305F"/>
    <w:rsid w:val="000C30F4"/>
    <w:rsid w:val="000D0678"/>
    <w:rsid w:val="000D20CC"/>
    <w:rsid w:val="000D240C"/>
    <w:rsid w:val="000D3853"/>
    <w:rsid w:val="000E48A8"/>
    <w:rsid w:val="000F329F"/>
    <w:rsid w:val="000F6FA2"/>
    <w:rsid w:val="0010100D"/>
    <w:rsid w:val="001043B2"/>
    <w:rsid w:val="001065C9"/>
    <w:rsid w:val="001110B3"/>
    <w:rsid w:val="001245AA"/>
    <w:rsid w:val="0013265E"/>
    <w:rsid w:val="001374BB"/>
    <w:rsid w:val="00140E3E"/>
    <w:rsid w:val="0014118C"/>
    <w:rsid w:val="00144E86"/>
    <w:rsid w:val="001506A7"/>
    <w:rsid w:val="00154392"/>
    <w:rsid w:val="00154D1F"/>
    <w:rsid w:val="00155043"/>
    <w:rsid w:val="0015598B"/>
    <w:rsid w:val="00160BD1"/>
    <w:rsid w:val="00162CA1"/>
    <w:rsid w:val="0017132E"/>
    <w:rsid w:val="00172B91"/>
    <w:rsid w:val="001774CD"/>
    <w:rsid w:val="00186A0F"/>
    <w:rsid w:val="00193291"/>
    <w:rsid w:val="0019605E"/>
    <w:rsid w:val="00196710"/>
    <w:rsid w:val="00197915"/>
    <w:rsid w:val="001B06EC"/>
    <w:rsid w:val="001B1842"/>
    <w:rsid w:val="001B36C9"/>
    <w:rsid w:val="001B3ABE"/>
    <w:rsid w:val="001C7C82"/>
    <w:rsid w:val="001D1C11"/>
    <w:rsid w:val="001D468C"/>
    <w:rsid w:val="001D7608"/>
    <w:rsid w:val="001E17B4"/>
    <w:rsid w:val="001E25DB"/>
    <w:rsid w:val="001E2A51"/>
    <w:rsid w:val="001E3F49"/>
    <w:rsid w:val="001F06D0"/>
    <w:rsid w:val="001F4492"/>
    <w:rsid w:val="001F48B2"/>
    <w:rsid w:val="001F622B"/>
    <w:rsid w:val="001F65D1"/>
    <w:rsid w:val="001F6B3D"/>
    <w:rsid w:val="00201979"/>
    <w:rsid w:val="00201E69"/>
    <w:rsid w:val="00210F13"/>
    <w:rsid w:val="002121B6"/>
    <w:rsid w:val="00214ACA"/>
    <w:rsid w:val="00214B8D"/>
    <w:rsid w:val="00221D0B"/>
    <w:rsid w:val="00226B31"/>
    <w:rsid w:val="002276B0"/>
    <w:rsid w:val="00227BD4"/>
    <w:rsid w:val="00231B17"/>
    <w:rsid w:val="0023485D"/>
    <w:rsid w:val="00234D76"/>
    <w:rsid w:val="002354CF"/>
    <w:rsid w:val="00235DB6"/>
    <w:rsid w:val="00240B58"/>
    <w:rsid w:val="0024463E"/>
    <w:rsid w:val="00251C42"/>
    <w:rsid w:val="00251EA6"/>
    <w:rsid w:val="00256222"/>
    <w:rsid w:val="0026153F"/>
    <w:rsid w:val="0026574E"/>
    <w:rsid w:val="00265D44"/>
    <w:rsid w:val="00267DCD"/>
    <w:rsid w:val="00272E71"/>
    <w:rsid w:val="00273D87"/>
    <w:rsid w:val="0028205B"/>
    <w:rsid w:val="00282F41"/>
    <w:rsid w:val="00283EFC"/>
    <w:rsid w:val="00287A55"/>
    <w:rsid w:val="002902E4"/>
    <w:rsid w:val="002924A7"/>
    <w:rsid w:val="002A3619"/>
    <w:rsid w:val="002A49CC"/>
    <w:rsid w:val="002A4A38"/>
    <w:rsid w:val="002A70FB"/>
    <w:rsid w:val="002B2AA3"/>
    <w:rsid w:val="002B473D"/>
    <w:rsid w:val="002B5AE9"/>
    <w:rsid w:val="002B7F60"/>
    <w:rsid w:val="002C1EAB"/>
    <w:rsid w:val="002C23BF"/>
    <w:rsid w:val="002D1B54"/>
    <w:rsid w:val="002D203D"/>
    <w:rsid w:val="002D46DB"/>
    <w:rsid w:val="002D4CFE"/>
    <w:rsid w:val="002D67E4"/>
    <w:rsid w:val="002E24E9"/>
    <w:rsid w:val="002E3277"/>
    <w:rsid w:val="002E3852"/>
    <w:rsid w:val="002E43B3"/>
    <w:rsid w:val="002E5EDD"/>
    <w:rsid w:val="002F268A"/>
    <w:rsid w:val="00300542"/>
    <w:rsid w:val="00303303"/>
    <w:rsid w:val="003035CB"/>
    <w:rsid w:val="0030375C"/>
    <w:rsid w:val="00304138"/>
    <w:rsid w:val="003050A5"/>
    <w:rsid w:val="00310EB2"/>
    <w:rsid w:val="00327B5F"/>
    <w:rsid w:val="003305A1"/>
    <w:rsid w:val="00331886"/>
    <w:rsid w:val="00334673"/>
    <w:rsid w:val="00342A53"/>
    <w:rsid w:val="00345370"/>
    <w:rsid w:val="003456F7"/>
    <w:rsid w:val="00345AAD"/>
    <w:rsid w:val="00347D3B"/>
    <w:rsid w:val="00354BC3"/>
    <w:rsid w:val="00361782"/>
    <w:rsid w:val="003626FA"/>
    <w:rsid w:val="003635CE"/>
    <w:rsid w:val="003721E4"/>
    <w:rsid w:val="00375A56"/>
    <w:rsid w:val="003769FB"/>
    <w:rsid w:val="00377D53"/>
    <w:rsid w:val="003806F8"/>
    <w:rsid w:val="00382B48"/>
    <w:rsid w:val="0038424A"/>
    <w:rsid w:val="00384535"/>
    <w:rsid w:val="00384B3E"/>
    <w:rsid w:val="00397E89"/>
    <w:rsid w:val="003A1A39"/>
    <w:rsid w:val="003A23FA"/>
    <w:rsid w:val="003A6480"/>
    <w:rsid w:val="003B0C9C"/>
    <w:rsid w:val="003B1604"/>
    <w:rsid w:val="003B2CF6"/>
    <w:rsid w:val="003C2EC0"/>
    <w:rsid w:val="003C31F8"/>
    <w:rsid w:val="003C3EF3"/>
    <w:rsid w:val="003C4A36"/>
    <w:rsid w:val="003D2210"/>
    <w:rsid w:val="003D58F7"/>
    <w:rsid w:val="003D7DD1"/>
    <w:rsid w:val="003E11A9"/>
    <w:rsid w:val="003E36FA"/>
    <w:rsid w:val="003E674C"/>
    <w:rsid w:val="003F4E3A"/>
    <w:rsid w:val="003F53D4"/>
    <w:rsid w:val="00401DB2"/>
    <w:rsid w:val="004023F5"/>
    <w:rsid w:val="00404FD9"/>
    <w:rsid w:val="00411374"/>
    <w:rsid w:val="00413472"/>
    <w:rsid w:val="0041584B"/>
    <w:rsid w:val="00417A69"/>
    <w:rsid w:val="00422F90"/>
    <w:rsid w:val="004261C7"/>
    <w:rsid w:val="00435928"/>
    <w:rsid w:val="00436003"/>
    <w:rsid w:val="00436CEA"/>
    <w:rsid w:val="0044177D"/>
    <w:rsid w:val="00443965"/>
    <w:rsid w:val="00446448"/>
    <w:rsid w:val="00452A7D"/>
    <w:rsid w:val="00454FD9"/>
    <w:rsid w:val="00462BEF"/>
    <w:rsid w:val="00463464"/>
    <w:rsid w:val="00465BE6"/>
    <w:rsid w:val="004673D5"/>
    <w:rsid w:val="00475F78"/>
    <w:rsid w:val="00476C4B"/>
    <w:rsid w:val="00476FBA"/>
    <w:rsid w:val="00482A04"/>
    <w:rsid w:val="00485142"/>
    <w:rsid w:val="0048548F"/>
    <w:rsid w:val="00485A4F"/>
    <w:rsid w:val="00490C0A"/>
    <w:rsid w:val="00493111"/>
    <w:rsid w:val="004A2097"/>
    <w:rsid w:val="004A42A5"/>
    <w:rsid w:val="004A7DCB"/>
    <w:rsid w:val="004B48A4"/>
    <w:rsid w:val="004B4FA3"/>
    <w:rsid w:val="004B5F04"/>
    <w:rsid w:val="004D203F"/>
    <w:rsid w:val="004D7064"/>
    <w:rsid w:val="004E24A4"/>
    <w:rsid w:val="0050482F"/>
    <w:rsid w:val="00504C81"/>
    <w:rsid w:val="00505630"/>
    <w:rsid w:val="00525842"/>
    <w:rsid w:val="00530918"/>
    <w:rsid w:val="00532544"/>
    <w:rsid w:val="0053282D"/>
    <w:rsid w:val="00532907"/>
    <w:rsid w:val="00533937"/>
    <w:rsid w:val="00535D03"/>
    <w:rsid w:val="005408C5"/>
    <w:rsid w:val="00542501"/>
    <w:rsid w:val="005454B9"/>
    <w:rsid w:val="005535B8"/>
    <w:rsid w:val="00555660"/>
    <w:rsid w:val="00562C9C"/>
    <w:rsid w:val="005652D7"/>
    <w:rsid w:val="005653FE"/>
    <w:rsid w:val="005740DA"/>
    <w:rsid w:val="00574DC7"/>
    <w:rsid w:val="005756FC"/>
    <w:rsid w:val="0058142B"/>
    <w:rsid w:val="00583DCE"/>
    <w:rsid w:val="00597BA8"/>
    <w:rsid w:val="005C3222"/>
    <w:rsid w:val="005C37AA"/>
    <w:rsid w:val="005C5F72"/>
    <w:rsid w:val="005D0812"/>
    <w:rsid w:val="005D1D2A"/>
    <w:rsid w:val="005D47DF"/>
    <w:rsid w:val="005D5E47"/>
    <w:rsid w:val="005E1B1B"/>
    <w:rsid w:val="005E1EA1"/>
    <w:rsid w:val="005E6839"/>
    <w:rsid w:val="005F19CA"/>
    <w:rsid w:val="005F5C62"/>
    <w:rsid w:val="005F64D6"/>
    <w:rsid w:val="00600D5D"/>
    <w:rsid w:val="00601647"/>
    <w:rsid w:val="00605A1E"/>
    <w:rsid w:val="006079DA"/>
    <w:rsid w:val="00610A03"/>
    <w:rsid w:val="00611E89"/>
    <w:rsid w:val="00614C6A"/>
    <w:rsid w:val="00616AF2"/>
    <w:rsid w:val="006178CF"/>
    <w:rsid w:val="006202B4"/>
    <w:rsid w:val="0063152D"/>
    <w:rsid w:val="0063316D"/>
    <w:rsid w:val="00633D44"/>
    <w:rsid w:val="006348A4"/>
    <w:rsid w:val="00635592"/>
    <w:rsid w:val="0063708A"/>
    <w:rsid w:val="0064051A"/>
    <w:rsid w:val="00640BC8"/>
    <w:rsid w:val="00645D22"/>
    <w:rsid w:val="00645D2C"/>
    <w:rsid w:val="00646B8A"/>
    <w:rsid w:val="00647418"/>
    <w:rsid w:val="00647A78"/>
    <w:rsid w:val="006518B8"/>
    <w:rsid w:val="00655CB2"/>
    <w:rsid w:val="006565B8"/>
    <w:rsid w:val="00656D8E"/>
    <w:rsid w:val="006609C0"/>
    <w:rsid w:val="006640EE"/>
    <w:rsid w:val="00664C1F"/>
    <w:rsid w:val="006659C8"/>
    <w:rsid w:val="00671575"/>
    <w:rsid w:val="00671B3F"/>
    <w:rsid w:val="00673A29"/>
    <w:rsid w:val="00674FE0"/>
    <w:rsid w:val="006811AC"/>
    <w:rsid w:val="00685946"/>
    <w:rsid w:val="006864FC"/>
    <w:rsid w:val="006929C3"/>
    <w:rsid w:val="006959EF"/>
    <w:rsid w:val="00695A78"/>
    <w:rsid w:val="006967C9"/>
    <w:rsid w:val="006B21DE"/>
    <w:rsid w:val="006B2335"/>
    <w:rsid w:val="006B2E8E"/>
    <w:rsid w:val="006B576C"/>
    <w:rsid w:val="006C40A7"/>
    <w:rsid w:val="006C7C73"/>
    <w:rsid w:val="006D54C2"/>
    <w:rsid w:val="006E0A30"/>
    <w:rsid w:val="006E21F7"/>
    <w:rsid w:val="006E5F7D"/>
    <w:rsid w:val="006F3489"/>
    <w:rsid w:val="00701DF6"/>
    <w:rsid w:val="00710826"/>
    <w:rsid w:val="00713353"/>
    <w:rsid w:val="007200C6"/>
    <w:rsid w:val="0072331A"/>
    <w:rsid w:val="0072395A"/>
    <w:rsid w:val="007250BE"/>
    <w:rsid w:val="00726C11"/>
    <w:rsid w:val="007275A7"/>
    <w:rsid w:val="0073115A"/>
    <w:rsid w:val="00731264"/>
    <w:rsid w:val="007402BE"/>
    <w:rsid w:val="00745E03"/>
    <w:rsid w:val="0075551D"/>
    <w:rsid w:val="0076014A"/>
    <w:rsid w:val="0076145C"/>
    <w:rsid w:val="007633A0"/>
    <w:rsid w:val="00765977"/>
    <w:rsid w:val="007661A9"/>
    <w:rsid w:val="00771051"/>
    <w:rsid w:val="00771A54"/>
    <w:rsid w:val="00774669"/>
    <w:rsid w:val="0077505F"/>
    <w:rsid w:val="00780D3E"/>
    <w:rsid w:val="007831F5"/>
    <w:rsid w:val="007864D6"/>
    <w:rsid w:val="0078757B"/>
    <w:rsid w:val="00790891"/>
    <w:rsid w:val="00793311"/>
    <w:rsid w:val="00796471"/>
    <w:rsid w:val="00796C66"/>
    <w:rsid w:val="007A3ACB"/>
    <w:rsid w:val="007B0F51"/>
    <w:rsid w:val="007B1261"/>
    <w:rsid w:val="007B3BFE"/>
    <w:rsid w:val="007B3CC3"/>
    <w:rsid w:val="007C1DBC"/>
    <w:rsid w:val="007C7953"/>
    <w:rsid w:val="007E5B72"/>
    <w:rsid w:val="007E5BA9"/>
    <w:rsid w:val="007F04B3"/>
    <w:rsid w:val="007F1BC4"/>
    <w:rsid w:val="008007D5"/>
    <w:rsid w:val="00802F2D"/>
    <w:rsid w:val="00805EC9"/>
    <w:rsid w:val="0080658C"/>
    <w:rsid w:val="00807A15"/>
    <w:rsid w:val="008109B3"/>
    <w:rsid w:val="0082140B"/>
    <w:rsid w:val="0082157B"/>
    <w:rsid w:val="008270F3"/>
    <w:rsid w:val="008279A5"/>
    <w:rsid w:val="00827AC1"/>
    <w:rsid w:val="00830511"/>
    <w:rsid w:val="00832C1F"/>
    <w:rsid w:val="00843F9E"/>
    <w:rsid w:val="00857D7D"/>
    <w:rsid w:val="00861C2A"/>
    <w:rsid w:val="00865B90"/>
    <w:rsid w:val="0087189E"/>
    <w:rsid w:val="00876492"/>
    <w:rsid w:val="00880792"/>
    <w:rsid w:val="008841A9"/>
    <w:rsid w:val="00885EB0"/>
    <w:rsid w:val="0088611E"/>
    <w:rsid w:val="00886B9C"/>
    <w:rsid w:val="008924BE"/>
    <w:rsid w:val="00893FC1"/>
    <w:rsid w:val="0089770E"/>
    <w:rsid w:val="008A3590"/>
    <w:rsid w:val="008A7955"/>
    <w:rsid w:val="008B31B2"/>
    <w:rsid w:val="008B327B"/>
    <w:rsid w:val="008B3399"/>
    <w:rsid w:val="008D1615"/>
    <w:rsid w:val="008D3D58"/>
    <w:rsid w:val="008D3F72"/>
    <w:rsid w:val="008D54ED"/>
    <w:rsid w:val="008E3E0A"/>
    <w:rsid w:val="008E537A"/>
    <w:rsid w:val="008E5872"/>
    <w:rsid w:val="008E6E7C"/>
    <w:rsid w:val="008F1F4C"/>
    <w:rsid w:val="00903C97"/>
    <w:rsid w:val="00903D1A"/>
    <w:rsid w:val="00904AB6"/>
    <w:rsid w:val="00904D0E"/>
    <w:rsid w:val="00913307"/>
    <w:rsid w:val="00916074"/>
    <w:rsid w:val="00916AB6"/>
    <w:rsid w:val="00921212"/>
    <w:rsid w:val="0092228D"/>
    <w:rsid w:val="0092295F"/>
    <w:rsid w:val="00922FCE"/>
    <w:rsid w:val="00925EC9"/>
    <w:rsid w:val="00927EDC"/>
    <w:rsid w:val="0093033D"/>
    <w:rsid w:val="00931865"/>
    <w:rsid w:val="0093445F"/>
    <w:rsid w:val="009358DE"/>
    <w:rsid w:val="00935A5D"/>
    <w:rsid w:val="00942975"/>
    <w:rsid w:val="009447BC"/>
    <w:rsid w:val="00945A84"/>
    <w:rsid w:val="00946BC2"/>
    <w:rsid w:val="00950282"/>
    <w:rsid w:val="009645BB"/>
    <w:rsid w:val="00964F47"/>
    <w:rsid w:val="00971F2E"/>
    <w:rsid w:val="0097263D"/>
    <w:rsid w:val="00973CBF"/>
    <w:rsid w:val="00974D20"/>
    <w:rsid w:val="009763D5"/>
    <w:rsid w:val="009813AB"/>
    <w:rsid w:val="009817CB"/>
    <w:rsid w:val="00987558"/>
    <w:rsid w:val="00991166"/>
    <w:rsid w:val="00996B78"/>
    <w:rsid w:val="009A0DAD"/>
    <w:rsid w:val="009A17FA"/>
    <w:rsid w:val="009A51E9"/>
    <w:rsid w:val="009B097C"/>
    <w:rsid w:val="009B32AC"/>
    <w:rsid w:val="009B40D7"/>
    <w:rsid w:val="009D4B75"/>
    <w:rsid w:val="009E0F43"/>
    <w:rsid w:val="009E22F1"/>
    <w:rsid w:val="009E38AB"/>
    <w:rsid w:val="009E6589"/>
    <w:rsid w:val="009F7C9E"/>
    <w:rsid w:val="00A06545"/>
    <w:rsid w:val="00A15E09"/>
    <w:rsid w:val="00A16B93"/>
    <w:rsid w:val="00A222C8"/>
    <w:rsid w:val="00A23D17"/>
    <w:rsid w:val="00A308E4"/>
    <w:rsid w:val="00A3192E"/>
    <w:rsid w:val="00A34523"/>
    <w:rsid w:val="00A3485A"/>
    <w:rsid w:val="00A36C9F"/>
    <w:rsid w:val="00A415A4"/>
    <w:rsid w:val="00A47718"/>
    <w:rsid w:val="00A500F9"/>
    <w:rsid w:val="00A50C96"/>
    <w:rsid w:val="00A529C6"/>
    <w:rsid w:val="00A534B7"/>
    <w:rsid w:val="00A60C05"/>
    <w:rsid w:val="00A617B8"/>
    <w:rsid w:val="00A6244E"/>
    <w:rsid w:val="00A6254D"/>
    <w:rsid w:val="00A66ABE"/>
    <w:rsid w:val="00A71D40"/>
    <w:rsid w:val="00A7222B"/>
    <w:rsid w:val="00A737D0"/>
    <w:rsid w:val="00A75D51"/>
    <w:rsid w:val="00A75DE0"/>
    <w:rsid w:val="00A7635A"/>
    <w:rsid w:val="00A80D20"/>
    <w:rsid w:val="00A84155"/>
    <w:rsid w:val="00A85A4E"/>
    <w:rsid w:val="00A8674F"/>
    <w:rsid w:val="00A90E4C"/>
    <w:rsid w:val="00A91B4E"/>
    <w:rsid w:val="00A92E64"/>
    <w:rsid w:val="00A94D29"/>
    <w:rsid w:val="00A95E1B"/>
    <w:rsid w:val="00AA081E"/>
    <w:rsid w:val="00AA0B34"/>
    <w:rsid w:val="00AA0D72"/>
    <w:rsid w:val="00AA6086"/>
    <w:rsid w:val="00AB3B64"/>
    <w:rsid w:val="00AB4F72"/>
    <w:rsid w:val="00AB6E00"/>
    <w:rsid w:val="00AC442D"/>
    <w:rsid w:val="00AC630B"/>
    <w:rsid w:val="00AD1331"/>
    <w:rsid w:val="00AE30AE"/>
    <w:rsid w:val="00AE62B0"/>
    <w:rsid w:val="00AF2982"/>
    <w:rsid w:val="00AF2C10"/>
    <w:rsid w:val="00AF2CFA"/>
    <w:rsid w:val="00AF4772"/>
    <w:rsid w:val="00AF485E"/>
    <w:rsid w:val="00B0166D"/>
    <w:rsid w:val="00B04E52"/>
    <w:rsid w:val="00B057B0"/>
    <w:rsid w:val="00B057F6"/>
    <w:rsid w:val="00B07785"/>
    <w:rsid w:val="00B10676"/>
    <w:rsid w:val="00B1337B"/>
    <w:rsid w:val="00B1374C"/>
    <w:rsid w:val="00B15FF1"/>
    <w:rsid w:val="00B33F5B"/>
    <w:rsid w:val="00B34E71"/>
    <w:rsid w:val="00B374E5"/>
    <w:rsid w:val="00B413B6"/>
    <w:rsid w:val="00B44126"/>
    <w:rsid w:val="00B50CF9"/>
    <w:rsid w:val="00B510E6"/>
    <w:rsid w:val="00B5252E"/>
    <w:rsid w:val="00B52688"/>
    <w:rsid w:val="00B54897"/>
    <w:rsid w:val="00B550FD"/>
    <w:rsid w:val="00B56426"/>
    <w:rsid w:val="00B608A9"/>
    <w:rsid w:val="00B71E9D"/>
    <w:rsid w:val="00B734DB"/>
    <w:rsid w:val="00B749F7"/>
    <w:rsid w:val="00B80F6D"/>
    <w:rsid w:val="00B87A2B"/>
    <w:rsid w:val="00B93469"/>
    <w:rsid w:val="00B9696F"/>
    <w:rsid w:val="00B975D9"/>
    <w:rsid w:val="00B97B73"/>
    <w:rsid w:val="00BA50D0"/>
    <w:rsid w:val="00BA5F6C"/>
    <w:rsid w:val="00BA6B39"/>
    <w:rsid w:val="00BA7CF2"/>
    <w:rsid w:val="00BB13D7"/>
    <w:rsid w:val="00BB7DD5"/>
    <w:rsid w:val="00BC106D"/>
    <w:rsid w:val="00BC2F20"/>
    <w:rsid w:val="00BC4B0B"/>
    <w:rsid w:val="00BC64DC"/>
    <w:rsid w:val="00BC6C72"/>
    <w:rsid w:val="00BC6E86"/>
    <w:rsid w:val="00BD364F"/>
    <w:rsid w:val="00BD6F9C"/>
    <w:rsid w:val="00BE07C4"/>
    <w:rsid w:val="00BE345F"/>
    <w:rsid w:val="00BE4187"/>
    <w:rsid w:val="00BE7B41"/>
    <w:rsid w:val="00BF0EE7"/>
    <w:rsid w:val="00BF409F"/>
    <w:rsid w:val="00BF50B4"/>
    <w:rsid w:val="00C02614"/>
    <w:rsid w:val="00C116F8"/>
    <w:rsid w:val="00C12C01"/>
    <w:rsid w:val="00C173E3"/>
    <w:rsid w:val="00C17526"/>
    <w:rsid w:val="00C2004A"/>
    <w:rsid w:val="00C20BDC"/>
    <w:rsid w:val="00C25234"/>
    <w:rsid w:val="00C26EBD"/>
    <w:rsid w:val="00C3325A"/>
    <w:rsid w:val="00C33E5F"/>
    <w:rsid w:val="00C467CF"/>
    <w:rsid w:val="00C471BD"/>
    <w:rsid w:val="00C4790E"/>
    <w:rsid w:val="00C53704"/>
    <w:rsid w:val="00C57C0A"/>
    <w:rsid w:val="00C60DFB"/>
    <w:rsid w:val="00C62B89"/>
    <w:rsid w:val="00C62DC2"/>
    <w:rsid w:val="00C73521"/>
    <w:rsid w:val="00C736C1"/>
    <w:rsid w:val="00C73CA4"/>
    <w:rsid w:val="00C749FF"/>
    <w:rsid w:val="00C75324"/>
    <w:rsid w:val="00C75EBC"/>
    <w:rsid w:val="00C807DB"/>
    <w:rsid w:val="00C84FAF"/>
    <w:rsid w:val="00C8712C"/>
    <w:rsid w:val="00C92D1E"/>
    <w:rsid w:val="00C93773"/>
    <w:rsid w:val="00CA099C"/>
    <w:rsid w:val="00CA3E34"/>
    <w:rsid w:val="00CA4C74"/>
    <w:rsid w:val="00CB1187"/>
    <w:rsid w:val="00CB16D1"/>
    <w:rsid w:val="00CB2BC5"/>
    <w:rsid w:val="00CB2FA7"/>
    <w:rsid w:val="00CB35C5"/>
    <w:rsid w:val="00CB6A2B"/>
    <w:rsid w:val="00CC53B3"/>
    <w:rsid w:val="00CC6E30"/>
    <w:rsid w:val="00CE197C"/>
    <w:rsid w:val="00CF052F"/>
    <w:rsid w:val="00CF3AF7"/>
    <w:rsid w:val="00CF58F9"/>
    <w:rsid w:val="00D03D55"/>
    <w:rsid w:val="00D0519D"/>
    <w:rsid w:val="00D1024F"/>
    <w:rsid w:val="00D118C8"/>
    <w:rsid w:val="00D1320B"/>
    <w:rsid w:val="00D137AD"/>
    <w:rsid w:val="00D15E12"/>
    <w:rsid w:val="00D20DF3"/>
    <w:rsid w:val="00D22102"/>
    <w:rsid w:val="00D24FD8"/>
    <w:rsid w:val="00D262FE"/>
    <w:rsid w:val="00D271B2"/>
    <w:rsid w:val="00D308DB"/>
    <w:rsid w:val="00D31826"/>
    <w:rsid w:val="00D34BED"/>
    <w:rsid w:val="00D357A2"/>
    <w:rsid w:val="00D36AEC"/>
    <w:rsid w:val="00D4150F"/>
    <w:rsid w:val="00D419A7"/>
    <w:rsid w:val="00D4362F"/>
    <w:rsid w:val="00D43FAF"/>
    <w:rsid w:val="00D46270"/>
    <w:rsid w:val="00D57001"/>
    <w:rsid w:val="00D735E4"/>
    <w:rsid w:val="00D73A9B"/>
    <w:rsid w:val="00D73E9B"/>
    <w:rsid w:val="00D74445"/>
    <w:rsid w:val="00D746DE"/>
    <w:rsid w:val="00D80FAE"/>
    <w:rsid w:val="00D8628A"/>
    <w:rsid w:val="00D87455"/>
    <w:rsid w:val="00D90FA7"/>
    <w:rsid w:val="00D926FF"/>
    <w:rsid w:val="00D955A3"/>
    <w:rsid w:val="00DA1116"/>
    <w:rsid w:val="00DA64D9"/>
    <w:rsid w:val="00DB0A48"/>
    <w:rsid w:val="00DB2611"/>
    <w:rsid w:val="00DB5A30"/>
    <w:rsid w:val="00DC142C"/>
    <w:rsid w:val="00DC772B"/>
    <w:rsid w:val="00DC774C"/>
    <w:rsid w:val="00DC784D"/>
    <w:rsid w:val="00DD30B8"/>
    <w:rsid w:val="00DD4F34"/>
    <w:rsid w:val="00DD6280"/>
    <w:rsid w:val="00DE06AC"/>
    <w:rsid w:val="00DE1B58"/>
    <w:rsid w:val="00DE2844"/>
    <w:rsid w:val="00DE383D"/>
    <w:rsid w:val="00DE7395"/>
    <w:rsid w:val="00DF00F7"/>
    <w:rsid w:val="00DF0862"/>
    <w:rsid w:val="00DF1767"/>
    <w:rsid w:val="00DF2733"/>
    <w:rsid w:val="00DF58E9"/>
    <w:rsid w:val="00DF5E24"/>
    <w:rsid w:val="00DF7F2E"/>
    <w:rsid w:val="00E01350"/>
    <w:rsid w:val="00E024F6"/>
    <w:rsid w:val="00E02666"/>
    <w:rsid w:val="00E0728B"/>
    <w:rsid w:val="00E12662"/>
    <w:rsid w:val="00E223E5"/>
    <w:rsid w:val="00E22F74"/>
    <w:rsid w:val="00E23A83"/>
    <w:rsid w:val="00E24D37"/>
    <w:rsid w:val="00E25373"/>
    <w:rsid w:val="00E26B80"/>
    <w:rsid w:val="00E30325"/>
    <w:rsid w:val="00E30DCC"/>
    <w:rsid w:val="00E315CD"/>
    <w:rsid w:val="00E418CC"/>
    <w:rsid w:val="00E41AD4"/>
    <w:rsid w:val="00E44189"/>
    <w:rsid w:val="00E4519C"/>
    <w:rsid w:val="00E51631"/>
    <w:rsid w:val="00E51A8A"/>
    <w:rsid w:val="00E51F42"/>
    <w:rsid w:val="00E52B2D"/>
    <w:rsid w:val="00E52E97"/>
    <w:rsid w:val="00E54928"/>
    <w:rsid w:val="00E6005B"/>
    <w:rsid w:val="00E6671F"/>
    <w:rsid w:val="00E76920"/>
    <w:rsid w:val="00E92841"/>
    <w:rsid w:val="00EA007C"/>
    <w:rsid w:val="00EA31DA"/>
    <w:rsid w:val="00EA60AC"/>
    <w:rsid w:val="00EA649D"/>
    <w:rsid w:val="00EB4E1D"/>
    <w:rsid w:val="00EB6DEB"/>
    <w:rsid w:val="00EC0E93"/>
    <w:rsid w:val="00EC3A81"/>
    <w:rsid w:val="00EC73C9"/>
    <w:rsid w:val="00ED06EE"/>
    <w:rsid w:val="00ED473C"/>
    <w:rsid w:val="00ED7DB9"/>
    <w:rsid w:val="00EE0289"/>
    <w:rsid w:val="00EF0693"/>
    <w:rsid w:val="00EF1C52"/>
    <w:rsid w:val="00EF2F9D"/>
    <w:rsid w:val="00F06F4B"/>
    <w:rsid w:val="00F1063F"/>
    <w:rsid w:val="00F1067B"/>
    <w:rsid w:val="00F11F68"/>
    <w:rsid w:val="00F17CB1"/>
    <w:rsid w:val="00F2506D"/>
    <w:rsid w:val="00F30F13"/>
    <w:rsid w:val="00F31232"/>
    <w:rsid w:val="00F33A2A"/>
    <w:rsid w:val="00F34AEB"/>
    <w:rsid w:val="00F45CE9"/>
    <w:rsid w:val="00F50759"/>
    <w:rsid w:val="00F50E92"/>
    <w:rsid w:val="00F60515"/>
    <w:rsid w:val="00F61F41"/>
    <w:rsid w:val="00F63243"/>
    <w:rsid w:val="00F7201A"/>
    <w:rsid w:val="00F753A2"/>
    <w:rsid w:val="00F83310"/>
    <w:rsid w:val="00F85E6E"/>
    <w:rsid w:val="00F91972"/>
    <w:rsid w:val="00F91D46"/>
    <w:rsid w:val="00F921C4"/>
    <w:rsid w:val="00F938F2"/>
    <w:rsid w:val="00F9798D"/>
    <w:rsid w:val="00FA5AA7"/>
    <w:rsid w:val="00FA6FCD"/>
    <w:rsid w:val="00FA7B33"/>
    <w:rsid w:val="00FB6137"/>
    <w:rsid w:val="00FC2F9C"/>
    <w:rsid w:val="00FD3E0C"/>
    <w:rsid w:val="00FD6C03"/>
    <w:rsid w:val="00FE0C18"/>
    <w:rsid w:val="00FE0F00"/>
    <w:rsid w:val="00FE3246"/>
    <w:rsid w:val="00FE3403"/>
    <w:rsid w:val="00FE3CA8"/>
    <w:rsid w:val="00FE6DA2"/>
    <w:rsid w:val="00FF5B78"/>
    <w:rsid w:val="00FF5C99"/>
    <w:rsid w:val="00FF6B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DBAB75-EA9C-448A-8C62-4C04F649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B6137"/>
    <w:rPr>
      <w:rFonts w:ascii="Calibri" w:eastAsia="Calibri" w:hAnsi="Calibri" w:cs="Times New Roman"/>
    </w:rPr>
  </w:style>
  <w:style w:type="paragraph" w:styleId="Antrat3">
    <w:name w:val="heading 3"/>
    <w:basedOn w:val="prastasis"/>
    <w:next w:val="prastasis"/>
    <w:link w:val="Antrat3Diagrama"/>
    <w:qFormat/>
    <w:rsid w:val="002E5EDD"/>
    <w:pPr>
      <w:keepNext/>
      <w:spacing w:before="240" w:after="60" w:line="240" w:lineRule="auto"/>
      <w:outlineLvl w:val="2"/>
    </w:pPr>
    <w:rPr>
      <w:rFonts w:ascii="Arial" w:eastAsia="Times New Roman" w:hAnsi="Arial" w:cs="Arial"/>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6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B6137"/>
    <w:pPr>
      <w:ind w:left="720"/>
      <w:contextualSpacing/>
    </w:pPr>
  </w:style>
  <w:style w:type="character" w:styleId="Komentaronuoroda">
    <w:name w:val="annotation reference"/>
    <w:basedOn w:val="Numatytasispastraiposriftas"/>
    <w:uiPriority w:val="99"/>
    <w:semiHidden/>
    <w:unhideWhenUsed/>
    <w:rsid w:val="00FB6137"/>
    <w:rPr>
      <w:sz w:val="16"/>
      <w:szCs w:val="16"/>
    </w:rPr>
  </w:style>
  <w:style w:type="paragraph" w:styleId="Komentarotekstas">
    <w:name w:val="annotation text"/>
    <w:basedOn w:val="prastasis"/>
    <w:link w:val="KomentarotekstasDiagrama"/>
    <w:uiPriority w:val="99"/>
    <w:unhideWhenUsed/>
    <w:rsid w:val="00FB61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613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FB613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6137"/>
    <w:rPr>
      <w:rFonts w:ascii="Tahoma" w:eastAsia="Calibri" w:hAnsi="Tahoma" w:cs="Tahoma"/>
      <w:sz w:val="16"/>
      <w:szCs w:val="16"/>
    </w:rPr>
  </w:style>
  <w:style w:type="paragraph" w:customStyle="1" w:styleId="Default">
    <w:name w:val="Default"/>
    <w:rsid w:val="00AF48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3Diagrama">
    <w:name w:val="Antraštė 3 Diagrama"/>
    <w:basedOn w:val="Numatytasispastraiposriftas"/>
    <w:link w:val="Antrat3"/>
    <w:rsid w:val="002E5EDD"/>
    <w:rPr>
      <w:rFonts w:ascii="Arial" w:eastAsia="Times New Roman" w:hAnsi="Arial" w:cs="Arial"/>
      <w:b/>
      <w:bCs/>
      <w:sz w:val="26"/>
      <w:szCs w:val="26"/>
      <w:lang w:eastAsia="lt-LT"/>
    </w:rPr>
  </w:style>
  <w:style w:type="paragraph" w:customStyle="1" w:styleId="Sraopastraipa1">
    <w:name w:val="Sąrašo pastraipa1"/>
    <w:basedOn w:val="prastasis"/>
    <w:uiPriority w:val="99"/>
    <w:qFormat/>
    <w:rsid w:val="00AC630B"/>
    <w:pPr>
      <w:ind w:left="1296"/>
    </w:pPr>
  </w:style>
  <w:style w:type="paragraph" w:customStyle="1" w:styleId="ListParagraph1">
    <w:name w:val="List Paragraph1"/>
    <w:basedOn w:val="prastasis"/>
    <w:rsid w:val="00ED06EE"/>
    <w:pPr>
      <w:ind w:left="720"/>
      <w:contextualSpacing/>
    </w:pPr>
    <w:rPr>
      <w:rFonts w:eastAsia="Times New Roman"/>
    </w:rPr>
  </w:style>
  <w:style w:type="paragraph" w:styleId="Puslapioinaostekstas">
    <w:name w:val="footnote text"/>
    <w:basedOn w:val="prastasis"/>
    <w:link w:val="PuslapioinaostekstasDiagrama"/>
    <w:uiPriority w:val="99"/>
    <w:semiHidden/>
    <w:rsid w:val="007275A7"/>
    <w:pPr>
      <w:spacing w:after="0" w:line="240" w:lineRule="auto"/>
    </w:pPr>
    <w:rPr>
      <w:rFonts w:cs="Calibri"/>
      <w:sz w:val="20"/>
      <w:szCs w:val="20"/>
    </w:rPr>
  </w:style>
  <w:style w:type="character" w:customStyle="1" w:styleId="PuslapioinaostekstasDiagrama">
    <w:name w:val="Puslapio išnašos tekstas Diagrama"/>
    <w:basedOn w:val="Numatytasispastraiposriftas"/>
    <w:link w:val="Puslapioinaostekstas"/>
    <w:uiPriority w:val="99"/>
    <w:semiHidden/>
    <w:rsid w:val="007275A7"/>
    <w:rPr>
      <w:rFonts w:ascii="Calibri" w:eastAsia="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375A56"/>
    <w:rPr>
      <w:b/>
      <w:bCs/>
    </w:rPr>
  </w:style>
  <w:style w:type="character" w:customStyle="1" w:styleId="KomentarotemaDiagrama">
    <w:name w:val="Komentaro tema Diagrama"/>
    <w:basedOn w:val="KomentarotekstasDiagrama"/>
    <w:link w:val="Komentarotema"/>
    <w:uiPriority w:val="99"/>
    <w:semiHidden/>
    <w:rsid w:val="00375A56"/>
    <w:rPr>
      <w:rFonts w:ascii="Calibri" w:eastAsia="Calibri" w:hAnsi="Calibri" w:cs="Times New Roman"/>
      <w:b/>
      <w:bCs/>
      <w:sz w:val="20"/>
      <w:szCs w:val="20"/>
    </w:rPr>
  </w:style>
  <w:style w:type="paragraph" w:customStyle="1" w:styleId="Pagrindinistekstas1">
    <w:name w:val="Pagrindinis tekstas1"/>
    <w:rsid w:val="0013265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987558"/>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F1067B"/>
    <w:pPr>
      <w:tabs>
        <w:tab w:val="center" w:pos="4680"/>
        <w:tab w:val="right" w:pos="9360"/>
      </w:tabs>
      <w:spacing w:after="0" w:line="240" w:lineRule="auto"/>
    </w:pPr>
    <w:rPr>
      <w:rFonts w:asciiTheme="minorHAnsi" w:eastAsiaTheme="minorEastAsia" w:hAnsiTheme="minorHAnsi" w:cstheme="minorBidi"/>
    </w:rPr>
  </w:style>
  <w:style w:type="character" w:customStyle="1" w:styleId="AntratsDiagrama">
    <w:name w:val="Antraštės Diagrama"/>
    <w:basedOn w:val="Numatytasispastraiposriftas"/>
    <w:link w:val="Antrats"/>
    <w:uiPriority w:val="99"/>
    <w:rsid w:val="00F1067B"/>
    <w:rPr>
      <w:rFonts w:eastAsiaTheme="minorEastAsia"/>
    </w:rPr>
  </w:style>
  <w:style w:type="paragraph" w:styleId="Betarp">
    <w:name w:val="No Spacing"/>
    <w:uiPriority w:val="1"/>
    <w:qFormat/>
    <w:rsid w:val="003050A5"/>
    <w:pPr>
      <w:spacing w:after="0" w:line="240" w:lineRule="auto"/>
    </w:pPr>
  </w:style>
  <w:style w:type="character" w:customStyle="1" w:styleId="apple-converted-space">
    <w:name w:val="apple-converted-space"/>
    <w:basedOn w:val="Numatytasispastraiposriftas"/>
    <w:rsid w:val="00805EC9"/>
  </w:style>
  <w:style w:type="character" w:styleId="Grietas">
    <w:name w:val="Strong"/>
    <w:basedOn w:val="Numatytasispastraiposriftas"/>
    <w:uiPriority w:val="22"/>
    <w:qFormat/>
    <w:rsid w:val="00805EC9"/>
    <w:rPr>
      <w:b/>
      <w:bCs/>
    </w:rPr>
  </w:style>
  <w:style w:type="paragraph" w:styleId="prastasiniatinklio">
    <w:name w:val="Normal (Web)"/>
    <w:basedOn w:val="prastasis"/>
    <w:uiPriority w:val="99"/>
    <w:semiHidden/>
    <w:unhideWhenUsed/>
    <w:rsid w:val="006929C3"/>
    <w:pPr>
      <w:spacing w:before="100" w:beforeAutospacing="1" w:after="100" w:afterAutospacing="1" w:line="240" w:lineRule="auto"/>
    </w:pPr>
    <w:rPr>
      <w:rFonts w:ascii="Times New Roman" w:eastAsia="Times New Roman" w:hAnsi="Times New Roman"/>
      <w:sz w:val="24"/>
      <w:szCs w:val="24"/>
      <w:lang w:eastAsia="lt-LT"/>
    </w:rPr>
  </w:style>
  <w:style w:type="character" w:styleId="Hipersaitas">
    <w:name w:val="Hyperlink"/>
    <w:basedOn w:val="Numatytasispastraiposriftas"/>
    <w:uiPriority w:val="99"/>
    <w:semiHidden/>
    <w:unhideWhenUsed/>
    <w:rsid w:val="00EB4E1D"/>
    <w:rPr>
      <w:color w:val="0000FF"/>
      <w:u w:val="single"/>
    </w:rPr>
  </w:style>
  <w:style w:type="paragraph" w:customStyle="1" w:styleId="Sraopastraipa2">
    <w:name w:val="Sąrašo pastraipa2"/>
    <w:basedOn w:val="prastasis"/>
    <w:rsid w:val="00097E62"/>
    <w:pPr>
      <w:ind w:left="720"/>
      <w:contextualSpacing/>
    </w:pPr>
    <w:rPr>
      <w:rFonts w:eastAsiaTheme="minorHAns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46817">
      <w:bodyDiv w:val="1"/>
      <w:marLeft w:val="0"/>
      <w:marRight w:val="0"/>
      <w:marTop w:val="0"/>
      <w:marBottom w:val="0"/>
      <w:divBdr>
        <w:top w:val="none" w:sz="0" w:space="0" w:color="auto"/>
        <w:left w:val="none" w:sz="0" w:space="0" w:color="auto"/>
        <w:bottom w:val="none" w:sz="0" w:space="0" w:color="auto"/>
        <w:right w:val="none" w:sz="0" w:space="0" w:color="auto"/>
      </w:divBdr>
    </w:div>
    <w:div w:id="543758425">
      <w:bodyDiv w:val="1"/>
      <w:marLeft w:val="0"/>
      <w:marRight w:val="0"/>
      <w:marTop w:val="0"/>
      <w:marBottom w:val="0"/>
      <w:divBdr>
        <w:top w:val="none" w:sz="0" w:space="0" w:color="auto"/>
        <w:left w:val="none" w:sz="0" w:space="0" w:color="auto"/>
        <w:bottom w:val="none" w:sz="0" w:space="0" w:color="auto"/>
        <w:right w:val="none" w:sz="0" w:space="0" w:color="auto"/>
      </w:divBdr>
    </w:div>
    <w:div w:id="903681979">
      <w:bodyDiv w:val="1"/>
      <w:marLeft w:val="225"/>
      <w:marRight w:val="225"/>
      <w:marTop w:val="0"/>
      <w:marBottom w:val="0"/>
      <w:divBdr>
        <w:top w:val="none" w:sz="0" w:space="0" w:color="auto"/>
        <w:left w:val="none" w:sz="0" w:space="0" w:color="auto"/>
        <w:bottom w:val="none" w:sz="0" w:space="0" w:color="auto"/>
        <w:right w:val="none" w:sz="0" w:space="0" w:color="auto"/>
      </w:divBdr>
      <w:divsChild>
        <w:div w:id="1479497278">
          <w:marLeft w:val="0"/>
          <w:marRight w:val="0"/>
          <w:marTop w:val="0"/>
          <w:marBottom w:val="0"/>
          <w:divBdr>
            <w:top w:val="none" w:sz="0" w:space="0" w:color="auto"/>
            <w:left w:val="none" w:sz="0" w:space="0" w:color="auto"/>
            <w:bottom w:val="none" w:sz="0" w:space="0" w:color="auto"/>
            <w:right w:val="none" w:sz="0" w:space="0" w:color="auto"/>
          </w:divBdr>
        </w:div>
      </w:divsChild>
    </w:div>
    <w:div w:id="1192304567">
      <w:bodyDiv w:val="1"/>
      <w:marLeft w:val="0"/>
      <w:marRight w:val="0"/>
      <w:marTop w:val="0"/>
      <w:marBottom w:val="0"/>
      <w:divBdr>
        <w:top w:val="none" w:sz="0" w:space="0" w:color="auto"/>
        <w:left w:val="none" w:sz="0" w:space="0" w:color="auto"/>
        <w:bottom w:val="none" w:sz="0" w:space="0" w:color="auto"/>
        <w:right w:val="none" w:sz="0" w:space="0" w:color="auto"/>
      </w:divBdr>
    </w:div>
    <w:div w:id="1208223654">
      <w:bodyDiv w:val="1"/>
      <w:marLeft w:val="0"/>
      <w:marRight w:val="0"/>
      <w:marTop w:val="0"/>
      <w:marBottom w:val="0"/>
      <w:divBdr>
        <w:top w:val="none" w:sz="0" w:space="0" w:color="auto"/>
        <w:left w:val="none" w:sz="0" w:space="0" w:color="auto"/>
        <w:bottom w:val="none" w:sz="0" w:space="0" w:color="auto"/>
        <w:right w:val="none" w:sz="0" w:space="0" w:color="auto"/>
      </w:divBdr>
    </w:div>
    <w:div w:id="1296058571">
      <w:bodyDiv w:val="1"/>
      <w:marLeft w:val="0"/>
      <w:marRight w:val="0"/>
      <w:marTop w:val="0"/>
      <w:marBottom w:val="0"/>
      <w:divBdr>
        <w:top w:val="none" w:sz="0" w:space="0" w:color="auto"/>
        <w:left w:val="none" w:sz="0" w:space="0" w:color="auto"/>
        <w:bottom w:val="none" w:sz="0" w:space="0" w:color="auto"/>
        <w:right w:val="none" w:sz="0" w:space="0" w:color="auto"/>
      </w:divBdr>
    </w:div>
    <w:div w:id="1508059323">
      <w:bodyDiv w:val="1"/>
      <w:marLeft w:val="0"/>
      <w:marRight w:val="0"/>
      <w:marTop w:val="0"/>
      <w:marBottom w:val="0"/>
      <w:divBdr>
        <w:top w:val="none" w:sz="0" w:space="0" w:color="auto"/>
        <w:left w:val="none" w:sz="0" w:space="0" w:color="auto"/>
        <w:bottom w:val="none" w:sz="0" w:space="0" w:color="auto"/>
        <w:right w:val="none" w:sz="0" w:space="0" w:color="auto"/>
      </w:divBdr>
    </w:div>
    <w:div w:id="1897542198">
      <w:bodyDiv w:val="1"/>
      <w:marLeft w:val="225"/>
      <w:marRight w:val="225"/>
      <w:marTop w:val="0"/>
      <w:marBottom w:val="0"/>
      <w:divBdr>
        <w:top w:val="none" w:sz="0" w:space="0" w:color="auto"/>
        <w:left w:val="none" w:sz="0" w:space="0" w:color="auto"/>
        <w:bottom w:val="none" w:sz="0" w:space="0" w:color="auto"/>
        <w:right w:val="none" w:sz="0" w:space="0" w:color="auto"/>
      </w:divBdr>
      <w:divsChild>
        <w:div w:id="1953854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EC69E-D996-4394-BE90-68E693627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15333</Words>
  <Characters>8740</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Kriščiūnaitė-Kačiuškienė</dc:creator>
  <cp:lastModifiedBy>Agnė Raukštienė</cp:lastModifiedBy>
  <cp:revision>2</cp:revision>
  <cp:lastPrinted>2015-06-23T12:38:00Z</cp:lastPrinted>
  <dcterms:created xsi:type="dcterms:W3CDTF">2017-07-14T08:34:00Z</dcterms:created>
  <dcterms:modified xsi:type="dcterms:W3CDTF">2017-07-14T08:34:00Z</dcterms:modified>
</cp:coreProperties>
</file>