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E78ED" w:rsidRPr="00086E14" w:rsidTr="00F26FB4">
        <w:tc>
          <w:tcPr>
            <w:tcW w:w="3696" w:type="dxa"/>
          </w:tcPr>
          <w:p w:rsidR="000E78ED" w:rsidRPr="00122BD1" w:rsidRDefault="000E78ED" w:rsidP="00D0100B">
            <w:pPr>
              <w:jc w:val="center"/>
              <w:rPr>
                <w:rFonts w:ascii="Times New Roman" w:hAnsi="Times New Roman" w:cs="Times New Roman"/>
                <w:sz w:val="24"/>
                <w:szCs w:val="24"/>
                <w:lang w:val="en-US"/>
              </w:rPr>
            </w:pPr>
          </w:p>
        </w:tc>
      </w:tr>
      <w:tr w:rsidR="000E78ED" w:rsidRPr="00067B16" w:rsidTr="00F26FB4">
        <w:tc>
          <w:tcPr>
            <w:tcW w:w="3696"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03"/>
              <w:gridCol w:w="108"/>
            </w:tblGrid>
            <w:tr w:rsidR="007D52FB" w:rsidRPr="00067B16" w:rsidTr="00A04DA7">
              <w:trPr>
                <w:trHeight w:val="1976"/>
              </w:trPr>
              <w:tc>
                <w:tcPr>
                  <w:tcW w:w="9072" w:type="dxa"/>
                  <w:gridSpan w:val="3"/>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465EC8B" wp14:editId="15305EF3">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A04DA7">
              <w:trPr>
                <w:trHeight w:val="430"/>
              </w:trPr>
              <w:tc>
                <w:tcPr>
                  <w:tcW w:w="9072" w:type="dxa"/>
                  <w:gridSpan w:val="3"/>
                </w:tcPr>
                <w:p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00787614" w:rsidRPr="00067B16" w:rsidRDefault="0022100A" w:rsidP="0022100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 xml:space="preserve">Nr. </w:t>
                  </w:r>
                  <w:r w:rsidRPr="0022100A">
                    <w:rPr>
                      <w:rFonts w:ascii="Times New Roman" w:hAnsi="Times New Roman" w:cs="Times New Roman"/>
                      <w:b/>
                      <w:sz w:val="24"/>
                      <w:szCs w:val="24"/>
                    </w:rPr>
                    <w:t xml:space="preserve">12.0.1-CPVA-K-204 </w:t>
                  </w:r>
                  <w:r>
                    <w:rPr>
                      <w:rFonts w:ascii="Times New Roman" w:hAnsi="Times New Roman" w:cs="Times New Roman"/>
                      <w:b/>
                      <w:sz w:val="24"/>
                      <w:szCs w:val="24"/>
                    </w:rPr>
                    <w:t>„Komunikacija apie ES investicijas“</w:t>
                  </w:r>
                </w:p>
              </w:tc>
            </w:tr>
            <w:tr w:rsidR="007D52FB" w:rsidRPr="00067B16" w:rsidTr="00A04DA7">
              <w:trPr>
                <w:trHeight w:val="343"/>
              </w:trPr>
              <w:tc>
                <w:tcPr>
                  <w:tcW w:w="9072" w:type="dxa"/>
                  <w:gridSpan w:val="3"/>
                </w:tcPr>
                <w:p w:rsidR="00787614" w:rsidRPr="00A04DA7" w:rsidRDefault="00787614" w:rsidP="00F26FB4">
                  <w:pPr>
                    <w:framePr w:hSpace="180" w:wrap="around" w:vAnchor="text" w:hAnchor="margin" w:y="-28"/>
                    <w:jc w:val="center"/>
                    <w:rPr>
                      <w:rFonts w:ascii="Times New Roman" w:hAnsi="Times New Roman" w:cs="Times New Roman"/>
                      <w:b/>
                      <w:i/>
                    </w:rPr>
                  </w:pPr>
                  <w:r w:rsidRPr="00A04DA7">
                    <w:rPr>
                      <w:rFonts w:ascii="Times New Roman" w:hAnsi="Times New Roman" w:cs="Times New Roman"/>
                      <w:b/>
                      <w:sz w:val="24"/>
                      <w:szCs w:val="24"/>
                    </w:rPr>
                    <w:t>Nr.</w:t>
                  </w:r>
                  <w:r w:rsidR="0022100A" w:rsidRPr="00A04DA7">
                    <w:rPr>
                      <w:rFonts w:ascii="Times New Roman" w:hAnsi="Times New Roman" w:cs="Times New Roman"/>
                      <w:b/>
                      <w:sz w:val="24"/>
                      <w:szCs w:val="24"/>
                    </w:rPr>
                    <w:t xml:space="preserve"> 01</w:t>
                  </w:r>
                </w:p>
              </w:tc>
            </w:tr>
            <w:tr w:rsidR="007D52FB" w:rsidRPr="00067B16" w:rsidTr="00A04DA7">
              <w:tc>
                <w:tcPr>
                  <w:tcW w:w="9072" w:type="dxa"/>
                  <w:gridSpan w:val="3"/>
                </w:tcPr>
                <w:p w:rsidR="00A04DA7" w:rsidRDefault="00A04DA7" w:rsidP="007F0265">
                  <w:pPr>
                    <w:framePr w:hSpace="180" w:wrap="around" w:vAnchor="text" w:hAnchor="margin" w:y="-28"/>
                    <w:jc w:val="both"/>
                    <w:rPr>
                      <w:rFonts w:ascii="Times New Roman" w:hAnsi="Times New Roman" w:cs="Times New Roman"/>
                      <w:sz w:val="24"/>
                      <w:szCs w:val="24"/>
                    </w:rPr>
                  </w:pPr>
                </w:p>
                <w:p w:rsidR="000E78ED" w:rsidRPr="00067B16" w:rsidRDefault="0022100A" w:rsidP="007F0265">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finansų</w:t>
                  </w:r>
                  <w:r w:rsidRPr="0022100A">
                    <w:rPr>
                      <w:rFonts w:ascii="Times New Roman" w:hAnsi="Times New Roman" w:cs="Times New Roman"/>
                      <w:sz w:val="24"/>
                      <w:szCs w:val="24"/>
                    </w:rPr>
                    <w:t xml:space="preserve"> ministerija (toliau – Ministerija) ir viešoji įstaiga </w:t>
                  </w:r>
                  <w:r>
                    <w:rPr>
                      <w:rFonts w:ascii="Times New Roman" w:hAnsi="Times New Roman" w:cs="Times New Roman"/>
                      <w:sz w:val="24"/>
                      <w:szCs w:val="24"/>
                    </w:rPr>
                    <w:t>Centrinė projektų valdy</w:t>
                  </w:r>
                  <w:r w:rsidR="00134C57">
                    <w:rPr>
                      <w:rFonts w:ascii="Times New Roman" w:hAnsi="Times New Roman" w:cs="Times New Roman"/>
                      <w:sz w:val="24"/>
                      <w:szCs w:val="24"/>
                    </w:rPr>
                    <w:t>mo agentūra (toliau – ĮI</w:t>
                  </w:r>
                  <w:r w:rsidRPr="0022100A">
                    <w:rPr>
                      <w:rFonts w:ascii="Times New Roman" w:hAnsi="Times New Roman" w:cs="Times New Roman"/>
                      <w:sz w:val="24"/>
                      <w:szCs w:val="24"/>
                    </w:rPr>
                    <w:t>) kviečia teikti paraiškas finansuoti projektus pagal 2014–2020 m. Europos Sąjungos fondų investicijų veiksmų programos priemonę</w:t>
                  </w:r>
                  <w:r w:rsidR="00851BE2">
                    <w:t xml:space="preserve"> </w:t>
                  </w:r>
                  <w:r w:rsidR="00851BE2" w:rsidRPr="00851BE2">
                    <w:rPr>
                      <w:rFonts w:ascii="Times New Roman" w:hAnsi="Times New Roman" w:cs="Times New Roman"/>
                      <w:sz w:val="24"/>
                      <w:szCs w:val="24"/>
                    </w:rPr>
                    <w:t>Nr. 12.0.1-CPVA-K-204 „Komunikacija apie ES investicijas“</w:t>
                  </w:r>
                  <w:r w:rsidRPr="0022100A">
                    <w:rPr>
                      <w:rFonts w:ascii="Times New Roman" w:hAnsi="Times New Roman" w:cs="Times New Roman"/>
                      <w:sz w:val="24"/>
                      <w:szCs w:val="24"/>
                    </w:rPr>
                    <w:t xml:space="preserve">  (toliau – Priemonė).</w:t>
                  </w:r>
                </w:p>
              </w:tc>
            </w:tr>
            <w:tr w:rsidR="007D52FB" w:rsidRPr="00067B16" w:rsidTr="00A04DA7">
              <w:tc>
                <w:tcPr>
                  <w:tcW w:w="9072" w:type="dxa"/>
                  <w:gridSpan w:val="3"/>
                </w:tcPr>
                <w:p w:rsidR="000E78ED" w:rsidRPr="00067B16" w:rsidRDefault="000E78ED" w:rsidP="0022100A">
                  <w:pPr>
                    <w:framePr w:hSpace="180" w:wrap="around" w:vAnchor="text" w:hAnchor="margin" w:y="-28"/>
                    <w:rPr>
                      <w:rFonts w:ascii="Times New Roman" w:hAnsi="Times New Roman" w:cs="Times New Roman"/>
                      <w:i/>
                    </w:rPr>
                  </w:pP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Finansavimo</w:t>
                  </w:r>
                  <w:r w:rsidR="0059692C" w:rsidRPr="00A04DA7">
                    <w:rPr>
                      <w:rFonts w:ascii="Times New Roman" w:hAnsi="Times New Roman" w:cs="Times New Roman"/>
                      <w:sz w:val="24"/>
                      <w:szCs w:val="24"/>
                    </w:rPr>
                    <w:t xml:space="preserve"> </w:t>
                  </w:r>
                  <w:r w:rsidR="0028256E" w:rsidRPr="00A04DA7">
                    <w:rPr>
                      <w:rFonts w:ascii="Times New Roman" w:hAnsi="Times New Roman" w:cs="Times New Roman"/>
                      <w:sz w:val="24"/>
                      <w:szCs w:val="24"/>
                    </w:rPr>
                    <w:t>tikslas:</w:t>
                  </w:r>
                </w:p>
                <w:p w:rsidR="0028256E" w:rsidRPr="00A04DA7" w:rsidRDefault="0028256E" w:rsidP="00F26FB4">
                  <w:pPr>
                    <w:framePr w:hSpace="180" w:wrap="around" w:vAnchor="text" w:hAnchor="margin" w:y="-28"/>
                    <w:rPr>
                      <w:rFonts w:ascii="Times New Roman" w:hAnsi="Times New Roman" w:cs="Times New Roman"/>
                      <w:i/>
                      <w:sz w:val="24"/>
                      <w:szCs w:val="24"/>
                    </w:rPr>
                  </w:pPr>
                </w:p>
              </w:tc>
              <w:tc>
                <w:tcPr>
                  <w:tcW w:w="5703" w:type="dxa"/>
                  <w:tcBorders>
                    <w:top w:val="single" w:sz="4" w:space="0" w:color="auto"/>
                    <w:left w:val="single" w:sz="4" w:space="0" w:color="auto"/>
                    <w:bottom w:val="single" w:sz="4" w:space="0" w:color="auto"/>
                    <w:right w:val="single" w:sz="4" w:space="0" w:color="auto"/>
                  </w:tcBorders>
                </w:tcPr>
                <w:p w:rsidR="0094300F"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Priemonės tikslas – prisidėti prie Veiksmų programoje numatytų socialinių ir ekonominių pokyčių ir Komunikacijos strategijoje išskirtų prioritetinių komunikacijos krypčių įgyvendinimo.</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 xml:space="preserve">Finansuojamos </w:t>
                  </w:r>
                  <w:r w:rsidR="0028256E" w:rsidRPr="00A04DA7">
                    <w:rPr>
                      <w:rFonts w:ascii="Times New Roman" w:hAnsi="Times New Roman" w:cs="Times New Roman"/>
                      <w:sz w:val="24"/>
                      <w:szCs w:val="24"/>
                    </w:rPr>
                    <w:t>veiklos:</w:t>
                  </w:r>
                </w:p>
                <w:p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47242D" w:rsidRPr="00A04DA7" w:rsidRDefault="0047242D" w:rsidP="00A04DA7">
                  <w:pPr>
                    <w:jc w:val="both"/>
                    <w:rPr>
                      <w:rFonts w:ascii="Times New Roman" w:hAnsi="Times New Roman" w:cs="Times New Roman"/>
                      <w:sz w:val="24"/>
                      <w:szCs w:val="24"/>
                    </w:rPr>
                  </w:pPr>
                  <w:r w:rsidRPr="00A04DA7">
                    <w:rPr>
                      <w:rFonts w:ascii="Times New Roman" w:hAnsi="Times New Roman" w:cs="Times New Roman"/>
                      <w:sz w:val="24"/>
                      <w:szCs w:val="24"/>
                    </w:rPr>
                    <w:t>Remiamos šios informavimo ir komunikacijos veiklos, kurios skatins gyventojus domėtis ES investicijomis skatinamais socialiniais ir ekonominiais pokyčiais, iš ES struktūrinių fondų lėšų bendrai finansuojamų projektų įgyvendinimu, jų rezultatais ir teikiama nauda regionui bei šaliai, taip pat sudarys prielaidas didesniam pasitikėjimui ES struktūrinių fondų administravimo sistemos efektyvumu ir skaidrumu, skatins gyventojus jaustis aktyvios Europos bendruomenės dalimi:</w:t>
                  </w:r>
                </w:p>
                <w:p w:rsidR="0047242D" w:rsidRPr="00A04DA7" w:rsidRDefault="00B537A5"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1</w:t>
                  </w:r>
                  <w:r w:rsidR="00696EBD" w:rsidRPr="00A04DA7">
                    <w:rPr>
                      <w:rFonts w:ascii="Times New Roman" w:hAnsi="Times New Roman" w:cs="Times New Roman"/>
                      <w:sz w:val="24"/>
                      <w:szCs w:val="24"/>
                    </w:rPr>
                    <w:t>.</w:t>
                  </w:r>
                  <w:r w:rsidR="0047242D" w:rsidRPr="00A04DA7">
                    <w:rPr>
                      <w:rFonts w:ascii="Times New Roman" w:hAnsi="Times New Roman" w:cs="Times New Roman"/>
                      <w:sz w:val="24"/>
                      <w:szCs w:val="24"/>
                    </w:rPr>
                    <w:t xml:space="preserve"> renginio (-ių) organizavimas; </w:t>
                  </w:r>
                </w:p>
                <w:p w:rsidR="0047242D" w:rsidRPr="00A04DA7" w:rsidRDefault="0047242D"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2. vaizdo klipo (-ų) ar video filmuko (-ų) (trumpų filmuotų, turinčių siužetą kūrinėlių), laidos (-ų), kaip suprantama pagal Lietuvos Respublikos visuomenės informavimo įstatymą, siužeto (-ų) (priežasčių ir pasekmių ryšiais susietų įvykių visumos, epizodų sekos) kūrimas ir platinimas internete, socialiniuose tinkluose, viešuosiuose ekranuose (ne televizijoje);</w:t>
                  </w:r>
                </w:p>
                <w:p w:rsidR="0047242D" w:rsidRPr="00A04DA7" w:rsidRDefault="0047242D"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3. laidos (-ų), siužeto (-ų), reportažo (-ų) (operatyvios informacijos apie dienos įvykius, kurių stebėtojas arba dalyvis yra pats autorius) kūrimas ir transliavimas radijuje;</w:t>
                  </w:r>
                </w:p>
                <w:p w:rsidR="000B11C4" w:rsidRPr="00A04DA7" w:rsidRDefault="0047242D"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4. laidos (-ų), siužeto (-ų), reportažo (-ų) kūrimas ir transliavimas televizijoje.</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28256E"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lastRenderedPageBreak/>
                    <w:t>Galimi pareiškėjai:</w:t>
                  </w:r>
                </w:p>
                <w:p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160AB7"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Nevyriausybinės organizacijos, asociacijos, prekybos, pramonės ir amatų rūmai</w:t>
                  </w:r>
                  <w:r w:rsidR="006C6A5E" w:rsidRPr="00A04DA7">
                    <w:rPr>
                      <w:rFonts w:ascii="Times New Roman" w:hAnsi="Times New Roman" w:cs="Times New Roman"/>
                      <w:sz w:val="24"/>
                      <w:szCs w:val="24"/>
                    </w:rPr>
                    <w:t xml:space="preserve"> (išskyrus „Europe Direct“ informacijos centrus priimančias institucijas)</w:t>
                  </w:r>
                  <w:r w:rsidRPr="00A04DA7">
                    <w:rPr>
                      <w:rFonts w:ascii="Times New Roman" w:hAnsi="Times New Roman" w:cs="Times New Roman"/>
                      <w:sz w:val="24"/>
                      <w:szCs w:val="24"/>
                    </w:rPr>
                    <w:t>.</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28256E" w:rsidP="00A23E55">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Atrankos būdas</w:t>
                  </w:r>
                  <w:r w:rsidR="00A23E55"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28256E" w:rsidRPr="00A04DA7" w:rsidRDefault="0028256E" w:rsidP="00A04DA7">
                  <w:pPr>
                    <w:jc w:val="both"/>
                    <w:rPr>
                      <w:rFonts w:ascii="Times New Roman" w:hAnsi="Times New Roman" w:cs="Times New Roman"/>
                      <w:sz w:val="24"/>
                      <w:szCs w:val="24"/>
                    </w:rPr>
                  </w:pPr>
                  <w:r w:rsidRPr="00A04DA7">
                    <w:rPr>
                      <w:rFonts w:ascii="Times New Roman" w:hAnsi="Times New Roman" w:cs="Times New Roman"/>
                      <w:sz w:val="24"/>
                      <w:szCs w:val="24"/>
                    </w:rPr>
                    <w:t>Projektų konkursas vienu etapu</w:t>
                  </w:r>
                  <w:r w:rsidR="0047242D" w:rsidRPr="00A04DA7">
                    <w:rPr>
                      <w:rFonts w:ascii="Times New Roman" w:hAnsi="Times New Roman" w:cs="Times New Roman"/>
                      <w:sz w:val="24"/>
                      <w:szCs w:val="24"/>
                    </w:rPr>
                    <w:t>.</w:t>
                  </w:r>
                </w:p>
                <w:p w:rsidR="0028256E" w:rsidRPr="00A04DA7" w:rsidRDefault="0028256E" w:rsidP="00A04DA7">
                  <w:pPr>
                    <w:framePr w:hSpace="180" w:wrap="around" w:vAnchor="text" w:hAnchor="margin" w:y="-28"/>
                    <w:jc w:val="both"/>
                    <w:rPr>
                      <w:rFonts w:ascii="Times New Roman" w:hAnsi="Times New Roman" w:cs="Times New Roman"/>
                      <w:sz w:val="24"/>
                      <w:szCs w:val="24"/>
                    </w:rPr>
                  </w:pPr>
                </w:p>
              </w:tc>
            </w:tr>
            <w:tr w:rsidR="002F7369"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F7369" w:rsidRPr="00A04DA7" w:rsidRDefault="002F7369"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 xml:space="preserve">Didžiausia galima projektui skirti finansavimo lėšų suma, </w:t>
                  </w:r>
                  <w:r w:rsidR="00D37B95" w:rsidRPr="00A04DA7">
                    <w:rPr>
                      <w:rFonts w:ascii="Times New Roman" w:hAnsi="Times New Roman" w:cs="Times New Roman"/>
                      <w:sz w:val="24"/>
                      <w:szCs w:val="24"/>
                    </w:rPr>
                    <w:t>Eur</w:t>
                  </w:r>
                  <w:r w:rsidRPr="00A04DA7">
                    <w:rPr>
                      <w:rFonts w:ascii="Times New Roman" w:hAnsi="Times New Roman" w:cs="Times New Roman"/>
                      <w:sz w:val="24"/>
                      <w:szCs w:val="24"/>
                    </w:rPr>
                    <w:t>:</w:t>
                  </w:r>
                </w:p>
                <w:p w:rsidR="002F7369" w:rsidRPr="00A04DA7" w:rsidRDefault="002F7369" w:rsidP="002F7369">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47242D" w:rsidRPr="00A04DA7" w:rsidRDefault="0047242D"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Didžiausia galima projektui skirti finansavimo lėšų suma yra:</w:t>
                  </w:r>
                </w:p>
                <w:p w:rsidR="0047242D" w:rsidRPr="00A04DA7" w:rsidRDefault="0047242D" w:rsidP="00150895">
                  <w:pPr>
                    <w:framePr w:hSpace="180" w:wrap="around" w:vAnchor="text" w:hAnchor="margin" w:y="-28"/>
                    <w:spacing w:before="120"/>
                    <w:jc w:val="both"/>
                    <w:rPr>
                      <w:rFonts w:ascii="Times New Roman" w:hAnsi="Times New Roman" w:cs="Times New Roman"/>
                      <w:sz w:val="24"/>
                      <w:szCs w:val="24"/>
                    </w:rPr>
                  </w:pPr>
                  <w:r w:rsidRPr="00A04DA7">
                    <w:rPr>
                      <w:rFonts w:ascii="Times New Roman" w:hAnsi="Times New Roman" w:cs="Times New Roman"/>
                      <w:sz w:val="24"/>
                      <w:szCs w:val="24"/>
                    </w:rPr>
                    <w:t>1. 20 000 eurų (dvidešimt tūkstančių eurų), jei projektas skirtas vienai ar daugiau savivaldybių, tačiau ne visoms;</w:t>
                  </w:r>
                </w:p>
                <w:p w:rsidR="002F7369" w:rsidRPr="00A04DA7" w:rsidRDefault="0047242D"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2. 30 000 eurų (trisdešimt tūkstančių eurų), jei projektas apima visas savivaldybes ir įgyvendinamas nacionaliniu mastu.</w:t>
                  </w:r>
                </w:p>
              </w:tc>
            </w:tr>
            <w:tr w:rsidR="002F7369"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F7369" w:rsidRPr="00A04DA7" w:rsidRDefault="00D37B95"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Planuojama k</w:t>
                  </w:r>
                  <w:r w:rsidR="002F7369" w:rsidRPr="00A04DA7">
                    <w:rPr>
                      <w:rFonts w:ascii="Times New Roman" w:hAnsi="Times New Roman" w:cs="Times New Roman"/>
                      <w:sz w:val="24"/>
                      <w:szCs w:val="24"/>
                    </w:rPr>
                    <w:t xml:space="preserve">vietimo </w:t>
                  </w:r>
                  <w:r w:rsidRPr="00A04DA7">
                    <w:rPr>
                      <w:rFonts w:ascii="Times New Roman" w:hAnsi="Times New Roman" w:cs="Times New Roman"/>
                      <w:sz w:val="24"/>
                      <w:szCs w:val="24"/>
                    </w:rPr>
                    <w:t xml:space="preserve">finansavimo </w:t>
                  </w:r>
                  <w:r w:rsidR="002F7369" w:rsidRPr="00A04DA7">
                    <w:rPr>
                      <w:rFonts w:ascii="Times New Roman" w:hAnsi="Times New Roman" w:cs="Times New Roman"/>
                      <w:sz w:val="24"/>
                      <w:szCs w:val="24"/>
                    </w:rPr>
                    <w:t xml:space="preserve">suma, </w:t>
                  </w:r>
                  <w:r w:rsidRPr="00A04DA7">
                    <w:rPr>
                      <w:rFonts w:ascii="Times New Roman" w:hAnsi="Times New Roman" w:cs="Times New Roman"/>
                      <w:sz w:val="24"/>
                      <w:szCs w:val="24"/>
                    </w:rPr>
                    <w:t>Eur</w:t>
                  </w:r>
                  <w:r w:rsidR="002F7369"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2F7369"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Numatoma skirti iki 600 000 eurų (šešių šimtų tūkstančių eurų) Europos socialinio fondo ir Lietuvos Respublikos valstybės biudžeto lėšų.</w:t>
                  </w:r>
                </w:p>
              </w:tc>
            </w:tr>
            <w:tr w:rsidR="00062C3A"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062C3A" w:rsidRPr="00A04DA7" w:rsidRDefault="00062C3A"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Paraiškos gali būti teikiamos nuo:</w:t>
                  </w:r>
                </w:p>
              </w:tc>
              <w:tc>
                <w:tcPr>
                  <w:tcW w:w="5703" w:type="dxa"/>
                  <w:tcBorders>
                    <w:top w:val="single" w:sz="4" w:space="0" w:color="auto"/>
                    <w:left w:val="single" w:sz="4" w:space="0" w:color="auto"/>
                    <w:bottom w:val="single" w:sz="4" w:space="0" w:color="auto"/>
                    <w:right w:val="single" w:sz="4" w:space="0" w:color="auto"/>
                  </w:tcBorders>
                </w:tcPr>
                <w:p w:rsidR="00062C3A" w:rsidRPr="00A04DA7" w:rsidRDefault="007F0265"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2017</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07</w:t>
                  </w:r>
                  <w:r w:rsidR="006A0F73" w:rsidRPr="00A04DA7">
                    <w:rPr>
                      <w:rFonts w:ascii="Times New Roman" w:hAnsi="Times New Roman" w:cs="Times New Roman"/>
                      <w:sz w:val="24"/>
                      <w:szCs w:val="24"/>
                    </w:rPr>
                    <w:t>-</w:t>
                  </w:r>
                  <w:r w:rsidR="00122BD1" w:rsidRPr="00A04DA7">
                    <w:rPr>
                      <w:rFonts w:ascii="Times New Roman" w:hAnsi="Times New Roman" w:cs="Times New Roman"/>
                      <w:sz w:val="24"/>
                      <w:szCs w:val="24"/>
                    </w:rPr>
                    <w:t>11</w:t>
                  </w:r>
                  <w:r w:rsidRPr="00A04DA7">
                    <w:rPr>
                      <w:rFonts w:ascii="Times New Roman" w:hAnsi="Times New Roman" w:cs="Times New Roman"/>
                      <w:sz w:val="24"/>
                      <w:szCs w:val="24"/>
                    </w:rPr>
                    <w:t xml:space="preserve"> </w:t>
                  </w:r>
                  <w:r w:rsidR="006A0F73" w:rsidRPr="00A04DA7">
                    <w:rPr>
                      <w:rFonts w:ascii="Times New Roman" w:hAnsi="Times New Roman" w:cs="Times New Roman"/>
                      <w:sz w:val="24"/>
                      <w:szCs w:val="24"/>
                    </w:rPr>
                    <w:t>9:00</w:t>
                  </w:r>
                  <w:r w:rsidR="00134C57" w:rsidRPr="00A04DA7">
                    <w:rPr>
                      <w:rFonts w:ascii="Times New Roman" w:hAnsi="Times New Roman" w:cs="Times New Roman"/>
                      <w:sz w:val="24"/>
                      <w:szCs w:val="24"/>
                    </w:rPr>
                    <w:t xml:space="preserve"> </w:t>
                  </w:r>
                  <w:r w:rsidRPr="00A04DA7">
                    <w:rPr>
                      <w:rFonts w:ascii="Times New Roman" w:hAnsi="Times New Roman" w:cs="Times New Roman"/>
                      <w:sz w:val="24"/>
                      <w:szCs w:val="24"/>
                    </w:rPr>
                    <w:t>val.</w:t>
                  </w:r>
                </w:p>
                <w:p w:rsidR="00062C3A" w:rsidRPr="00A04DA7" w:rsidDel="00011C71" w:rsidRDefault="00062C3A" w:rsidP="00A04DA7">
                  <w:pPr>
                    <w:framePr w:hSpace="180" w:wrap="around" w:vAnchor="text" w:hAnchor="margin" w:y="-28"/>
                    <w:jc w:val="both"/>
                    <w:rPr>
                      <w:rFonts w:ascii="Times New Roman" w:hAnsi="Times New Roman" w:cs="Times New Roman"/>
                      <w:sz w:val="24"/>
                      <w:szCs w:val="24"/>
                    </w:rPr>
                  </w:pPr>
                </w:p>
              </w:tc>
            </w:tr>
            <w:tr w:rsidR="00062C3A"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062C3A" w:rsidRPr="00A04DA7" w:rsidRDefault="00062C3A" w:rsidP="00A04DA7">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Paraiškos gali būti teikiamos iki</w:t>
                  </w:r>
                  <w:r w:rsidR="005D1B0B" w:rsidRPr="00A04DA7">
                    <w:rPr>
                      <w:rFonts w:ascii="Times New Roman" w:hAnsi="Times New Roman" w:cs="Times New Roman"/>
                      <w:sz w:val="24"/>
                      <w:szCs w:val="24"/>
                    </w:rPr>
                    <w:t xml:space="preserve"> (galutinis paraiškų pateikimo terminas)</w:t>
                  </w:r>
                  <w:r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062C3A" w:rsidRPr="00A04DA7" w:rsidRDefault="007F0265" w:rsidP="00A04DA7">
                  <w:pPr>
                    <w:jc w:val="both"/>
                    <w:rPr>
                      <w:rFonts w:ascii="Times New Roman" w:hAnsi="Times New Roman" w:cs="Times New Roman"/>
                      <w:sz w:val="24"/>
                      <w:szCs w:val="24"/>
                    </w:rPr>
                  </w:pPr>
                  <w:r w:rsidRPr="00A04DA7">
                    <w:rPr>
                      <w:rFonts w:ascii="Times New Roman" w:hAnsi="Times New Roman" w:cs="Times New Roman"/>
                      <w:sz w:val="24"/>
                      <w:szCs w:val="24"/>
                    </w:rPr>
                    <w:t>2017</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09</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 xml:space="preserve">22 </w:t>
                  </w:r>
                  <w:r w:rsidR="00EB1B4B" w:rsidRPr="00A04DA7">
                    <w:rPr>
                      <w:rFonts w:ascii="Times New Roman" w:hAnsi="Times New Roman" w:cs="Times New Roman"/>
                      <w:sz w:val="24"/>
                      <w:szCs w:val="24"/>
                    </w:rPr>
                    <w:t xml:space="preserve">15:00 </w:t>
                  </w:r>
                  <w:r w:rsidR="00134C57" w:rsidRPr="00A04DA7">
                    <w:rPr>
                      <w:rFonts w:ascii="Times New Roman" w:hAnsi="Times New Roman" w:cs="Times New Roman"/>
                      <w:sz w:val="24"/>
                      <w:szCs w:val="24"/>
                    </w:rPr>
                    <w:t>val.</w:t>
                  </w:r>
                </w:p>
                <w:p w:rsidR="00062C3A" w:rsidRPr="00A04DA7" w:rsidRDefault="00062C3A" w:rsidP="00A04DA7">
                  <w:pPr>
                    <w:jc w:val="both"/>
                    <w:rPr>
                      <w:rFonts w:ascii="Times New Roman" w:eastAsia="Calibri" w:hAnsi="Times New Roman" w:cs="Times New Roman"/>
                      <w:sz w:val="24"/>
                      <w:szCs w:val="24"/>
                    </w:rPr>
                  </w:pPr>
                </w:p>
              </w:tc>
            </w:tr>
            <w:tr w:rsidR="00B7079A" w:rsidRPr="00067B16" w:rsidTr="00150895">
              <w:trPr>
                <w:gridAfter w:val="1"/>
                <w:wAfter w:w="108" w:type="dxa"/>
                <w:trHeight w:val="1180"/>
              </w:trPr>
              <w:tc>
                <w:tcPr>
                  <w:tcW w:w="3261" w:type="dxa"/>
                  <w:tcBorders>
                    <w:top w:val="single" w:sz="4" w:space="0" w:color="auto"/>
                    <w:left w:val="single" w:sz="4" w:space="0" w:color="auto"/>
                    <w:bottom w:val="single" w:sz="4" w:space="0" w:color="auto"/>
                    <w:right w:val="single" w:sz="4" w:space="0" w:color="auto"/>
                  </w:tcBorders>
                </w:tcPr>
                <w:p w:rsidR="00B7079A" w:rsidRPr="00A04DA7" w:rsidRDefault="00B7079A" w:rsidP="004B59E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Kita informacija:</w:t>
                  </w:r>
                </w:p>
                <w:p w:rsidR="00B7079A" w:rsidRPr="00A04DA7" w:rsidRDefault="00B7079A" w:rsidP="004B59E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B7079A" w:rsidRPr="00A04DA7" w:rsidRDefault="00043184"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1.</w:t>
                  </w:r>
                  <w:r w:rsidR="00150895">
                    <w:rPr>
                      <w:rFonts w:ascii="Times New Roman" w:hAnsi="Times New Roman" w:cs="Times New Roman"/>
                      <w:sz w:val="24"/>
                      <w:szCs w:val="24"/>
                    </w:rPr>
                    <w:t xml:space="preserve"> </w:t>
                  </w:r>
                  <w:r w:rsidR="00B7079A" w:rsidRPr="00A04DA7">
                    <w:rPr>
                      <w:rFonts w:ascii="Times New Roman" w:hAnsi="Times New Roman" w:cs="Times New Roman"/>
                      <w:sz w:val="24"/>
                      <w:szCs w:val="24"/>
                    </w:rPr>
                    <w:t>Vienas pareiškėjas per vieną kvietimą teikti paraiškas gali pateikti tik vieną paraišką.</w:t>
                  </w:r>
                </w:p>
                <w:p w:rsidR="00B7079A" w:rsidRPr="00A04DA7" w:rsidRDefault="00EB1B4B" w:rsidP="00150895">
                  <w:pPr>
                    <w:framePr w:hSpace="180" w:wrap="around" w:vAnchor="text" w:hAnchor="margin" w:y="-28"/>
                    <w:spacing w:before="120"/>
                    <w:jc w:val="both"/>
                    <w:rPr>
                      <w:rFonts w:ascii="Times New Roman" w:hAnsi="Times New Roman" w:cs="Times New Roman"/>
                      <w:sz w:val="24"/>
                      <w:szCs w:val="24"/>
                    </w:rPr>
                  </w:pPr>
                  <w:r w:rsidRPr="00A04DA7">
                    <w:rPr>
                      <w:rFonts w:ascii="Times New Roman" w:hAnsi="Times New Roman" w:cs="Times New Roman"/>
                      <w:sz w:val="24"/>
                      <w:szCs w:val="24"/>
                    </w:rPr>
                    <w:t>2.</w:t>
                  </w:r>
                  <w:r w:rsidR="00043184" w:rsidRPr="00A04DA7">
                    <w:rPr>
                      <w:rFonts w:ascii="Times New Roman" w:hAnsi="Times New Roman" w:cs="Times New Roman"/>
                      <w:sz w:val="24"/>
                      <w:szCs w:val="24"/>
                    </w:rPr>
                    <w:t xml:space="preserve"> </w:t>
                  </w:r>
                  <w:r w:rsidR="00B7079A" w:rsidRPr="00A04DA7">
                    <w:rPr>
                      <w:rFonts w:ascii="Times New Roman" w:hAnsi="Times New Roman" w:cs="Times New Roman"/>
                      <w:sz w:val="24"/>
                      <w:szCs w:val="24"/>
                    </w:rPr>
                    <w:t>Projekto tinkamų finansuoti išlaidų suma (-os) nustatoma (-os) kiekvienam projektui individualiai tinkamumo finansuoti vertinimo metu atsižvelgiant į projekto išlaidų pagrįstumą vadovaujantis projekto biudžetu ir, jei reikia, pareiškėjo pateiktais duomenimis, kurie yra patikimi ir gali būti patikrinami.</w:t>
                  </w:r>
                </w:p>
                <w:p w:rsidR="00B7079A" w:rsidRPr="00A04DA7" w:rsidRDefault="00EB1B4B"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3</w:t>
                  </w:r>
                  <w:r w:rsidR="00043184" w:rsidRPr="00A04DA7">
                    <w:rPr>
                      <w:rFonts w:ascii="Times New Roman" w:hAnsi="Times New Roman" w:cs="Times New Roman"/>
                      <w:sz w:val="24"/>
                      <w:szCs w:val="24"/>
                    </w:rPr>
                    <w:t>. Išlaidos pagal fiksuotą sumą yra tinkamos finansuoti tik tuo atveju, jei projekto vykdytojas įgyvendina veiklą (-as) dotacijos sutartyje nustatytomis sąlygomis ir apimtimi; priešingu atveju visos išlaidos pagal fiksuotą sumą nėra tinkamos finansuoti.</w:t>
                  </w:r>
                </w:p>
              </w:tc>
            </w:tr>
          </w:tbl>
          <w:p w:rsidR="000E78ED" w:rsidRPr="00067B16" w:rsidRDefault="000E78ED" w:rsidP="00F26FB4">
            <w:pPr>
              <w:rPr>
                <w:rFonts w:ascii="Times New Roman" w:hAnsi="Times New Roman" w:cs="Times New Roman"/>
              </w:rPr>
            </w:pPr>
          </w:p>
        </w:tc>
      </w:tr>
    </w:tbl>
    <w:p w:rsidR="00912E4F" w:rsidRPr="00067B16" w:rsidRDefault="00912E4F" w:rsidP="005A70BE">
      <w:pPr>
        <w:keepNext/>
        <w:keepLines/>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p>
    <w:tbl>
      <w:tblPr>
        <w:tblStyle w:val="TableGrid"/>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5811"/>
      </w:tblGrid>
      <w:tr w:rsidR="005A70BE" w:rsidRPr="00A04DA7" w:rsidTr="00150895">
        <w:trPr>
          <w:trHeight w:val="5283"/>
        </w:trPr>
        <w:tc>
          <w:tcPr>
            <w:tcW w:w="3148" w:type="dxa"/>
            <w:tcBorders>
              <w:top w:val="single" w:sz="4" w:space="0" w:color="auto"/>
              <w:left w:val="single" w:sz="4" w:space="0" w:color="auto"/>
              <w:right w:val="single" w:sz="4" w:space="0" w:color="auto"/>
            </w:tcBorders>
          </w:tcPr>
          <w:p w:rsidR="005A70BE" w:rsidRPr="00A04DA7" w:rsidRDefault="005A70BE" w:rsidP="005A70BE">
            <w:pPr>
              <w:keepNext/>
              <w:keepLines/>
              <w:rPr>
                <w:rFonts w:ascii="Times New Roman" w:hAnsi="Times New Roman" w:cs="Times New Roman"/>
                <w:sz w:val="24"/>
                <w:szCs w:val="24"/>
              </w:rPr>
            </w:pPr>
            <w:r w:rsidRPr="00A04DA7">
              <w:rPr>
                <w:rFonts w:ascii="Times New Roman" w:hAnsi="Times New Roman" w:cs="Times New Roman"/>
                <w:sz w:val="24"/>
                <w:szCs w:val="24"/>
              </w:rPr>
              <w:t>Paraiškų pateikimo būdas:</w:t>
            </w:r>
          </w:p>
        </w:tc>
        <w:tc>
          <w:tcPr>
            <w:tcW w:w="5811" w:type="dxa"/>
            <w:tcBorders>
              <w:top w:val="single" w:sz="4" w:space="0" w:color="auto"/>
              <w:left w:val="single" w:sz="4" w:space="0" w:color="auto"/>
              <w:right w:val="single" w:sz="4" w:space="0" w:color="auto"/>
            </w:tcBorders>
          </w:tcPr>
          <w:p w:rsidR="000D2DD3" w:rsidRPr="00530D6A" w:rsidRDefault="000D2DD3" w:rsidP="000D2DD3">
            <w:pPr>
              <w:pStyle w:val="NormalWeb"/>
              <w:rPr>
                <w:rFonts w:ascii="Open Sans" w:hAnsi="Open Sans" w:cs="Helvetica"/>
              </w:rPr>
            </w:pPr>
            <w:r>
              <w:rPr>
                <w:rFonts w:ascii="Open Sans" w:hAnsi="Open Sans" w:cs="Helvetica"/>
                <w:color w:val="333333"/>
              </w:rPr>
              <w:t xml:space="preserve">Paraiška ir jos priedai įgyvendinančiajai institucijai teikiami raštu </w:t>
            </w:r>
            <w:r w:rsidRPr="00530D6A">
              <w:rPr>
                <w:rFonts w:ascii="Open Sans" w:hAnsi="Open Sans" w:cs="Helvetica"/>
              </w:rPr>
              <w:t>kaip pasirašyti popieriniai dokumentai arba kaip elektroniniai dokumentai, pasirašyti</w:t>
            </w:r>
            <w:r w:rsidR="00FA0C55">
              <w:rPr>
                <w:rFonts w:ascii="Open Sans" w:hAnsi="Open Sans" w:cs="Helvetica"/>
              </w:rPr>
              <w:t xml:space="preserve"> kvalifikuotu</w:t>
            </w:r>
            <w:r w:rsidRPr="00530D6A">
              <w:rPr>
                <w:rFonts w:ascii="Open Sans" w:hAnsi="Open Sans" w:cs="Helvetica"/>
              </w:rPr>
              <w:t xml:space="preserve"> elektroniniu parašu, priklausomai nuo to, kokią šių dokumentų formą pasirenka pareiškėjas.</w:t>
            </w:r>
          </w:p>
          <w:p w:rsidR="00FA0C55" w:rsidRPr="00A529DD" w:rsidRDefault="00FA0C55" w:rsidP="00FA0C55">
            <w:pPr>
              <w:pStyle w:val="NormalWeb"/>
              <w:rPr>
                <w:rFonts w:ascii="Open Sans" w:hAnsi="Open Sans" w:cs="Helvetica"/>
                <w:b/>
                <w:u w:val="single"/>
              </w:rPr>
            </w:pPr>
            <w:r>
              <w:rPr>
                <w:rFonts w:ascii="Open Sans" w:hAnsi="Open Sans" w:cs="Helvetica"/>
                <w:b/>
                <w:u w:val="single"/>
              </w:rPr>
              <w:t>Reikalavimai</w:t>
            </w:r>
            <w:r w:rsidRPr="00FA0C55">
              <w:rPr>
                <w:rFonts w:ascii="Open Sans" w:hAnsi="Open Sans" w:cs="Helvetica"/>
                <w:b/>
                <w:u w:val="single"/>
              </w:rPr>
              <w:t xml:space="preserve"> paraiškos</w:t>
            </w:r>
            <w:r w:rsidRPr="00A529DD">
              <w:rPr>
                <w:rFonts w:ascii="Open Sans" w:hAnsi="Open Sans" w:cs="Helvetica"/>
                <w:b/>
                <w:u w:val="single"/>
              </w:rPr>
              <w:t xml:space="preserve"> teikim</w:t>
            </w:r>
            <w:r>
              <w:rPr>
                <w:rFonts w:ascii="Open Sans" w:hAnsi="Open Sans" w:cs="Helvetica"/>
                <w:b/>
                <w:u w:val="single"/>
              </w:rPr>
              <w:t>ui</w:t>
            </w:r>
            <w:r w:rsidRPr="00A529DD">
              <w:rPr>
                <w:rFonts w:ascii="Open Sans" w:hAnsi="Open Sans" w:cs="Helvetica"/>
                <w:b/>
                <w:u w:val="single"/>
              </w:rPr>
              <w:t xml:space="preserve"> ra</w:t>
            </w:r>
            <w:r w:rsidRPr="00A529DD">
              <w:rPr>
                <w:rFonts w:ascii="Open Sans" w:hAnsi="Open Sans" w:cs="Helvetica" w:hint="eastAsia"/>
                <w:b/>
                <w:u w:val="single"/>
              </w:rPr>
              <w:t>š</w:t>
            </w:r>
            <w:r w:rsidRPr="00A529DD">
              <w:rPr>
                <w:rFonts w:ascii="Open Sans" w:hAnsi="Open Sans" w:cs="Helvetica"/>
                <w:b/>
                <w:u w:val="single"/>
              </w:rPr>
              <w:t>tu</w:t>
            </w:r>
          </w:p>
          <w:p w:rsidR="000D2DD3" w:rsidRPr="00530D6A" w:rsidRDefault="00515A43" w:rsidP="000D2DD3">
            <w:pPr>
              <w:pStyle w:val="NormalWeb"/>
              <w:rPr>
                <w:rFonts w:ascii="Open Sans" w:hAnsi="Open Sans" w:cs="Helvetica"/>
              </w:rPr>
            </w:pPr>
            <w:r>
              <w:rPr>
                <w:rFonts w:ascii="Open Sans" w:hAnsi="Open Sans" w:cs="Helvetica"/>
              </w:rPr>
              <w:t xml:space="preserve">Kai paraiška teikiama </w:t>
            </w:r>
            <w:r w:rsidR="00FA0C55">
              <w:rPr>
                <w:rFonts w:ascii="Open Sans" w:hAnsi="Open Sans" w:cs="Helvetica"/>
              </w:rPr>
              <w:t>raštu, p</w:t>
            </w:r>
            <w:r w:rsidR="000D2DD3" w:rsidRPr="00530D6A">
              <w:rPr>
                <w:rFonts w:ascii="Open Sans" w:hAnsi="Open Sans" w:cs="Helvetica"/>
              </w:rPr>
              <w:t>areiškėjas turi pateikti vieną paraiškos originalą ir elektroninę užpildytos paraiškos formos versiją „pdf“ formatu, įrašytą į elektroninę laikmeną. Paraiškos originalo ir elektroninės versijos turinys turi būti identiškas. Nustačius, kad paraiškos elektroninės versijos turinys neatitinka originalo, vadovaujamasi paraiškos originale nurodyta informacija.</w:t>
            </w:r>
          </w:p>
          <w:p w:rsidR="00530D6A" w:rsidRDefault="000D2DD3" w:rsidP="00530D6A">
            <w:pPr>
              <w:pStyle w:val="NormalWeb"/>
              <w:jc w:val="both"/>
              <w:rPr>
                <w:rFonts w:ascii="Open Sans" w:hAnsi="Open Sans" w:cs="Helvetica"/>
              </w:rPr>
            </w:pPr>
            <w:r w:rsidRPr="00530D6A">
              <w:rPr>
                <w:rFonts w:ascii="Open Sans" w:hAnsi="Open Sans" w:cs="Helvetica"/>
              </w:rPr>
              <w:t>Paraiška turi būti atsiųsta registruota pašto siunta naudojantis pašto paslaugų teikėjų teikiamomis paslaugomis arba pristatyta į CPVA priimamąjį</w:t>
            </w:r>
            <w:r w:rsidR="00FA0C55">
              <w:rPr>
                <w:rFonts w:ascii="Open Sans" w:hAnsi="Open Sans" w:cs="Helvetica"/>
              </w:rPr>
              <w:t xml:space="preserve"> </w:t>
            </w:r>
            <w:r w:rsidR="00A529DD" w:rsidRPr="00530D6A">
              <w:rPr>
                <w:rFonts w:ascii="Open Sans" w:hAnsi="Open Sans" w:cs="Helvetica"/>
              </w:rPr>
              <w:t>Ko</w:t>
            </w:r>
            <w:r w:rsidR="00A529DD">
              <w:rPr>
                <w:rFonts w:ascii="Open Sans" w:hAnsi="Open Sans" w:cs="Helvetica"/>
              </w:rPr>
              <w:t>narskio g.</w:t>
            </w:r>
            <w:r w:rsidR="00370B44">
              <w:rPr>
                <w:rFonts w:ascii="Open Sans" w:hAnsi="Open Sans" w:cs="Helvetica"/>
              </w:rPr>
              <w:t xml:space="preserve"> </w:t>
            </w:r>
            <w:r w:rsidR="00515A43">
              <w:rPr>
                <w:rFonts w:ascii="Open Sans" w:hAnsi="Open Sans" w:cs="Helvetica"/>
              </w:rPr>
              <w:t>13,</w:t>
            </w:r>
            <w:r w:rsidR="00A529DD">
              <w:rPr>
                <w:rFonts w:ascii="Open Sans" w:hAnsi="Open Sans" w:cs="Helvetica"/>
              </w:rPr>
              <w:t xml:space="preserve"> LT-03109 Vilnius, </w:t>
            </w:r>
            <w:r w:rsidR="00FA0C55">
              <w:rPr>
                <w:rFonts w:ascii="Open Sans" w:hAnsi="Open Sans" w:cs="Helvetica"/>
              </w:rPr>
              <w:t>užtikrinant</w:t>
            </w:r>
            <w:r w:rsidR="00A529DD">
              <w:rPr>
                <w:rFonts w:ascii="Open Sans" w:hAnsi="Open Sans" w:cs="Helvetica"/>
              </w:rPr>
              <w:t>,</w:t>
            </w:r>
            <w:r w:rsidR="00FA0C55">
              <w:rPr>
                <w:rFonts w:ascii="Open Sans" w:hAnsi="Open Sans" w:cs="Helvetica"/>
              </w:rPr>
              <w:t xml:space="preserve"> </w:t>
            </w:r>
            <w:r w:rsidR="00515A43">
              <w:rPr>
                <w:rFonts w:ascii="Open Sans" w:hAnsi="Open Sans" w:cs="Helvetica"/>
              </w:rPr>
              <w:t xml:space="preserve">kad ji užregistruota  priėmimo </w:t>
            </w:r>
            <w:r w:rsidR="00FA0C55">
              <w:rPr>
                <w:rFonts w:ascii="Open Sans" w:hAnsi="Open Sans" w:cs="Helvetica"/>
              </w:rPr>
              <w:t>metu</w:t>
            </w:r>
            <w:r w:rsidR="00A529DD">
              <w:rPr>
                <w:rFonts w:ascii="Open Sans" w:hAnsi="Open Sans" w:cs="Helvetica"/>
              </w:rPr>
              <w:t>.</w:t>
            </w:r>
          </w:p>
          <w:p w:rsidR="000D2DD3" w:rsidRPr="00530D6A" w:rsidRDefault="00530D6A" w:rsidP="00530D6A">
            <w:pPr>
              <w:pStyle w:val="NormalWeb"/>
              <w:jc w:val="both"/>
              <w:rPr>
                <w:rFonts w:ascii="Open Sans" w:hAnsi="Open Sans" w:cs="Helvetica"/>
              </w:rPr>
            </w:pPr>
            <w:r w:rsidRPr="00530D6A">
              <w:rPr>
                <w:rFonts w:ascii="Open Sans" w:hAnsi="Open Sans" w:cs="Helvetica"/>
              </w:rPr>
              <w:t>Siunčiant reg</w:t>
            </w:r>
            <w:r>
              <w:rPr>
                <w:rFonts w:ascii="Open Sans" w:hAnsi="Open Sans" w:cs="Helvetica"/>
              </w:rPr>
              <w:t>istruota pašto siunta, paraiškos turi būti įteiktos</w:t>
            </w:r>
            <w:r w:rsidRPr="00530D6A">
              <w:rPr>
                <w:rFonts w:ascii="Open Sans" w:hAnsi="Open Sans" w:cs="Helvetica"/>
              </w:rPr>
              <w:t xml:space="preserve"> pašto paslaugų teikėjui ne vėliau kaip iki 2017 m. rugsėjo 22 d. 24:00 val.</w:t>
            </w:r>
          </w:p>
          <w:p w:rsidR="00530D6A" w:rsidRPr="00530D6A" w:rsidRDefault="00530D6A" w:rsidP="00530D6A">
            <w:pPr>
              <w:pStyle w:val="NormalWeb"/>
              <w:jc w:val="both"/>
              <w:rPr>
                <w:rFonts w:ascii="Open Sans" w:hAnsi="Open Sans" w:cs="Helvetica"/>
              </w:rPr>
            </w:pPr>
            <w:r w:rsidRPr="00530D6A">
              <w:rPr>
                <w:rFonts w:ascii="Open Sans" w:hAnsi="Open Sans" w:cs="Helvetica"/>
              </w:rPr>
              <w:t xml:space="preserve">Jei paraiška nesiunčiama registruotąja pašto siunta, ji turi būti pristatyta į CPVA iki 2017 m. rugsėjo 22 d. 15:00 val. </w:t>
            </w:r>
          </w:p>
          <w:p w:rsidR="00FA0C55" w:rsidRPr="00A529DD" w:rsidRDefault="00515A43" w:rsidP="00FA0C55">
            <w:pPr>
              <w:pStyle w:val="NormalWeb"/>
              <w:jc w:val="both"/>
              <w:rPr>
                <w:b/>
                <w:u w:val="single"/>
              </w:rPr>
            </w:pPr>
            <w:r>
              <w:rPr>
                <w:b/>
                <w:u w:val="single"/>
              </w:rPr>
              <w:t xml:space="preserve">Reikalavimai paraiškos </w:t>
            </w:r>
            <w:r w:rsidR="00FA0C55">
              <w:rPr>
                <w:b/>
                <w:u w:val="single"/>
              </w:rPr>
              <w:t>teikimui</w:t>
            </w:r>
            <w:r w:rsidR="00530D6A" w:rsidRPr="00A529DD">
              <w:rPr>
                <w:b/>
                <w:u w:val="single"/>
              </w:rPr>
              <w:t xml:space="preserve"> elektronini</w:t>
            </w:r>
            <w:r w:rsidR="00FA0C55">
              <w:rPr>
                <w:b/>
                <w:u w:val="single"/>
              </w:rPr>
              <w:t>u būdu</w:t>
            </w:r>
          </w:p>
          <w:p w:rsidR="00530D6A" w:rsidRPr="00530D6A" w:rsidRDefault="00FA0C55" w:rsidP="000D2DD3">
            <w:pPr>
              <w:pStyle w:val="NormalWeb"/>
              <w:jc w:val="both"/>
            </w:pPr>
            <w:r>
              <w:t xml:space="preserve">Kai paraiška teikiama kaip elektroninis dokumentas, </w:t>
            </w:r>
            <w:r w:rsidR="00530D6A" w:rsidRPr="00530D6A">
              <w:t xml:space="preserve">užpildyta paraiška ir jos priedai turi būti pasirašyti kvalifikuotu elektroniniu parašu ADOC formatu </w:t>
            </w:r>
            <w:r w:rsidR="00530D6A">
              <w:t>ir atsiųsta</w:t>
            </w:r>
            <w:r w:rsidR="00530D6A" w:rsidRPr="00530D6A">
              <w:t xml:space="preserve"> elektroniniu paštu </w:t>
            </w:r>
            <w:hyperlink r:id="rId9" w:history="1">
              <w:r w:rsidR="00530D6A" w:rsidRPr="00530D6A">
                <w:rPr>
                  <w:rStyle w:val="Hyperlink"/>
                  <w:color w:val="auto"/>
                  <w:u w:val="none"/>
                </w:rPr>
                <w:t>info@cpva.lt</w:t>
              </w:r>
            </w:hyperlink>
            <w:r w:rsidR="00530D6A" w:rsidRPr="00530D6A">
              <w:t xml:space="preserve"> iki 2017 m. rugsėjo 22 d. 15:00 val.</w:t>
            </w:r>
          </w:p>
          <w:p w:rsidR="00530D6A" w:rsidRPr="00530D6A" w:rsidRDefault="000D2DD3" w:rsidP="00530D6A">
            <w:pPr>
              <w:pStyle w:val="NormalWeb"/>
              <w:rPr>
                <w:rFonts w:ascii="Open Sans" w:hAnsi="Open Sans" w:cs="Helvetica"/>
              </w:rPr>
            </w:pPr>
            <w:r w:rsidRPr="00530D6A">
              <w:rPr>
                <w:rFonts w:ascii="Open Sans" w:hAnsi="Open Sans" w:cs="Helvetica"/>
              </w:rPr>
              <w:t>CPVA neprisiima atsakomybės dėl ne laiku pristatytų paraiškų.</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Įgyvendinančiosios institucijos, priimančios paraiškas, pavadinimas: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VšĮ „Centrinė projektų valdymo agentūra“</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Įgyvendinančiosios institucijos adresas: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S. Konarskio g. 13, LT- 03109 Vilnius</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Konsultuojančių įgyvendinančiosios institucijos darbuotojų vardai, pavardės, kontaktai (el. paštas, telefonas):</w:t>
            </w: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Style w:val="Emphasis"/>
                <w:rFonts w:ascii="Times New Roman" w:hAnsi="Times New Roman" w:cs="Times New Roman"/>
                <w:b/>
                <w:bCs/>
                <w:i w:val="0"/>
                <w:sz w:val="24"/>
                <w:szCs w:val="24"/>
              </w:rPr>
              <w:t>Viktorija Leskauskienė</w:t>
            </w:r>
            <w:r w:rsidRPr="00A04DA7">
              <w:rPr>
                <w:rStyle w:val="Emphasis"/>
                <w:rFonts w:ascii="Times New Roman" w:hAnsi="Times New Roman" w:cs="Times New Roman"/>
                <w:i w:val="0"/>
                <w:sz w:val="24"/>
                <w:szCs w:val="24"/>
              </w:rPr>
              <w:t xml:space="preserve">, Struktūrinės paramos projektų I departamento </w:t>
            </w:r>
            <w:hyperlink r:id="rId10" w:history="1">
              <w:r w:rsidRPr="00A04DA7">
                <w:rPr>
                  <w:rFonts w:ascii="Times New Roman" w:hAnsi="Times New Roman" w:cs="Times New Roman"/>
                  <w:sz w:val="24"/>
                  <w:szCs w:val="24"/>
                </w:rPr>
                <w:t>Techninės pararamos</w:t>
              </w:r>
              <w:r w:rsidRPr="00A04DA7">
                <w:rPr>
                  <w:rStyle w:val="Emphasis"/>
                  <w:rFonts w:ascii="Times New Roman" w:hAnsi="Times New Roman" w:cs="Times New Roman"/>
                  <w:i w:val="0"/>
                  <w:sz w:val="24"/>
                  <w:szCs w:val="24"/>
                </w:rPr>
                <w:t xml:space="preserve"> projektų</w:t>
              </w:r>
            </w:hyperlink>
            <w:r w:rsidRPr="00A04DA7">
              <w:rPr>
                <w:rStyle w:val="Emphasis"/>
                <w:rFonts w:ascii="Times New Roman" w:hAnsi="Times New Roman" w:cs="Times New Roman"/>
                <w:i w:val="0"/>
                <w:sz w:val="24"/>
                <w:szCs w:val="24"/>
              </w:rPr>
              <w:t xml:space="preserve"> </w:t>
            </w:r>
            <w:hyperlink r:id="rId11" w:history="1">
              <w:r w:rsidRPr="00A04DA7">
                <w:rPr>
                  <w:rStyle w:val="Emphasis"/>
                  <w:rFonts w:ascii="Times New Roman" w:hAnsi="Times New Roman" w:cs="Times New Roman"/>
                  <w:i w:val="0"/>
                  <w:sz w:val="24"/>
                  <w:szCs w:val="24"/>
                </w:rPr>
                <w:t>skyriaus</w:t>
              </w:r>
            </w:hyperlink>
            <w:r w:rsidR="00B17A76">
              <w:rPr>
                <w:rStyle w:val="Emphasis"/>
                <w:rFonts w:ascii="Times New Roman" w:hAnsi="Times New Roman" w:cs="Times New Roman"/>
                <w:i w:val="0"/>
                <w:sz w:val="24"/>
                <w:szCs w:val="24"/>
              </w:rPr>
              <w:t xml:space="preserve"> vyresnioji projektų vadovė,</w:t>
            </w:r>
            <w:bookmarkStart w:id="0" w:name="_GoBack"/>
            <w:bookmarkEnd w:id="0"/>
            <w:r w:rsidRPr="00A04DA7">
              <w:rPr>
                <w:rStyle w:val="Emphasis"/>
                <w:rFonts w:ascii="Times New Roman" w:hAnsi="Times New Roman" w:cs="Times New Roman"/>
                <w:i w:val="0"/>
                <w:sz w:val="24"/>
                <w:szCs w:val="24"/>
              </w:rPr>
              <w:t xml:space="preserve"> </w:t>
            </w:r>
            <w:hyperlink r:id="rId12" w:history="1">
              <w:r w:rsidRPr="00A04DA7">
                <w:rPr>
                  <w:rStyle w:val="Hyperlink"/>
                  <w:rFonts w:ascii="Times New Roman" w:hAnsi="Times New Roman" w:cs="Times New Roman"/>
                  <w:iCs/>
                  <w:sz w:val="24"/>
                  <w:szCs w:val="24"/>
                </w:rPr>
                <w:t>v.leskauskiene@cpva.lt</w:t>
              </w:r>
            </w:hyperlink>
            <w:r w:rsidRPr="00A04DA7">
              <w:rPr>
                <w:rStyle w:val="Emphasis"/>
                <w:rFonts w:ascii="Times New Roman" w:hAnsi="Times New Roman" w:cs="Times New Roman"/>
                <w:i w:val="0"/>
                <w:sz w:val="24"/>
                <w:szCs w:val="24"/>
              </w:rPr>
              <w:t>, tel.: 8 5 219 15 93</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lastRenderedPageBreak/>
              <w:t>Interneto svetainės, kurioje galima rasti kvietimo dokumentus, adresas: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EB1B4B" w:rsidRPr="00A04DA7" w:rsidRDefault="00CC5E84" w:rsidP="00A04DA7">
            <w:pPr>
              <w:jc w:val="both"/>
              <w:rPr>
                <w:rFonts w:ascii="Times New Roman" w:hAnsi="Times New Roman" w:cs="Times New Roman"/>
                <w:sz w:val="24"/>
                <w:szCs w:val="24"/>
              </w:rPr>
            </w:pPr>
            <w:hyperlink r:id="rId13" w:history="1">
              <w:r w:rsidR="00EB1B4B" w:rsidRPr="00A04DA7">
                <w:rPr>
                  <w:rStyle w:val="Hyperlink"/>
                  <w:rFonts w:ascii="Times New Roman" w:hAnsi="Times New Roman" w:cs="Times New Roman"/>
                  <w:sz w:val="24"/>
                  <w:szCs w:val="24"/>
                </w:rPr>
                <w:t>http://www.esinvesticijos.lt/paskelbti_kvietimai</w:t>
              </w:r>
            </w:hyperlink>
            <w:r w:rsidR="00EB1B4B" w:rsidRPr="00A04DA7">
              <w:rPr>
                <w:rFonts w:ascii="Times New Roman" w:hAnsi="Times New Roman" w:cs="Times New Roman"/>
                <w:sz w:val="24"/>
                <w:szCs w:val="24"/>
              </w:rPr>
              <w:t xml:space="preserve"> </w:t>
            </w:r>
          </w:p>
          <w:p w:rsidR="005A70BE" w:rsidRPr="00A04DA7" w:rsidRDefault="00CC5E84" w:rsidP="00150895">
            <w:pPr>
              <w:spacing w:before="120" w:after="120"/>
              <w:jc w:val="both"/>
              <w:rPr>
                <w:rFonts w:ascii="Times New Roman" w:hAnsi="Times New Roman" w:cs="Times New Roman"/>
                <w:sz w:val="24"/>
                <w:szCs w:val="24"/>
              </w:rPr>
            </w:pPr>
            <w:hyperlink r:id="rId14" w:history="1">
              <w:r w:rsidR="00A04DA7" w:rsidRPr="00A04DA7">
                <w:rPr>
                  <w:rStyle w:val="Hyperlink"/>
                  <w:rFonts w:ascii="Times New Roman" w:hAnsi="Times New Roman" w:cs="Times New Roman"/>
                  <w:sz w:val="24"/>
                  <w:szCs w:val="24"/>
                </w:rPr>
                <w:t>https://www.cpva.lt/lt/veikla/paramos-administravimas/es-fondu-investicijos-q6t3/finansuojamos-sritys/technine-parama/12.0.1-cpva-k-ht3n.html</w:t>
              </w:r>
            </w:hyperlink>
            <w:r w:rsidR="00A04DA7" w:rsidRPr="00A04DA7">
              <w:rPr>
                <w:rFonts w:ascii="Times New Roman" w:hAnsi="Times New Roman" w:cs="Times New Roman"/>
                <w:sz w:val="24"/>
                <w:szCs w:val="24"/>
              </w:rPr>
              <w:t xml:space="preserve"> </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Kita informacija:</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2F2BF7" w:rsidP="0089227C">
            <w:pPr>
              <w:jc w:val="both"/>
              <w:rPr>
                <w:rFonts w:ascii="Times New Roman" w:hAnsi="Times New Roman" w:cs="Times New Roman"/>
                <w:sz w:val="24"/>
                <w:szCs w:val="24"/>
              </w:rPr>
            </w:pPr>
            <w:r w:rsidRPr="00A04DA7">
              <w:rPr>
                <w:rFonts w:ascii="Times New Roman" w:hAnsi="Times New Roman" w:cs="Times New Roman"/>
                <w:sz w:val="24"/>
                <w:szCs w:val="24"/>
              </w:rPr>
              <w:t>Mokymai planuojami</w:t>
            </w:r>
            <w:r w:rsidR="005A70BE" w:rsidRPr="00A04DA7">
              <w:rPr>
                <w:rFonts w:ascii="Times New Roman" w:hAnsi="Times New Roman" w:cs="Times New Roman"/>
                <w:sz w:val="24"/>
                <w:szCs w:val="24"/>
              </w:rPr>
              <w:t xml:space="preserve"> 2017 m. rugpjūčio mėn. </w:t>
            </w:r>
            <w:r w:rsidR="00BE33BD">
              <w:rPr>
                <w:rFonts w:ascii="Times New Roman" w:hAnsi="Times New Roman" w:cs="Times New Roman"/>
                <w:sz w:val="24"/>
                <w:szCs w:val="24"/>
              </w:rPr>
              <w:t>(mokymų data</w:t>
            </w:r>
            <w:r w:rsidR="005A70BE" w:rsidRPr="00A04DA7">
              <w:rPr>
                <w:rFonts w:ascii="Times New Roman" w:hAnsi="Times New Roman" w:cs="Times New Roman"/>
                <w:sz w:val="24"/>
                <w:szCs w:val="24"/>
              </w:rPr>
              <w:t xml:space="preserve"> bus paskelbta </w:t>
            </w:r>
            <w:hyperlink r:id="rId15" w:history="1">
              <w:r w:rsidR="005A70BE" w:rsidRPr="00A04DA7">
                <w:rPr>
                  <w:rStyle w:val="Hyperlink"/>
                  <w:rFonts w:ascii="Times New Roman" w:hAnsi="Times New Roman" w:cs="Times New Roman"/>
                  <w:sz w:val="24"/>
                  <w:szCs w:val="24"/>
                </w:rPr>
                <w:t>www.esinvesticijos.lt</w:t>
              </w:r>
            </w:hyperlink>
            <w:r w:rsidR="005A70BE" w:rsidRPr="00A04DA7">
              <w:rPr>
                <w:rFonts w:ascii="Times New Roman" w:hAnsi="Times New Roman" w:cs="Times New Roman"/>
                <w:sz w:val="24"/>
                <w:szCs w:val="24"/>
              </w:rPr>
              <w:t xml:space="preserve"> ir </w:t>
            </w:r>
            <w:hyperlink r:id="rId16" w:history="1">
              <w:r w:rsidR="005A70BE" w:rsidRPr="00A04DA7">
                <w:rPr>
                  <w:rStyle w:val="Hyperlink"/>
                  <w:rFonts w:ascii="Times New Roman" w:hAnsi="Times New Roman" w:cs="Times New Roman"/>
                  <w:sz w:val="24"/>
                  <w:szCs w:val="24"/>
                </w:rPr>
                <w:t>www.cpva.lt</w:t>
              </w:r>
            </w:hyperlink>
            <w:r w:rsidR="00EE6EE7">
              <w:rPr>
                <w:rStyle w:val="Hyperlink"/>
                <w:rFonts w:ascii="Times New Roman" w:hAnsi="Times New Roman" w:cs="Times New Roman"/>
                <w:sz w:val="24"/>
                <w:szCs w:val="24"/>
              </w:rPr>
              <w:t xml:space="preserve">, </w:t>
            </w:r>
            <w:r w:rsidR="00EE6EE7" w:rsidRPr="00EE6EE7">
              <w:rPr>
                <w:rFonts w:ascii="Times New Roman" w:hAnsi="Times New Roman" w:cs="Times New Roman"/>
                <w:sz w:val="24"/>
                <w:szCs w:val="24"/>
              </w:rPr>
              <w:t>skiltyje „Renginiai“</w:t>
            </w:r>
            <w:r w:rsidR="00BE33BD" w:rsidRPr="00EE6EE7">
              <w:rPr>
                <w:rFonts w:ascii="Times New Roman" w:hAnsi="Times New Roman" w:cs="Times New Roman"/>
                <w:sz w:val="24"/>
                <w:szCs w:val="24"/>
              </w:rPr>
              <w:t>)</w:t>
            </w:r>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84" w:rsidRDefault="00CC5E84" w:rsidP="0039439E">
      <w:pPr>
        <w:spacing w:after="0" w:line="240" w:lineRule="auto"/>
      </w:pPr>
      <w:r>
        <w:separator/>
      </w:r>
    </w:p>
  </w:endnote>
  <w:endnote w:type="continuationSeparator" w:id="0">
    <w:p w:rsidR="00CC5E84" w:rsidRDefault="00CC5E84"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84" w:rsidRDefault="00CC5E84" w:rsidP="0039439E">
      <w:pPr>
        <w:spacing w:after="0" w:line="240" w:lineRule="auto"/>
      </w:pPr>
      <w:r>
        <w:separator/>
      </w:r>
    </w:p>
  </w:footnote>
  <w:footnote w:type="continuationSeparator" w:id="0">
    <w:p w:rsidR="00CC5E84" w:rsidRDefault="00CC5E84"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B0270B"/>
    <w:multiLevelType w:val="hybridMultilevel"/>
    <w:tmpl w:val="0F8E00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925091"/>
    <w:multiLevelType w:val="hybridMultilevel"/>
    <w:tmpl w:val="29F4C7A8"/>
    <w:lvl w:ilvl="0" w:tplc="F3968538">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3081"/>
    <w:rsid w:val="0000618B"/>
    <w:rsid w:val="00011C71"/>
    <w:rsid w:val="00043184"/>
    <w:rsid w:val="00060CC8"/>
    <w:rsid w:val="000621D0"/>
    <w:rsid w:val="00062C3A"/>
    <w:rsid w:val="00067B16"/>
    <w:rsid w:val="0007387F"/>
    <w:rsid w:val="00080BB6"/>
    <w:rsid w:val="00086E14"/>
    <w:rsid w:val="00091589"/>
    <w:rsid w:val="000B11C4"/>
    <w:rsid w:val="000C45EC"/>
    <w:rsid w:val="000D2DD3"/>
    <w:rsid w:val="000E01B1"/>
    <w:rsid w:val="000E1271"/>
    <w:rsid w:val="000E78ED"/>
    <w:rsid w:val="000F20D9"/>
    <w:rsid w:val="0010178B"/>
    <w:rsid w:val="00104657"/>
    <w:rsid w:val="00104F84"/>
    <w:rsid w:val="001218CD"/>
    <w:rsid w:val="00122BD1"/>
    <w:rsid w:val="00134C57"/>
    <w:rsid w:val="00150895"/>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2100A"/>
    <w:rsid w:val="0028256E"/>
    <w:rsid w:val="002A1851"/>
    <w:rsid w:val="002B1825"/>
    <w:rsid w:val="002D490B"/>
    <w:rsid w:val="002D4CF1"/>
    <w:rsid w:val="002E62A4"/>
    <w:rsid w:val="002F2BF7"/>
    <w:rsid w:val="002F7369"/>
    <w:rsid w:val="00323301"/>
    <w:rsid w:val="00356DD9"/>
    <w:rsid w:val="00362FE9"/>
    <w:rsid w:val="003673A5"/>
    <w:rsid w:val="00370B44"/>
    <w:rsid w:val="00370DB6"/>
    <w:rsid w:val="00374683"/>
    <w:rsid w:val="003815C2"/>
    <w:rsid w:val="00381AB0"/>
    <w:rsid w:val="00390735"/>
    <w:rsid w:val="0039439E"/>
    <w:rsid w:val="003B79DC"/>
    <w:rsid w:val="003C0ABF"/>
    <w:rsid w:val="003E0323"/>
    <w:rsid w:val="003F130D"/>
    <w:rsid w:val="003F3603"/>
    <w:rsid w:val="003F4E68"/>
    <w:rsid w:val="00431DAB"/>
    <w:rsid w:val="004405CB"/>
    <w:rsid w:val="00444F58"/>
    <w:rsid w:val="00464C75"/>
    <w:rsid w:val="00467F32"/>
    <w:rsid w:val="0047242D"/>
    <w:rsid w:val="00483635"/>
    <w:rsid w:val="00485DFB"/>
    <w:rsid w:val="00490B21"/>
    <w:rsid w:val="004A16E8"/>
    <w:rsid w:val="004B59E4"/>
    <w:rsid w:val="004D5DF9"/>
    <w:rsid w:val="004E3165"/>
    <w:rsid w:val="004E7A87"/>
    <w:rsid w:val="004F5E3A"/>
    <w:rsid w:val="005029E8"/>
    <w:rsid w:val="005124A8"/>
    <w:rsid w:val="00515A43"/>
    <w:rsid w:val="00527292"/>
    <w:rsid w:val="00530D6A"/>
    <w:rsid w:val="005364E0"/>
    <w:rsid w:val="0054495C"/>
    <w:rsid w:val="00547EF5"/>
    <w:rsid w:val="0055013B"/>
    <w:rsid w:val="00566E39"/>
    <w:rsid w:val="005723CE"/>
    <w:rsid w:val="0059692C"/>
    <w:rsid w:val="005A70BE"/>
    <w:rsid w:val="005C76B3"/>
    <w:rsid w:val="005D1B0B"/>
    <w:rsid w:val="005F1C01"/>
    <w:rsid w:val="006069C0"/>
    <w:rsid w:val="00632DB6"/>
    <w:rsid w:val="00644A0F"/>
    <w:rsid w:val="00645733"/>
    <w:rsid w:val="00673BCE"/>
    <w:rsid w:val="00682BE6"/>
    <w:rsid w:val="0069129D"/>
    <w:rsid w:val="00696EBD"/>
    <w:rsid w:val="006A0F73"/>
    <w:rsid w:val="006A194C"/>
    <w:rsid w:val="006C6A5E"/>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0265"/>
    <w:rsid w:val="007F6BCA"/>
    <w:rsid w:val="007F71EA"/>
    <w:rsid w:val="00826D46"/>
    <w:rsid w:val="00827628"/>
    <w:rsid w:val="008379FF"/>
    <w:rsid w:val="00845C32"/>
    <w:rsid w:val="00851BE2"/>
    <w:rsid w:val="00867E87"/>
    <w:rsid w:val="008773C4"/>
    <w:rsid w:val="0089227C"/>
    <w:rsid w:val="008A096F"/>
    <w:rsid w:val="008A129C"/>
    <w:rsid w:val="008C114A"/>
    <w:rsid w:val="008D6FEE"/>
    <w:rsid w:val="008E1270"/>
    <w:rsid w:val="008E41A8"/>
    <w:rsid w:val="008E7B67"/>
    <w:rsid w:val="00912E4F"/>
    <w:rsid w:val="00926030"/>
    <w:rsid w:val="0094300F"/>
    <w:rsid w:val="00943DF9"/>
    <w:rsid w:val="00951E73"/>
    <w:rsid w:val="00965B0C"/>
    <w:rsid w:val="009707D6"/>
    <w:rsid w:val="0098653C"/>
    <w:rsid w:val="00992423"/>
    <w:rsid w:val="00992AC6"/>
    <w:rsid w:val="009D6DF7"/>
    <w:rsid w:val="00A04DA7"/>
    <w:rsid w:val="00A23E55"/>
    <w:rsid w:val="00A26EDF"/>
    <w:rsid w:val="00A34F18"/>
    <w:rsid w:val="00A44648"/>
    <w:rsid w:val="00A44D8C"/>
    <w:rsid w:val="00A529DD"/>
    <w:rsid w:val="00A61D91"/>
    <w:rsid w:val="00A703A7"/>
    <w:rsid w:val="00A967D9"/>
    <w:rsid w:val="00A97206"/>
    <w:rsid w:val="00AA05EF"/>
    <w:rsid w:val="00AC4324"/>
    <w:rsid w:val="00AD4D76"/>
    <w:rsid w:val="00AE7AFB"/>
    <w:rsid w:val="00B1633E"/>
    <w:rsid w:val="00B174AF"/>
    <w:rsid w:val="00B17A76"/>
    <w:rsid w:val="00B24D93"/>
    <w:rsid w:val="00B42FF4"/>
    <w:rsid w:val="00B537A5"/>
    <w:rsid w:val="00B64206"/>
    <w:rsid w:val="00B7079A"/>
    <w:rsid w:val="00B84A20"/>
    <w:rsid w:val="00B85A62"/>
    <w:rsid w:val="00B912B8"/>
    <w:rsid w:val="00BB1463"/>
    <w:rsid w:val="00BC0EB1"/>
    <w:rsid w:val="00BC1023"/>
    <w:rsid w:val="00BC66AE"/>
    <w:rsid w:val="00BC69A1"/>
    <w:rsid w:val="00BE213A"/>
    <w:rsid w:val="00BE33BD"/>
    <w:rsid w:val="00BF1C03"/>
    <w:rsid w:val="00C05051"/>
    <w:rsid w:val="00C1392A"/>
    <w:rsid w:val="00C16ADB"/>
    <w:rsid w:val="00C20E74"/>
    <w:rsid w:val="00C336EE"/>
    <w:rsid w:val="00C458C7"/>
    <w:rsid w:val="00C54E49"/>
    <w:rsid w:val="00CC484A"/>
    <w:rsid w:val="00CC5E84"/>
    <w:rsid w:val="00CD2794"/>
    <w:rsid w:val="00CD4464"/>
    <w:rsid w:val="00CF6934"/>
    <w:rsid w:val="00CF71F6"/>
    <w:rsid w:val="00D0100B"/>
    <w:rsid w:val="00D039E5"/>
    <w:rsid w:val="00D06A15"/>
    <w:rsid w:val="00D147F5"/>
    <w:rsid w:val="00D14D15"/>
    <w:rsid w:val="00D2230D"/>
    <w:rsid w:val="00D3180E"/>
    <w:rsid w:val="00D37B95"/>
    <w:rsid w:val="00D71E42"/>
    <w:rsid w:val="00DD5E0B"/>
    <w:rsid w:val="00DE5318"/>
    <w:rsid w:val="00DE6ED1"/>
    <w:rsid w:val="00E01724"/>
    <w:rsid w:val="00E058E0"/>
    <w:rsid w:val="00E16CCD"/>
    <w:rsid w:val="00E20087"/>
    <w:rsid w:val="00E441E2"/>
    <w:rsid w:val="00E65D4D"/>
    <w:rsid w:val="00E76CC3"/>
    <w:rsid w:val="00E83C33"/>
    <w:rsid w:val="00E960DE"/>
    <w:rsid w:val="00E97C9C"/>
    <w:rsid w:val="00EA680C"/>
    <w:rsid w:val="00EB1B4B"/>
    <w:rsid w:val="00ED6836"/>
    <w:rsid w:val="00EE1B8B"/>
    <w:rsid w:val="00EE6EE7"/>
    <w:rsid w:val="00EF2642"/>
    <w:rsid w:val="00EF3E98"/>
    <w:rsid w:val="00EF40B8"/>
    <w:rsid w:val="00F210BA"/>
    <w:rsid w:val="00F34C79"/>
    <w:rsid w:val="00F442AD"/>
    <w:rsid w:val="00F62F67"/>
    <w:rsid w:val="00F726EE"/>
    <w:rsid w:val="00FA0C55"/>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67214-BDC3-4D57-B1B0-4878D860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unhideWhenUsed/>
    <w:rsid w:val="005A70BE"/>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A70BE"/>
    <w:rPr>
      <w:i/>
      <w:iCs/>
    </w:rPr>
  </w:style>
  <w:style w:type="character" w:styleId="FollowedHyperlink">
    <w:name w:val="FollowedHyperlink"/>
    <w:basedOn w:val="DefaultParagraphFont"/>
    <w:uiPriority w:val="99"/>
    <w:semiHidden/>
    <w:unhideWhenUsed/>
    <w:rsid w:val="00323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723584">
      <w:bodyDiv w:val="1"/>
      <w:marLeft w:val="0"/>
      <w:marRight w:val="0"/>
      <w:marTop w:val="0"/>
      <w:marBottom w:val="0"/>
      <w:divBdr>
        <w:top w:val="none" w:sz="0" w:space="0" w:color="auto"/>
        <w:left w:val="none" w:sz="0" w:space="0" w:color="auto"/>
        <w:bottom w:val="none" w:sz="0" w:space="0" w:color="auto"/>
        <w:right w:val="none" w:sz="0" w:space="0" w:color="auto"/>
      </w:divBdr>
      <w:divsChild>
        <w:div w:id="648441311">
          <w:marLeft w:val="0"/>
          <w:marRight w:val="0"/>
          <w:marTop w:val="0"/>
          <w:marBottom w:val="0"/>
          <w:divBdr>
            <w:top w:val="none" w:sz="0" w:space="0" w:color="auto"/>
            <w:left w:val="none" w:sz="0" w:space="0" w:color="auto"/>
            <w:bottom w:val="none" w:sz="0" w:space="0" w:color="auto"/>
            <w:right w:val="none" w:sz="0" w:space="0" w:color="auto"/>
          </w:divBdr>
          <w:divsChild>
            <w:div w:id="1135291696">
              <w:marLeft w:val="2970"/>
              <w:marRight w:val="0"/>
              <w:marTop w:val="0"/>
              <w:marBottom w:val="0"/>
              <w:divBdr>
                <w:top w:val="none" w:sz="0" w:space="0" w:color="auto"/>
                <w:left w:val="none" w:sz="0" w:space="0" w:color="auto"/>
                <w:bottom w:val="none" w:sz="0" w:space="0" w:color="auto"/>
                <w:right w:val="none" w:sz="0" w:space="0" w:color="auto"/>
              </w:divBdr>
              <w:divsChild>
                <w:div w:id="380711497">
                  <w:marLeft w:val="0"/>
                  <w:marRight w:val="0"/>
                  <w:marTop w:val="0"/>
                  <w:marBottom w:val="0"/>
                  <w:divBdr>
                    <w:top w:val="none" w:sz="0" w:space="0" w:color="auto"/>
                    <w:left w:val="none" w:sz="0" w:space="0" w:color="auto"/>
                    <w:bottom w:val="none" w:sz="0" w:space="0" w:color="auto"/>
                    <w:right w:val="none" w:sz="0" w:space="0" w:color="auto"/>
                  </w:divBdr>
                  <w:divsChild>
                    <w:div w:id="1408839664">
                      <w:marLeft w:val="0"/>
                      <w:marRight w:val="0"/>
                      <w:marTop w:val="0"/>
                      <w:marBottom w:val="0"/>
                      <w:divBdr>
                        <w:top w:val="none" w:sz="0" w:space="0" w:color="auto"/>
                        <w:left w:val="none" w:sz="0" w:space="0" w:color="auto"/>
                        <w:bottom w:val="none" w:sz="0" w:space="0" w:color="auto"/>
                        <w:right w:val="none" w:sz="0" w:space="0" w:color="auto"/>
                      </w:divBdr>
                      <w:divsChild>
                        <w:div w:id="2060208015">
                          <w:marLeft w:val="0"/>
                          <w:marRight w:val="0"/>
                          <w:marTop w:val="0"/>
                          <w:marBottom w:val="0"/>
                          <w:divBdr>
                            <w:top w:val="none" w:sz="0" w:space="0" w:color="auto"/>
                            <w:left w:val="none" w:sz="0" w:space="0" w:color="auto"/>
                            <w:bottom w:val="none" w:sz="0" w:space="0" w:color="auto"/>
                            <w:right w:val="none" w:sz="0" w:space="0" w:color="auto"/>
                          </w:divBdr>
                          <w:divsChild>
                            <w:div w:id="932519217">
                              <w:marLeft w:val="0"/>
                              <w:marRight w:val="0"/>
                              <w:marTop w:val="0"/>
                              <w:marBottom w:val="0"/>
                              <w:divBdr>
                                <w:top w:val="none" w:sz="0" w:space="0" w:color="auto"/>
                                <w:left w:val="none" w:sz="0" w:space="0" w:color="auto"/>
                                <w:bottom w:val="none" w:sz="0" w:space="0" w:color="auto"/>
                                <w:right w:val="none" w:sz="0" w:space="0" w:color="auto"/>
                              </w:divBdr>
                              <w:divsChild>
                                <w:div w:id="15473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paskelbti_kvietim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eskauskiene@c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cpva.lt/lt/kontaktai_425_63/kontaktai_425.html?dep=1;sky=30"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hyperlink" Target="https://www.cpva.lt/lt/veikla/paramos-administravimas/es-fondu-investicijos-q6t3/finansuojamos-sritys/technine-parama/12.0.1-cpva-k-ht3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4394-A837-4A03-8400-31B2AA09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4135</Words>
  <Characters>2357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Viktorija Leskauskienė</cp:lastModifiedBy>
  <cp:revision>5</cp:revision>
  <cp:lastPrinted>2017-07-10T05:24:00Z</cp:lastPrinted>
  <dcterms:created xsi:type="dcterms:W3CDTF">2017-08-04T12:19:00Z</dcterms:created>
  <dcterms:modified xsi:type="dcterms:W3CDTF">2017-08-04T12:27:00Z</dcterms:modified>
</cp:coreProperties>
</file>