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5C" w:rsidRPr="00C92945" w:rsidRDefault="00945D30" w:rsidP="00945D30">
      <w:pPr>
        <w:jc w:val="center"/>
        <w:rPr>
          <w:rFonts w:ascii="Times New Roman" w:hAnsi="Times New Roman"/>
          <w:b/>
          <w:sz w:val="24"/>
          <w:szCs w:val="24"/>
          <w:lang w:val="lt-LT"/>
        </w:rPr>
      </w:pPr>
      <w:r w:rsidRPr="00C92945">
        <w:rPr>
          <w:rFonts w:ascii="Times New Roman" w:hAnsi="Times New Roman"/>
          <w:b/>
          <w:sz w:val="24"/>
          <w:szCs w:val="24"/>
          <w:lang w:val="lt-LT"/>
        </w:rPr>
        <w:t>PATIKROS LAPAS DĖL VALSTYBĖS PAGALBOS</w:t>
      </w:r>
      <w:r w:rsidR="00CF50F9" w:rsidRPr="00C92945">
        <w:rPr>
          <w:rFonts w:ascii="Times New Roman" w:hAnsi="Times New Roman"/>
          <w:b/>
          <w:sz w:val="24"/>
          <w:szCs w:val="24"/>
          <w:lang w:val="lt-LT"/>
        </w:rPr>
        <w:t xml:space="preserve"> </w:t>
      </w:r>
      <w:r w:rsidR="009467C4" w:rsidRPr="00C92945">
        <w:rPr>
          <w:rFonts w:ascii="Times New Roman" w:hAnsi="Times New Roman"/>
          <w:b/>
          <w:sz w:val="24"/>
          <w:szCs w:val="24"/>
          <w:lang w:val="lt-LT"/>
        </w:rPr>
        <w:t xml:space="preserve">IR </w:t>
      </w:r>
      <w:r w:rsidR="009467C4" w:rsidRPr="00C92945">
        <w:rPr>
          <w:rFonts w:ascii="Times New Roman" w:hAnsi="Times New Roman"/>
          <w:b/>
          <w:i/>
          <w:sz w:val="24"/>
          <w:szCs w:val="24"/>
          <w:lang w:val="lt-LT"/>
        </w:rPr>
        <w:t>DE MINIMIS</w:t>
      </w:r>
      <w:r w:rsidR="009467C4" w:rsidRPr="00C92945">
        <w:rPr>
          <w:rFonts w:ascii="Times New Roman" w:hAnsi="Times New Roman"/>
          <w:b/>
          <w:sz w:val="24"/>
          <w:szCs w:val="24"/>
          <w:lang w:val="lt-LT"/>
        </w:rPr>
        <w:t xml:space="preserve"> PAGALBOS </w:t>
      </w:r>
      <w:r w:rsidR="00CF50F9" w:rsidRPr="00C92945">
        <w:rPr>
          <w:rFonts w:ascii="Times New Roman" w:hAnsi="Times New Roman"/>
          <w:b/>
          <w:sz w:val="24"/>
          <w:szCs w:val="24"/>
          <w:lang w:val="lt-LT"/>
        </w:rPr>
        <w:t>BUVIMO AR NEBUVIMO</w:t>
      </w:r>
    </w:p>
    <w:p w:rsidR="00945D30" w:rsidRPr="00B16FD9" w:rsidRDefault="00945D30" w:rsidP="00945D30">
      <w:pPr>
        <w:spacing w:after="0" w:line="240" w:lineRule="auto"/>
        <w:jc w:val="center"/>
        <w:rPr>
          <w:rFonts w:ascii="Times New Roman" w:hAnsi="Times New Roman"/>
          <w:sz w:val="24"/>
          <w:szCs w:val="24"/>
          <w:lang w:val="lt-LT"/>
        </w:rPr>
      </w:pPr>
      <w:r w:rsidRPr="00B16FD9">
        <w:rPr>
          <w:rFonts w:ascii="Times New Roman" w:hAnsi="Times New Roman"/>
          <w:sz w:val="24"/>
          <w:szCs w:val="24"/>
          <w:lang w:val="lt-LT"/>
        </w:rPr>
        <w:t>____________________</w:t>
      </w:r>
    </w:p>
    <w:p w:rsidR="00945D30" w:rsidRPr="00B16FD9" w:rsidRDefault="00945D30" w:rsidP="00945D30">
      <w:pPr>
        <w:spacing w:after="0" w:line="240" w:lineRule="auto"/>
        <w:jc w:val="center"/>
        <w:rPr>
          <w:rFonts w:ascii="Times New Roman" w:hAnsi="Times New Roman"/>
          <w:sz w:val="20"/>
          <w:szCs w:val="20"/>
          <w:lang w:val="lt-LT"/>
        </w:rPr>
      </w:pPr>
      <w:r w:rsidRPr="00B16FD9">
        <w:rPr>
          <w:rFonts w:ascii="Times New Roman" w:hAnsi="Times New Roman"/>
          <w:sz w:val="20"/>
          <w:szCs w:val="20"/>
          <w:lang w:val="lt-LT"/>
        </w:rPr>
        <w:t>(Data)</w:t>
      </w:r>
    </w:p>
    <w:p w:rsidR="00945D30" w:rsidRPr="00B16FD9" w:rsidRDefault="00945D30" w:rsidP="00945D30">
      <w:pPr>
        <w:spacing w:after="0" w:line="240" w:lineRule="auto"/>
        <w:jc w:val="center"/>
        <w:rPr>
          <w:rFonts w:ascii="Times New Roman" w:hAnsi="Times New Roman"/>
          <w:sz w:val="24"/>
          <w:szCs w:val="24"/>
          <w:lang w:val="lt-LT"/>
        </w:rPr>
      </w:pPr>
    </w:p>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B16FD9" w:rsidRPr="003871C6" w:rsidTr="003871C6">
        <w:tc>
          <w:tcPr>
            <w:tcW w:w="5094" w:type="dxa"/>
            <w:shd w:val="clear" w:color="auto" w:fill="auto"/>
          </w:tcPr>
          <w:p w:rsidR="00945D30" w:rsidRPr="003871C6" w:rsidRDefault="00945D30" w:rsidP="003871C6">
            <w:pPr>
              <w:spacing w:after="0" w:line="240" w:lineRule="auto"/>
              <w:rPr>
                <w:rFonts w:ascii="Times New Roman" w:hAnsi="Times New Roman"/>
                <w:b/>
                <w:lang w:val="lt-LT"/>
              </w:rPr>
            </w:pPr>
            <w:r w:rsidRPr="003871C6">
              <w:rPr>
                <w:rFonts w:ascii="Times New Roman" w:hAnsi="Times New Roman"/>
                <w:b/>
                <w:lang w:val="lt-LT"/>
              </w:rPr>
              <w:t>Priemonės</w:t>
            </w:r>
            <w:r w:rsidR="00BA0AE0" w:rsidRPr="003871C6">
              <w:rPr>
                <w:rFonts w:ascii="Times New Roman" w:hAnsi="Times New Roman"/>
                <w:b/>
                <w:lang w:val="lt-LT"/>
              </w:rPr>
              <w:t>/Projekto</w:t>
            </w:r>
            <w:r w:rsidRPr="003871C6">
              <w:rPr>
                <w:rFonts w:ascii="Times New Roman" w:hAnsi="Times New Roman"/>
                <w:b/>
                <w:lang w:val="lt-LT"/>
              </w:rPr>
              <w:t xml:space="preserve"> numeris</w:t>
            </w:r>
          </w:p>
        </w:tc>
        <w:tc>
          <w:tcPr>
            <w:tcW w:w="5094" w:type="dxa"/>
            <w:shd w:val="clear" w:color="auto" w:fill="auto"/>
          </w:tcPr>
          <w:p w:rsidR="00945D30" w:rsidRPr="00A50BF0" w:rsidRDefault="00A50BF0" w:rsidP="00A50BF0">
            <w:pPr>
              <w:spacing w:after="0" w:line="240" w:lineRule="auto"/>
              <w:rPr>
                <w:rFonts w:ascii="Times New Roman" w:hAnsi="Times New Roman"/>
                <w:lang w:val="lt-LT"/>
              </w:rPr>
            </w:pPr>
            <w:r w:rsidRPr="00A50BF0">
              <w:rPr>
                <w:rFonts w:ascii="Times New Roman" w:hAnsi="Times New Roman"/>
                <w:lang w:val="lt-LT"/>
              </w:rPr>
              <w:t>05.3.1-APVA-V-</w:t>
            </w:r>
            <w:r>
              <w:rPr>
                <w:rFonts w:ascii="Times New Roman" w:hAnsi="Times New Roman"/>
                <w:lang w:val="lt-LT"/>
              </w:rPr>
              <w:t>011</w:t>
            </w:r>
          </w:p>
        </w:tc>
      </w:tr>
      <w:tr w:rsidR="00B16FD9" w:rsidRPr="003871C6" w:rsidTr="003871C6">
        <w:tc>
          <w:tcPr>
            <w:tcW w:w="5094" w:type="dxa"/>
            <w:shd w:val="clear" w:color="auto" w:fill="auto"/>
          </w:tcPr>
          <w:p w:rsidR="00945D30" w:rsidRPr="003871C6" w:rsidRDefault="00945D30" w:rsidP="003871C6">
            <w:pPr>
              <w:spacing w:after="0" w:line="240" w:lineRule="auto"/>
              <w:rPr>
                <w:rFonts w:ascii="Times New Roman" w:hAnsi="Times New Roman"/>
                <w:b/>
                <w:lang w:val="lt-LT"/>
              </w:rPr>
            </w:pPr>
            <w:r w:rsidRPr="003871C6">
              <w:rPr>
                <w:rFonts w:ascii="Times New Roman" w:hAnsi="Times New Roman"/>
                <w:b/>
                <w:lang w:val="lt-LT"/>
              </w:rPr>
              <w:t>Priemonės</w:t>
            </w:r>
            <w:r w:rsidR="00BA0AE0" w:rsidRPr="003871C6">
              <w:rPr>
                <w:rFonts w:ascii="Times New Roman" w:hAnsi="Times New Roman"/>
                <w:b/>
                <w:lang w:val="lt-LT"/>
              </w:rPr>
              <w:t>/Projekto</w:t>
            </w:r>
            <w:r w:rsidRPr="003871C6">
              <w:rPr>
                <w:rFonts w:ascii="Times New Roman" w:hAnsi="Times New Roman"/>
                <w:b/>
                <w:lang w:val="lt-LT"/>
              </w:rPr>
              <w:t xml:space="preserve"> pavadinimas</w:t>
            </w:r>
          </w:p>
        </w:tc>
        <w:tc>
          <w:tcPr>
            <w:tcW w:w="5094" w:type="dxa"/>
            <w:shd w:val="clear" w:color="auto" w:fill="auto"/>
          </w:tcPr>
          <w:p w:rsidR="00945D30" w:rsidRPr="00A50BF0" w:rsidRDefault="00A50BF0" w:rsidP="003871C6">
            <w:pPr>
              <w:spacing w:after="0" w:line="240" w:lineRule="auto"/>
              <w:rPr>
                <w:rFonts w:ascii="Times New Roman" w:hAnsi="Times New Roman"/>
                <w:lang w:val="lt-LT"/>
              </w:rPr>
            </w:pPr>
            <w:r w:rsidRPr="00A50BF0">
              <w:rPr>
                <w:rFonts w:ascii="Times New Roman" w:hAnsi="Times New Roman"/>
                <w:lang w:val="lt-LT"/>
              </w:rPr>
              <w:t>„Vandens išteklių valdymas ir apsauga“</w:t>
            </w:r>
          </w:p>
        </w:tc>
      </w:tr>
      <w:tr w:rsidR="00A50BF0" w:rsidRPr="0083117E" w:rsidTr="003871C6">
        <w:tc>
          <w:tcPr>
            <w:tcW w:w="5094" w:type="dxa"/>
            <w:shd w:val="clear" w:color="auto" w:fill="auto"/>
          </w:tcPr>
          <w:p w:rsidR="00A50BF0" w:rsidRPr="003871C6" w:rsidRDefault="00A50BF0" w:rsidP="00A50BF0">
            <w:pPr>
              <w:spacing w:after="0" w:line="240" w:lineRule="auto"/>
              <w:rPr>
                <w:rFonts w:ascii="Times New Roman" w:hAnsi="Times New Roman"/>
                <w:b/>
                <w:lang w:val="lt-LT"/>
              </w:rPr>
            </w:pPr>
            <w:r w:rsidRPr="003871C6">
              <w:rPr>
                <w:rFonts w:ascii="Times New Roman" w:hAnsi="Times New Roman"/>
                <w:b/>
                <w:lang w:val="lt-LT"/>
              </w:rPr>
              <w:t>Už priemonę atsakinga ministerija</w:t>
            </w:r>
          </w:p>
        </w:tc>
        <w:tc>
          <w:tcPr>
            <w:tcW w:w="5094" w:type="dxa"/>
            <w:shd w:val="clear" w:color="auto" w:fill="auto"/>
          </w:tcPr>
          <w:p w:rsidR="00A50BF0" w:rsidRPr="000C7558" w:rsidRDefault="00A50BF0" w:rsidP="00A50BF0">
            <w:pPr>
              <w:spacing w:after="0" w:line="240" w:lineRule="auto"/>
              <w:rPr>
                <w:rFonts w:ascii="Times New Roman" w:hAnsi="Times New Roman"/>
                <w:lang w:val="lt-LT"/>
              </w:rPr>
            </w:pPr>
            <w:r w:rsidRPr="00217F0B">
              <w:rPr>
                <w:rFonts w:ascii="Times New Roman" w:hAnsi="Times New Roman"/>
                <w:lang w:val="lt-LT"/>
              </w:rPr>
              <w:t>Lietuvos Respublikos aplinkos ministerija</w:t>
            </w:r>
          </w:p>
        </w:tc>
      </w:tr>
      <w:tr w:rsidR="00A50BF0" w:rsidRPr="0083117E" w:rsidTr="003871C6">
        <w:tc>
          <w:tcPr>
            <w:tcW w:w="5094" w:type="dxa"/>
            <w:shd w:val="clear" w:color="auto" w:fill="auto"/>
          </w:tcPr>
          <w:p w:rsidR="00A50BF0" w:rsidRPr="003871C6" w:rsidRDefault="00A50BF0" w:rsidP="00A50BF0">
            <w:pPr>
              <w:spacing w:after="0" w:line="240" w:lineRule="auto"/>
              <w:rPr>
                <w:rFonts w:ascii="Times New Roman" w:hAnsi="Times New Roman"/>
                <w:b/>
                <w:lang w:val="lt-LT"/>
              </w:rPr>
            </w:pPr>
            <w:r w:rsidRPr="003871C6">
              <w:rPr>
                <w:rFonts w:ascii="Times New Roman" w:hAnsi="Times New Roman"/>
                <w:b/>
                <w:lang w:val="lt-LT"/>
              </w:rPr>
              <w:t>Už priemonę atsakinga įgyvendinančioji institucija</w:t>
            </w:r>
          </w:p>
        </w:tc>
        <w:tc>
          <w:tcPr>
            <w:tcW w:w="5094" w:type="dxa"/>
            <w:shd w:val="clear" w:color="auto" w:fill="auto"/>
          </w:tcPr>
          <w:p w:rsidR="00A50BF0" w:rsidRPr="00217F0B" w:rsidRDefault="00A50BF0" w:rsidP="00A50BF0">
            <w:pPr>
              <w:spacing w:after="0" w:line="240" w:lineRule="auto"/>
              <w:rPr>
                <w:rFonts w:ascii="Times New Roman" w:hAnsi="Times New Roman"/>
                <w:lang w:val="lt-LT"/>
              </w:rPr>
            </w:pPr>
            <w:r w:rsidRPr="00217F0B">
              <w:rPr>
                <w:rFonts w:ascii="Times New Roman" w:hAnsi="Times New Roman"/>
                <w:lang w:val="lt-LT"/>
              </w:rPr>
              <w:t>Lietuvos Respublikos aplinkos ministerijos Aplinkos projektų valdymo agentūra</w:t>
            </w:r>
          </w:p>
        </w:tc>
      </w:tr>
      <w:tr w:rsidR="00B16FD9" w:rsidRPr="0083117E" w:rsidTr="003871C6">
        <w:tc>
          <w:tcPr>
            <w:tcW w:w="5094" w:type="dxa"/>
            <w:shd w:val="clear" w:color="auto" w:fill="auto"/>
          </w:tcPr>
          <w:p w:rsidR="00945D30" w:rsidRPr="003871C6" w:rsidRDefault="00945D30" w:rsidP="003871C6">
            <w:pPr>
              <w:spacing w:after="0" w:line="240" w:lineRule="auto"/>
              <w:rPr>
                <w:rFonts w:ascii="Times New Roman" w:hAnsi="Times New Roman"/>
                <w:b/>
                <w:lang w:val="lt-LT"/>
              </w:rPr>
            </w:pPr>
            <w:r w:rsidRPr="003871C6">
              <w:rPr>
                <w:rFonts w:ascii="Times New Roman" w:hAnsi="Times New Roman"/>
                <w:b/>
                <w:lang w:val="lt-LT"/>
              </w:rPr>
              <w:t>Pagal priemonę</w:t>
            </w:r>
            <w:r w:rsidR="00BA0AE0" w:rsidRPr="003871C6">
              <w:rPr>
                <w:rFonts w:ascii="Times New Roman" w:hAnsi="Times New Roman"/>
                <w:b/>
                <w:lang w:val="lt-LT"/>
              </w:rPr>
              <w:t>/projektą</w:t>
            </w:r>
            <w:r w:rsidRPr="003871C6">
              <w:rPr>
                <w:rFonts w:ascii="Times New Roman" w:hAnsi="Times New Roman"/>
                <w:b/>
                <w:lang w:val="lt-LT"/>
              </w:rPr>
              <w:t xml:space="preserve"> numatytos remti veiklos</w:t>
            </w:r>
          </w:p>
        </w:tc>
        <w:tc>
          <w:tcPr>
            <w:tcW w:w="5094" w:type="dxa"/>
            <w:shd w:val="clear" w:color="auto" w:fill="auto"/>
          </w:tcPr>
          <w:p w:rsidR="00A50BF0" w:rsidRPr="00A50BF0" w:rsidRDefault="00A50BF0" w:rsidP="00A50BF0">
            <w:pPr>
              <w:pStyle w:val="ListParagraph"/>
              <w:numPr>
                <w:ilvl w:val="0"/>
                <w:numId w:val="4"/>
              </w:numPr>
              <w:spacing w:after="0" w:line="240" w:lineRule="auto"/>
              <w:rPr>
                <w:rFonts w:ascii="Times New Roman" w:hAnsi="Times New Roman"/>
              </w:rPr>
            </w:pPr>
            <w:r w:rsidRPr="00A50BF0">
              <w:rPr>
                <w:rFonts w:ascii="Times New Roman" w:hAnsi="Times New Roman"/>
              </w:rPr>
              <w:t>įrangos ir priemonių, reikalingų jūriniams ir vidaus vandenų būklės tyrimams atlikti, įsigijimas;</w:t>
            </w:r>
          </w:p>
          <w:p w:rsidR="00A50BF0" w:rsidRPr="00A50BF0" w:rsidRDefault="00A50BF0" w:rsidP="00A50BF0">
            <w:pPr>
              <w:pStyle w:val="ListParagraph"/>
              <w:numPr>
                <w:ilvl w:val="0"/>
                <w:numId w:val="4"/>
              </w:numPr>
              <w:spacing w:after="0" w:line="240" w:lineRule="auto"/>
              <w:rPr>
                <w:rFonts w:ascii="Times New Roman" w:hAnsi="Times New Roman"/>
              </w:rPr>
            </w:pPr>
            <w:r w:rsidRPr="00A50BF0">
              <w:rPr>
                <w:rFonts w:ascii="Times New Roman" w:hAnsi="Times New Roman"/>
              </w:rPr>
              <w:t>jūros ir vidaus vandenų aplinkos būklės tyrimai ir vertinimai;</w:t>
            </w:r>
          </w:p>
          <w:p w:rsidR="00A50BF0" w:rsidRPr="00A50BF0" w:rsidRDefault="00A50BF0" w:rsidP="00A50BF0">
            <w:pPr>
              <w:pStyle w:val="ListParagraph"/>
              <w:numPr>
                <w:ilvl w:val="0"/>
                <w:numId w:val="4"/>
              </w:numPr>
              <w:spacing w:after="0" w:line="240" w:lineRule="auto"/>
              <w:rPr>
                <w:rFonts w:ascii="Times New Roman" w:hAnsi="Times New Roman"/>
              </w:rPr>
            </w:pPr>
            <w:r w:rsidRPr="00A50BF0">
              <w:rPr>
                <w:rFonts w:ascii="Times New Roman" w:hAnsi="Times New Roman"/>
              </w:rPr>
              <w:t>taršos incidentų Baltijos jūroje likvidavimo sistemos tobulinimas;</w:t>
            </w:r>
          </w:p>
          <w:p w:rsidR="00A50BF0" w:rsidRPr="00A50BF0" w:rsidRDefault="00A50BF0" w:rsidP="00A50BF0">
            <w:pPr>
              <w:pStyle w:val="ListParagraph"/>
              <w:numPr>
                <w:ilvl w:val="0"/>
                <w:numId w:val="4"/>
              </w:numPr>
              <w:spacing w:after="0" w:line="240" w:lineRule="auto"/>
              <w:rPr>
                <w:rFonts w:ascii="Times New Roman" w:hAnsi="Times New Roman"/>
              </w:rPr>
            </w:pPr>
            <w:r w:rsidRPr="00A50BF0">
              <w:rPr>
                <w:rFonts w:ascii="Times New Roman" w:hAnsi="Times New Roman"/>
              </w:rPr>
              <w:t>priemonių, reikalingų Baltijos jūros biologinei įvairovei išsaugoti, įgyvendinimas;</w:t>
            </w:r>
          </w:p>
          <w:p w:rsidR="00A50BF0" w:rsidRPr="00A50BF0" w:rsidRDefault="00A50BF0" w:rsidP="00A50BF0">
            <w:pPr>
              <w:pStyle w:val="ListParagraph"/>
              <w:numPr>
                <w:ilvl w:val="0"/>
                <w:numId w:val="4"/>
              </w:numPr>
              <w:spacing w:after="0" w:line="240" w:lineRule="auto"/>
              <w:rPr>
                <w:rFonts w:ascii="Times New Roman" w:hAnsi="Times New Roman"/>
              </w:rPr>
            </w:pPr>
            <w:r w:rsidRPr="00A50BF0">
              <w:rPr>
                <w:rFonts w:ascii="Times New Roman" w:hAnsi="Times New Roman"/>
              </w:rPr>
              <w:t>vandens telkinių būklės valdymo ir apsaugos nuo neigiamo poveikio dokumentų reng</w:t>
            </w:r>
            <w:bookmarkStart w:id="0" w:name="_GoBack"/>
            <w:bookmarkEnd w:id="0"/>
            <w:r w:rsidRPr="00A50BF0">
              <w:rPr>
                <w:rFonts w:ascii="Times New Roman" w:hAnsi="Times New Roman"/>
              </w:rPr>
              <w:t xml:space="preserve">imas; </w:t>
            </w:r>
          </w:p>
          <w:p w:rsidR="00A50BF0" w:rsidRPr="00A50BF0" w:rsidRDefault="00A50BF0" w:rsidP="00A50BF0">
            <w:pPr>
              <w:pStyle w:val="ListParagraph"/>
              <w:numPr>
                <w:ilvl w:val="0"/>
                <w:numId w:val="4"/>
              </w:numPr>
              <w:spacing w:after="0" w:line="240" w:lineRule="auto"/>
              <w:rPr>
                <w:rFonts w:ascii="Times New Roman" w:hAnsi="Times New Roman"/>
              </w:rPr>
            </w:pPr>
            <w:r w:rsidRPr="00A50BF0">
              <w:rPr>
                <w:rFonts w:ascii="Times New Roman" w:hAnsi="Times New Roman"/>
              </w:rPr>
              <w:t>požeminio vandens būklės monitoringo sistemos stiprinimas;</w:t>
            </w:r>
          </w:p>
          <w:p w:rsidR="00A50BF0" w:rsidRPr="00A50BF0" w:rsidRDefault="00A50BF0" w:rsidP="00A50BF0">
            <w:pPr>
              <w:pStyle w:val="ListParagraph"/>
              <w:numPr>
                <w:ilvl w:val="0"/>
                <w:numId w:val="4"/>
              </w:numPr>
              <w:spacing w:after="0" w:line="240" w:lineRule="auto"/>
              <w:rPr>
                <w:rFonts w:ascii="Times New Roman" w:hAnsi="Times New Roman"/>
              </w:rPr>
            </w:pPr>
            <w:r w:rsidRPr="00A50BF0">
              <w:rPr>
                <w:rFonts w:ascii="Times New Roman" w:hAnsi="Times New Roman"/>
              </w:rPr>
              <w:t>individualių nuotekų tvarkymo sistemų inventorizacija.</w:t>
            </w:r>
          </w:p>
          <w:p w:rsidR="00945D30" w:rsidRPr="003871C6" w:rsidRDefault="00945D30" w:rsidP="003871C6">
            <w:pPr>
              <w:spacing w:after="0" w:line="240" w:lineRule="auto"/>
              <w:rPr>
                <w:rFonts w:ascii="Times New Roman" w:hAnsi="Times New Roman"/>
                <w:i/>
                <w:lang w:val="lt-LT"/>
              </w:rPr>
            </w:pPr>
          </w:p>
        </w:tc>
      </w:tr>
      <w:tr w:rsidR="00B16FD9" w:rsidRPr="0083117E" w:rsidTr="003871C6">
        <w:trPr>
          <w:trHeight w:val="60"/>
        </w:trPr>
        <w:tc>
          <w:tcPr>
            <w:tcW w:w="5094" w:type="dxa"/>
            <w:shd w:val="clear" w:color="auto" w:fill="auto"/>
          </w:tcPr>
          <w:p w:rsidR="00945D30" w:rsidRPr="003871C6" w:rsidRDefault="00945D30" w:rsidP="003871C6">
            <w:pPr>
              <w:spacing w:after="0" w:line="240" w:lineRule="auto"/>
              <w:rPr>
                <w:rFonts w:ascii="Times New Roman" w:hAnsi="Times New Roman"/>
                <w:b/>
                <w:lang w:val="lt-LT"/>
              </w:rPr>
            </w:pPr>
            <w:r w:rsidRPr="003871C6">
              <w:rPr>
                <w:rFonts w:ascii="Times New Roman" w:hAnsi="Times New Roman"/>
                <w:b/>
                <w:lang w:val="lt-LT"/>
              </w:rPr>
              <w:t>Galimi pareiškėjai</w:t>
            </w:r>
            <w:r w:rsidR="00BA0AE0" w:rsidRPr="003871C6">
              <w:rPr>
                <w:rFonts w:ascii="Times New Roman" w:hAnsi="Times New Roman"/>
                <w:b/>
                <w:lang w:val="lt-LT"/>
              </w:rPr>
              <w:t>/Projekto vykdytojas/Pareiškėjas</w:t>
            </w:r>
          </w:p>
        </w:tc>
        <w:tc>
          <w:tcPr>
            <w:tcW w:w="5094" w:type="dxa"/>
            <w:shd w:val="clear" w:color="auto" w:fill="auto"/>
          </w:tcPr>
          <w:p w:rsidR="00A50BF0" w:rsidRPr="00A50BF0" w:rsidRDefault="00A50BF0" w:rsidP="00A50BF0">
            <w:pPr>
              <w:spacing w:after="0" w:line="240" w:lineRule="auto"/>
              <w:rPr>
                <w:rFonts w:ascii="Times New Roman" w:hAnsi="Times New Roman"/>
                <w:lang w:val="lt-LT"/>
              </w:rPr>
            </w:pPr>
            <w:r w:rsidRPr="00A50BF0">
              <w:rPr>
                <w:rFonts w:ascii="Times New Roman" w:hAnsi="Times New Roman"/>
                <w:lang w:val="lt-LT"/>
              </w:rPr>
              <w:t xml:space="preserve">Aplinkos apsaugos agentūra, Lietuvos geologijos tarnyba, Lietuvos jūrų muziejus, </w:t>
            </w:r>
            <w:r w:rsidRPr="00613536">
              <w:rPr>
                <w:rFonts w:ascii="Times New Roman" w:hAnsi="Times New Roman"/>
                <w:lang w:val="lt-LT"/>
              </w:rPr>
              <w:t>Lietuvos kariuomenė,</w:t>
            </w:r>
            <w:r w:rsidRPr="00A50BF0">
              <w:rPr>
                <w:rFonts w:ascii="Times New Roman" w:hAnsi="Times New Roman"/>
                <w:lang w:val="lt-LT"/>
              </w:rPr>
              <w:t xml:space="preserve"> Aplinkos ministerija, galimi  partneriai yra Žemės ūkio ministerija, Lietuvos hidrometeorologijos tarnyba prie Aplinkos ministerijos.</w:t>
            </w:r>
          </w:p>
          <w:p w:rsidR="00945D30" w:rsidRPr="003871C6" w:rsidRDefault="00945D30" w:rsidP="003871C6">
            <w:pPr>
              <w:spacing w:after="0" w:line="240" w:lineRule="auto"/>
              <w:rPr>
                <w:rFonts w:ascii="Times New Roman" w:hAnsi="Times New Roman"/>
                <w:i/>
                <w:lang w:val="lt-LT"/>
              </w:rPr>
            </w:pPr>
          </w:p>
        </w:tc>
      </w:tr>
    </w:tbl>
    <w:p w:rsidR="00945D30" w:rsidRPr="00B16FD9" w:rsidRDefault="00945D30">
      <w:pPr>
        <w:rPr>
          <w:rFonts w:ascii="Times New Roman" w:hAnsi="Times New Roman"/>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693"/>
        <w:gridCol w:w="2266"/>
        <w:gridCol w:w="2580"/>
      </w:tblGrid>
      <w:tr w:rsidR="00B16FD9" w:rsidRPr="0083117E" w:rsidTr="003871C6">
        <w:tc>
          <w:tcPr>
            <w:tcW w:w="5000" w:type="pct"/>
            <w:gridSpan w:val="4"/>
            <w:shd w:val="pct20" w:color="auto" w:fill="auto"/>
          </w:tcPr>
          <w:p w:rsidR="00945D30" w:rsidRPr="003871C6" w:rsidRDefault="00945D30" w:rsidP="003871C6">
            <w:pPr>
              <w:pStyle w:val="ListParagraph"/>
              <w:numPr>
                <w:ilvl w:val="0"/>
                <w:numId w:val="2"/>
              </w:numPr>
              <w:spacing w:after="0" w:line="240" w:lineRule="auto"/>
              <w:ind w:left="567"/>
              <w:rPr>
                <w:rFonts w:ascii="Times New Roman" w:hAnsi="Times New Roman"/>
                <w:b/>
              </w:rPr>
            </w:pPr>
            <w:r w:rsidRPr="003871C6">
              <w:rPr>
                <w:rFonts w:ascii="Times New Roman" w:hAnsi="Times New Roman"/>
                <w:b/>
              </w:rPr>
              <w:t>Valstybės pagalbos požymių identifikavimas pagal priemonę</w:t>
            </w:r>
            <w:r w:rsidR="0029069F" w:rsidRPr="003871C6">
              <w:rPr>
                <w:rFonts w:ascii="Times New Roman" w:hAnsi="Times New Roman"/>
                <w:b/>
              </w:rPr>
              <w:t>/projektą</w:t>
            </w:r>
            <w:r w:rsidRPr="003871C6">
              <w:rPr>
                <w:rFonts w:ascii="Times New Roman" w:hAnsi="Times New Roman"/>
                <w:b/>
              </w:rPr>
              <w:t xml:space="preserve"> remtinose veiklose</w:t>
            </w:r>
            <w:r w:rsidR="006E06FC" w:rsidRPr="003871C6">
              <w:rPr>
                <w:rStyle w:val="FootnoteReference"/>
                <w:rFonts w:ascii="Times New Roman" w:hAnsi="Times New Roman"/>
                <w:b/>
              </w:rPr>
              <w:footnoteReference w:id="1"/>
            </w:r>
          </w:p>
        </w:tc>
      </w:tr>
      <w:tr w:rsidR="00B16FD9" w:rsidRPr="003871C6" w:rsidTr="003871C6">
        <w:tc>
          <w:tcPr>
            <w:tcW w:w="319" w:type="pct"/>
            <w:shd w:val="clear" w:color="auto" w:fill="auto"/>
          </w:tcPr>
          <w:p w:rsidR="00945D30" w:rsidRPr="003871C6" w:rsidRDefault="00945D30" w:rsidP="003871C6">
            <w:pPr>
              <w:pStyle w:val="ListParagraph"/>
              <w:numPr>
                <w:ilvl w:val="0"/>
                <w:numId w:val="1"/>
              </w:numPr>
              <w:spacing w:before="120" w:after="120" w:line="240" w:lineRule="auto"/>
              <w:rPr>
                <w:rFonts w:ascii="Times New Roman" w:hAnsi="Times New Roman"/>
                <w:b/>
              </w:rPr>
            </w:pPr>
          </w:p>
        </w:tc>
        <w:tc>
          <w:tcPr>
            <w:tcW w:w="2303" w:type="pct"/>
            <w:shd w:val="clear" w:color="auto" w:fill="auto"/>
          </w:tcPr>
          <w:p w:rsidR="00945D30" w:rsidRPr="003871C6" w:rsidRDefault="00945D30" w:rsidP="003871C6">
            <w:pPr>
              <w:spacing w:before="120" w:after="120" w:line="240" w:lineRule="auto"/>
              <w:rPr>
                <w:rFonts w:ascii="Times New Roman" w:hAnsi="Times New Roman"/>
                <w:b/>
                <w:lang w:val="lt-LT"/>
              </w:rPr>
            </w:pPr>
            <w:r w:rsidRPr="003871C6">
              <w:rPr>
                <w:rFonts w:ascii="Times New Roman" w:hAnsi="Times New Roman"/>
                <w:b/>
                <w:lang w:val="lt-LT"/>
              </w:rPr>
              <w:t xml:space="preserve">Ar finansavimą </w:t>
            </w:r>
            <w:r w:rsidR="00865E39" w:rsidRPr="003871C6">
              <w:rPr>
                <w:rFonts w:ascii="Times New Roman" w:hAnsi="Times New Roman"/>
                <w:b/>
                <w:lang w:val="lt-LT"/>
              </w:rPr>
              <w:t xml:space="preserve">tiesiogiai ar netiesiogiai </w:t>
            </w:r>
            <w:r w:rsidRPr="003871C6">
              <w:rPr>
                <w:rFonts w:ascii="Times New Roman" w:hAnsi="Times New Roman"/>
                <w:b/>
                <w:lang w:val="lt-LT"/>
              </w:rPr>
              <w:t>numatoma teikti ūkio subjektams</w:t>
            </w:r>
            <w:r w:rsidR="0029069F" w:rsidRPr="003871C6">
              <w:rPr>
                <w:rFonts w:ascii="Times New Roman" w:hAnsi="Times New Roman"/>
                <w:b/>
                <w:lang w:val="lt-LT"/>
              </w:rPr>
              <w:t xml:space="preserve"> (-ui)</w:t>
            </w:r>
            <w:r w:rsidR="00EA0E4F" w:rsidRPr="003871C6">
              <w:rPr>
                <w:rFonts w:ascii="Times New Roman" w:hAnsi="Times New Roman"/>
                <w:b/>
                <w:lang w:val="lt-LT"/>
              </w:rPr>
              <w:t xml:space="preserve"> ūkinei veiklai vykdyti</w:t>
            </w:r>
            <w:r w:rsidRPr="003871C6">
              <w:rPr>
                <w:rFonts w:ascii="Times New Roman" w:hAnsi="Times New Roman"/>
                <w:b/>
                <w:lang w:val="lt-LT"/>
              </w:rPr>
              <w:t>?</w:t>
            </w:r>
          </w:p>
        </w:tc>
        <w:tc>
          <w:tcPr>
            <w:tcW w:w="1112" w:type="pct"/>
            <w:shd w:val="clear" w:color="auto" w:fill="auto"/>
          </w:tcPr>
          <w:p w:rsidR="00945D30" w:rsidRPr="003871C6" w:rsidRDefault="00945D30" w:rsidP="003871C6">
            <w:pPr>
              <w:spacing w:before="120" w:after="120" w:line="240" w:lineRule="auto"/>
              <w:rPr>
                <w:rFonts w:ascii="Times New Roman" w:hAnsi="Times New Roman"/>
                <w:lang w:val="lt-LT"/>
              </w:rPr>
            </w:pPr>
            <w:r w:rsidRPr="003871C6">
              <w:rPr>
                <w:rFonts w:ascii="Times New Roman" w:hAnsi="Times New Roman"/>
                <w:lang w:val="lt-LT"/>
              </w:rPr>
              <w:fldChar w:fldCharType="begin">
                <w:ffData>
                  <w:name w:val="Check1"/>
                  <w:enabled/>
                  <w:calcOnExit w:val="0"/>
                  <w:checkBox>
                    <w:sizeAuto/>
                    <w:default w:val="0"/>
                  </w:checkBox>
                </w:ffData>
              </w:fldChar>
            </w:r>
            <w:r w:rsidRPr="003871C6">
              <w:rPr>
                <w:rFonts w:ascii="Times New Roman" w:hAnsi="Times New Roman"/>
                <w:lang w:val="lt-LT"/>
              </w:rPr>
              <w:instrText xml:space="preserve"> FORMCHECKBOX </w:instrText>
            </w:r>
            <w:r w:rsidR="00A05324">
              <w:rPr>
                <w:rFonts w:ascii="Times New Roman" w:hAnsi="Times New Roman"/>
                <w:lang w:val="lt-LT"/>
              </w:rPr>
            </w:r>
            <w:r w:rsidR="00A05324">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Taip</w:t>
            </w:r>
          </w:p>
        </w:tc>
        <w:tc>
          <w:tcPr>
            <w:tcW w:w="1266" w:type="pct"/>
            <w:shd w:val="clear" w:color="auto" w:fill="auto"/>
          </w:tcPr>
          <w:p w:rsidR="00945D30" w:rsidRPr="003871C6" w:rsidRDefault="00A50BF0" w:rsidP="003871C6">
            <w:pPr>
              <w:spacing w:before="120" w:after="120" w:line="240" w:lineRule="auto"/>
              <w:rPr>
                <w:rFonts w:ascii="Times New Roman" w:hAnsi="Times New Roman"/>
                <w:lang w:val="lt-LT"/>
              </w:rPr>
            </w:pPr>
            <w:r>
              <w:rPr>
                <w:rFonts w:ascii="Times New Roman" w:hAnsi="Times New Roman"/>
                <w:lang w:val="lt-LT"/>
              </w:rPr>
              <w:fldChar w:fldCharType="begin">
                <w:ffData>
                  <w:name w:val="Check2"/>
                  <w:enabled/>
                  <w:calcOnExit w:val="0"/>
                  <w:checkBox>
                    <w:sizeAuto/>
                    <w:default w:val="1"/>
                  </w:checkBox>
                </w:ffData>
              </w:fldChar>
            </w:r>
            <w:bookmarkStart w:id="1" w:name="Check2"/>
            <w:r>
              <w:rPr>
                <w:rFonts w:ascii="Times New Roman" w:hAnsi="Times New Roman"/>
                <w:lang w:val="lt-LT"/>
              </w:rPr>
              <w:instrText xml:space="preserve"> FORMCHECKBOX </w:instrText>
            </w:r>
            <w:r w:rsidR="00A05324">
              <w:rPr>
                <w:rFonts w:ascii="Times New Roman" w:hAnsi="Times New Roman"/>
                <w:lang w:val="lt-LT"/>
              </w:rPr>
            </w:r>
            <w:r w:rsidR="00A05324">
              <w:rPr>
                <w:rFonts w:ascii="Times New Roman" w:hAnsi="Times New Roman"/>
                <w:lang w:val="lt-LT"/>
              </w:rPr>
              <w:fldChar w:fldCharType="separate"/>
            </w:r>
            <w:r>
              <w:rPr>
                <w:rFonts w:ascii="Times New Roman" w:hAnsi="Times New Roman"/>
                <w:lang w:val="lt-LT"/>
              </w:rPr>
              <w:fldChar w:fldCharType="end"/>
            </w:r>
            <w:bookmarkEnd w:id="1"/>
            <w:r w:rsidR="00945D30" w:rsidRPr="003871C6">
              <w:rPr>
                <w:rFonts w:ascii="Times New Roman" w:hAnsi="Times New Roman"/>
                <w:lang w:val="lt-LT"/>
              </w:rPr>
              <w:t>Ne</w:t>
            </w:r>
          </w:p>
          <w:p w:rsidR="00945D30" w:rsidRPr="003871C6" w:rsidRDefault="00945D30" w:rsidP="003871C6">
            <w:pPr>
              <w:spacing w:before="120" w:after="120" w:line="240" w:lineRule="auto"/>
              <w:rPr>
                <w:rFonts w:ascii="Times New Roman" w:hAnsi="Times New Roman"/>
                <w:lang w:val="lt-LT"/>
              </w:rPr>
            </w:pPr>
          </w:p>
        </w:tc>
      </w:tr>
      <w:tr w:rsidR="00B16FD9" w:rsidRPr="0083117E" w:rsidTr="003871C6">
        <w:tc>
          <w:tcPr>
            <w:tcW w:w="5000" w:type="pct"/>
            <w:gridSpan w:val="4"/>
            <w:shd w:val="clear" w:color="auto" w:fill="auto"/>
          </w:tcPr>
          <w:p w:rsidR="00A50BF0" w:rsidRDefault="00A50BF0" w:rsidP="00A50BF0">
            <w:pPr>
              <w:spacing w:after="0" w:line="240" w:lineRule="auto"/>
              <w:jc w:val="both"/>
              <w:rPr>
                <w:rFonts w:ascii="Times New Roman" w:hAnsi="Times New Roman"/>
                <w:lang w:val="lt-LT"/>
              </w:rPr>
            </w:pPr>
            <w:r w:rsidRPr="00217F0B">
              <w:rPr>
                <w:rFonts w:ascii="Times New Roman" w:hAnsi="Times New Roman"/>
                <w:lang w:val="lt-LT"/>
              </w:rPr>
              <w:t xml:space="preserve">Pagal priemonę numatoma remti valstybines institucijas, o numatytos remti veiklos nepriskiriamos ūkinei veiklai, t. y. nenumatoma prekyba prekėmis (paslaugomis). Pagal priemonę numatytos remti veiklos susijusios su </w:t>
            </w:r>
            <w:r w:rsidRPr="00A50BF0">
              <w:rPr>
                <w:rFonts w:ascii="Times New Roman" w:hAnsi="Times New Roman"/>
                <w:lang w:val="lt-LT"/>
              </w:rPr>
              <w:t>išteklių valdymas ir apsaug</w:t>
            </w:r>
            <w:r w:rsidRPr="00D25CB2">
              <w:rPr>
                <w:rFonts w:ascii="Times New Roman" w:hAnsi="Times New Roman"/>
                <w:lang w:val="lt-LT"/>
              </w:rPr>
              <w:t>a.</w:t>
            </w:r>
          </w:p>
          <w:p w:rsidR="00EA0E4F" w:rsidRPr="003871C6" w:rsidRDefault="00EA0E4F" w:rsidP="003871C6">
            <w:pPr>
              <w:spacing w:after="0" w:line="240" w:lineRule="auto"/>
              <w:jc w:val="both"/>
              <w:rPr>
                <w:rFonts w:ascii="Times New Roman" w:hAnsi="Times New Roman"/>
                <w:lang w:val="lt-LT"/>
              </w:rPr>
            </w:pPr>
          </w:p>
        </w:tc>
      </w:tr>
      <w:tr w:rsidR="00B16FD9" w:rsidRPr="003871C6" w:rsidTr="003871C6">
        <w:tc>
          <w:tcPr>
            <w:tcW w:w="5000" w:type="pct"/>
            <w:gridSpan w:val="4"/>
            <w:shd w:val="clear" w:color="auto" w:fill="auto"/>
          </w:tcPr>
          <w:p w:rsidR="00945D30" w:rsidRPr="003871C6" w:rsidRDefault="00945D30" w:rsidP="003871C6">
            <w:pPr>
              <w:spacing w:after="0" w:line="240" w:lineRule="auto"/>
              <w:jc w:val="center"/>
              <w:rPr>
                <w:rFonts w:ascii="Times New Roman" w:hAnsi="Times New Roman"/>
                <w:b/>
                <w:lang w:val="lt-LT"/>
              </w:rPr>
            </w:pPr>
            <w:r w:rsidRPr="003871C6">
              <w:rPr>
                <w:rFonts w:ascii="Times New Roman" w:hAnsi="Times New Roman"/>
                <w:b/>
                <w:lang w:val="lt-LT"/>
              </w:rPr>
              <w:t>Pasirinkimo pagrindimas</w:t>
            </w:r>
          </w:p>
        </w:tc>
      </w:tr>
      <w:tr w:rsidR="00B16FD9" w:rsidRPr="003871C6" w:rsidTr="003871C6">
        <w:tc>
          <w:tcPr>
            <w:tcW w:w="5000" w:type="pct"/>
            <w:gridSpan w:val="4"/>
            <w:shd w:val="clear" w:color="auto" w:fill="auto"/>
          </w:tcPr>
          <w:p w:rsidR="00945D30" w:rsidRPr="003871C6" w:rsidRDefault="00945D30" w:rsidP="003871C6">
            <w:pPr>
              <w:spacing w:after="0" w:line="240" w:lineRule="auto"/>
              <w:jc w:val="both"/>
              <w:rPr>
                <w:rFonts w:ascii="Times New Roman" w:hAnsi="Times New Roman"/>
                <w:i/>
                <w:lang w:val="lt-LT"/>
              </w:rPr>
            </w:pPr>
            <w:r w:rsidRPr="003871C6">
              <w:rPr>
                <w:rFonts w:ascii="Times New Roman" w:hAnsi="Times New Roman"/>
                <w:i/>
                <w:lang w:val="lt-LT"/>
              </w:rPr>
              <w:t>(Pagrįskite savo pasirinkimą)</w:t>
            </w:r>
          </w:p>
        </w:tc>
      </w:tr>
      <w:tr w:rsidR="00B16FD9" w:rsidRPr="003871C6" w:rsidTr="003871C6">
        <w:tc>
          <w:tcPr>
            <w:tcW w:w="319" w:type="pct"/>
            <w:shd w:val="clear" w:color="auto" w:fill="auto"/>
          </w:tcPr>
          <w:p w:rsidR="00945D30" w:rsidRPr="003871C6" w:rsidRDefault="00945D30" w:rsidP="003871C6">
            <w:pPr>
              <w:pStyle w:val="ListParagraph"/>
              <w:numPr>
                <w:ilvl w:val="0"/>
                <w:numId w:val="1"/>
              </w:numPr>
              <w:spacing w:before="120" w:after="120" w:line="240" w:lineRule="auto"/>
              <w:rPr>
                <w:rFonts w:ascii="Times New Roman" w:hAnsi="Times New Roman"/>
                <w:b/>
              </w:rPr>
            </w:pPr>
          </w:p>
        </w:tc>
        <w:tc>
          <w:tcPr>
            <w:tcW w:w="2303" w:type="pct"/>
            <w:shd w:val="clear" w:color="auto" w:fill="auto"/>
          </w:tcPr>
          <w:p w:rsidR="00945D30" w:rsidRPr="003871C6" w:rsidRDefault="00945D30" w:rsidP="003871C6">
            <w:pPr>
              <w:spacing w:before="120" w:after="120" w:line="240" w:lineRule="auto"/>
              <w:rPr>
                <w:rFonts w:ascii="Times New Roman" w:hAnsi="Times New Roman"/>
                <w:b/>
                <w:lang w:val="lt-LT"/>
              </w:rPr>
            </w:pPr>
            <w:r w:rsidRPr="003871C6">
              <w:rPr>
                <w:rFonts w:ascii="Times New Roman" w:hAnsi="Times New Roman"/>
                <w:b/>
                <w:lang w:val="lt-LT"/>
              </w:rPr>
              <w:t xml:space="preserve">Ar finansavimas </w:t>
            </w:r>
            <w:r w:rsidR="00EA0E4F" w:rsidRPr="003871C6">
              <w:rPr>
                <w:rFonts w:ascii="Times New Roman" w:hAnsi="Times New Roman"/>
                <w:b/>
                <w:lang w:val="lt-LT"/>
              </w:rPr>
              <w:t xml:space="preserve">iš valstybės išteklių </w:t>
            </w:r>
            <w:r w:rsidRPr="003871C6">
              <w:rPr>
                <w:rFonts w:ascii="Times New Roman" w:hAnsi="Times New Roman"/>
                <w:b/>
                <w:lang w:val="lt-LT"/>
              </w:rPr>
              <w:t xml:space="preserve">ūkio subjektams </w:t>
            </w:r>
            <w:r w:rsidR="0029069F" w:rsidRPr="003871C6">
              <w:rPr>
                <w:rFonts w:ascii="Times New Roman" w:hAnsi="Times New Roman"/>
                <w:b/>
                <w:lang w:val="lt-LT"/>
              </w:rPr>
              <w:t xml:space="preserve">(-ui) </w:t>
            </w:r>
            <w:r w:rsidRPr="003871C6">
              <w:rPr>
                <w:rFonts w:ascii="Times New Roman" w:hAnsi="Times New Roman"/>
                <w:b/>
                <w:lang w:val="lt-LT"/>
              </w:rPr>
              <w:t>suteiktų</w:t>
            </w:r>
            <w:r w:rsidR="0029069F" w:rsidRPr="003871C6">
              <w:rPr>
                <w:rFonts w:ascii="Times New Roman" w:hAnsi="Times New Roman"/>
                <w:b/>
                <w:lang w:val="lt-LT"/>
              </w:rPr>
              <w:t>/suteikia</w:t>
            </w:r>
            <w:r w:rsidRPr="003871C6">
              <w:rPr>
                <w:rFonts w:ascii="Times New Roman" w:hAnsi="Times New Roman"/>
                <w:b/>
                <w:lang w:val="lt-LT"/>
              </w:rPr>
              <w:t xml:space="preserve"> išskirtinę ekonominę naudą, kurios jie</w:t>
            </w:r>
            <w:r w:rsidR="0029069F" w:rsidRPr="003871C6">
              <w:rPr>
                <w:rFonts w:ascii="Times New Roman" w:hAnsi="Times New Roman"/>
                <w:b/>
                <w:lang w:val="lt-LT"/>
              </w:rPr>
              <w:t>/jis</w:t>
            </w:r>
            <w:r w:rsidRPr="003871C6">
              <w:rPr>
                <w:rFonts w:ascii="Times New Roman" w:hAnsi="Times New Roman"/>
                <w:b/>
                <w:lang w:val="lt-LT"/>
              </w:rPr>
              <w:t xml:space="preserve"> negautų rinkos sąlygomis?</w:t>
            </w:r>
          </w:p>
        </w:tc>
        <w:tc>
          <w:tcPr>
            <w:tcW w:w="1112" w:type="pct"/>
            <w:shd w:val="clear" w:color="auto" w:fill="auto"/>
          </w:tcPr>
          <w:p w:rsidR="00945D30" w:rsidRPr="003871C6" w:rsidRDefault="00945D30" w:rsidP="003871C6">
            <w:pPr>
              <w:spacing w:before="120" w:after="120" w:line="240" w:lineRule="auto"/>
              <w:rPr>
                <w:rFonts w:ascii="Times New Roman" w:hAnsi="Times New Roman"/>
                <w:lang w:val="lt-LT"/>
              </w:rPr>
            </w:pPr>
            <w:r w:rsidRPr="003871C6">
              <w:rPr>
                <w:rFonts w:ascii="Times New Roman" w:hAnsi="Times New Roman"/>
                <w:lang w:val="lt-LT"/>
              </w:rPr>
              <w:fldChar w:fldCharType="begin">
                <w:ffData>
                  <w:name w:val="Check1"/>
                  <w:enabled/>
                  <w:calcOnExit w:val="0"/>
                  <w:checkBox>
                    <w:sizeAuto/>
                    <w:default w:val="0"/>
                  </w:checkBox>
                </w:ffData>
              </w:fldChar>
            </w:r>
            <w:r w:rsidRPr="003871C6">
              <w:rPr>
                <w:rFonts w:ascii="Times New Roman" w:hAnsi="Times New Roman"/>
                <w:lang w:val="lt-LT"/>
              </w:rPr>
              <w:instrText xml:space="preserve"> FORMCHECKBOX </w:instrText>
            </w:r>
            <w:r w:rsidR="00A05324">
              <w:rPr>
                <w:rFonts w:ascii="Times New Roman" w:hAnsi="Times New Roman"/>
                <w:lang w:val="lt-LT"/>
              </w:rPr>
            </w:r>
            <w:r w:rsidR="00A05324">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Taip</w:t>
            </w:r>
          </w:p>
        </w:tc>
        <w:tc>
          <w:tcPr>
            <w:tcW w:w="1266" w:type="pct"/>
            <w:shd w:val="clear" w:color="auto" w:fill="auto"/>
          </w:tcPr>
          <w:p w:rsidR="00A50BF0" w:rsidRPr="003871C6" w:rsidRDefault="00A50BF0" w:rsidP="00A50BF0">
            <w:pPr>
              <w:spacing w:before="120" w:after="120" w:line="240" w:lineRule="auto"/>
              <w:rPr>
                <w:rFonts w:ascii="Times New Roman" w:hAnsi="Times New Roman"/>
                <w:lang w:val="lt-LT"/>
              </w:rPr>
            </w:pPr>
            <w:r>
              <w:rPr>
                <w:rFonts w:ascii="Times New Roman" w:hAnsi="Times New Roman"/>
                <w:lang w:val="lt-LT"/>
              </w:rPr>
              <w:fldChar w:fldCharType="begin">
                <w:ffData>
                  <w:name w:val=""/>
                  <w:enabled/>
                  <w:calcOnExit w:val="0"/>
                  <w:checkBox>
                    <w:sizeAuto/>
                    <w:default w:val="1"/>
                  </w:checkBox>
                </w:ffData>
              </w:fldChar>
            </w:r>
            <w:r>
              <w:rPr>
                <w:rFonts w:ascii="Times New Roman" w:hAnsi="Times New Roman"/>
                <w:lang w:val="lt-LT"/>
              </w:rPr>
              <w:instrText xml:space="preserve"> FORMCHECKBOX </w:instrText>
            </w:r>
            <w:r w:rsidR="00A05324">
              <w:rPr>
                <w:rFonts w:ascii="Times New Roman" w:hAnsi="Times New Roman"/>
                <w:lang w:val="lt-LT"/>
              </w:rPr>
            </w:r>
            <w:r w:rsidR="00A05324">
              <w:rPr>
                <w:rFonts w:ascii="Times New Roman" w:hAnsi="Times New Roman"/>
                <w:lang w:val="lt-LT"/>
              </w:rPr>
              <w:fldChar w:fldCharType="separate"/>
            </w:r>
            <w:r>
              <w:rPr>
                <w:rFonts w:ascii="Times New Roman" w:hAnsi="Times New Roman"/>
                <w:lang w:val="lt-LT"/>
              </w:rPr>
              <w:fldChar w:fldCharType="end"/>
            </w:r>
            <w:r w:rsidRPr="003871C6">
              <w:rPr>
                <w:rFonts w:ascii="Times New Roman" w:hAnsi="Times New Roman"/>
                <w:lang w:val="lt-LT"/>
              </w:rPr>
              <w:t>Ne</w:t>
            </w:r>
          </w:p>
          <w:p w:rsidR="00945D30" w:rsidRPr="003871C6" w:rsidRDefault="00945D30" w:rsidP="003871C6">
            <w:pPr>
              <w:spacing w:before="120" w:after="120" w:line="240" w:lineRule="auto"/>
              <w:rPr>
                <w:rFonts w:ascii="Times New Roman" w:hAnsi="Times New Roman"/>
                <w:lang w:val="lt-LT"/>
              </w:rPr>
            </w:pPr>
          </w:p>
          <w:p w:rsidR="00945D30" w:rsidRPr="003871C6" w:rsidRDefault="00945D30" w:rsidP="003871C6">
            <w:pPr>
              <w:spacing w:before="120" w:after="120" w:line="240" w:lineRule="auto"/>
              <w:rPr>
                <w:rFonts w:ascii="Times New Roman" w:hAnsi="Times New Roman"/>
                <w:lang w:val="lt-LT"/>
              </w:rPr>
            </w:pPr>
          </w:p>
        </w:tc>
      </w:tr>
      <w:tr w:rsidR="00B16FD9" w:rsidRPr="0083117E" w:rsidTr="003871C6">
        <w:tc>
          <w:tcPr>
            <w:tcW w:w="5000" w:type="pct"/>
            <w:gridSpan w:val="4"/>
            <w:shd w:val="clear" w:color="auto" w:fill="auto"/>
          </w:tcPr>
          <w:p w:rsidR="00A50BF0" w:rsidRDefault="00A50BF0" w:rsidP="003871C6">
            <w:pPr>
              <w:spacing w:after="0" w:line="240" w:lineRule="auto"/>
              <w:jc w:val="both"/>
              <w:rPr>
                <w:rFonts w:ascii="Times New Roman" w:hAnsi="Times New Roman"/>
                <w:lang w:val="lt-LT"/>
              </w:rPr>
            </w:pPr>
            <w:r w:rsidRPr="00D25CB2">
              <w:rPr>
                <w:rFonts w:ascii="Times New Roman" w:hAnsi="Times New Roman"/>
                <w:lang w:val="lt-LT"/>
              </w:rPr>
              <w:t>Paramos gavėjai nėra ūkio subjektai (žr. 1 klausimą).</w:t>
            </w:r>
          </w:p>
          <w:p w:rsidR="00945D30" w:rsidRPr="00D25CB2" w:rsidRDefault="00945D30" w:rsidP="00D25CB2">
            <w:pPr>
              <w:spacing w:after="0" w:line="240" w:lineRule="auto"/>
              <w:jc w:val="both"/>
              <w:rPr>
                <w:rFonts w:ascii="Times New Roman" w:hAnsi="Times New Roman"/>
              </w:rPr>
            </w:pPr>
          </w:p>
        </w:tc>
      </w:tr>
      <w:tr w:rsidR="00B16FD9" w:rsidRPr="003871C6" w:rsidTr="003871C6">
        <w:tc>
          <w:tcPr>
            <w:tcW w:w="5000" w:type="pct"/>
            <w:gridSpan w:val="4"/>
            <w:shd w:val="clear" w:color="auto" w:fill="auto"/>
          </w:tcPr>
          <w:p w:rsidR="00945D30" w:rsidRPr="003871C6" w:rsidRDefault="00945D30" w:rsidP="003871C6">
            <w:pPr>
              <w:spacing w:after="0" w:line="240" w:lineRule="auto"/>
              <w:jc w:val="center"/>
              <w:rPr>
                <w:rFonts w:ascii="Times New Roman" w:hAnsi="Times New Roman"/>
                <w:b/>
                <w:lang w:val="lt-LT"/>
              </w:rPr>
            </w:pPr>
            <w:r w:rsidRPr="003871C6">
              <w:rPr>
                <w:rFonts w:ascii="Times New Roman" w:hAnsi="Times New Roman"/>
                <w:b/>
                <w:lang w:val="lt-LT"/>
              </w:rPr>
              <w:t>Pasirinkimo pagrindimas</w:t>
            </w:r>
          </w:p>
        </w:tc>
      </w:tr>
      <w:tr w:rsidR="00B16FD9" w:rsidRPr="003871C6" w:rsidTr="003871C6">
        <w:tc>
          <w:tcPr>
            <w:tcW w:w="5000" w:type="pct"/>
            <w:gridSpan w:val="4"/>
            <w:shd w:val="clear" w:color="auto" w:fill="auto"/>
          </w:tcPr>
          <w:p w:rsidR="00945D30" w:rsidRPr="003871C6" w:rsidRDefault="00945D30" w:rsidP="003871C6">
            <w:pPr>
              <w:spacing w:after="0" w:line="240" w:lineRule="auto"/>
              <w:jc w:val="both"/>
              <w:rPr>
                <w:rFonts w:ascii="Times New Roman" w:hAnsi="Times New Roman"/>
                <w:i/>
                <w:lang w:val="lt-LT"/>
              </w:rPr>
            </w:pPr>
            <w:r w:rsidRPr="003871C6">
              <w:rPr>
                <w:rFonts w:ascii="Times New Roman" w:hAnsi="Times New Roman"/>
                <w:i/>
                <w:lang w:val="lt-LT"/>
              </w:rPr>
              <w:t>(Pagrįskite savo pasirinkimą)</w:t>
            </w:r>
          </w:p>
        </w:tc>
      </w:tr>
      <w:tr w:rsidR="00B16FD9" w:rsidRPr="003871C6" w:rsidTr="003871C6">
        <w:tc>
          <w:tcPr>
            <w:tcW w:w="319" w:type="pct"/>
            <w:shd w:val="clear" w:color="auto" w:fill="auto"/>
          </w:tcPr>
          <w:p w:rsidR="00945D30" w:rsidRPr="003871C6" w:rsidRDefault="00945D30" w:rsidP="003871C6">
            <w:pPr>
              <w:pStyle w:val="ListParagraph"/>
              <w:numPr>
                <w:ilvl w:val="0"/>
                <w:numId w:val="1"/>
              </w:numPr>
              <w:spacing w:before="120" w:after="120" w:line="240" w:lineRule="auto"/>
              <w:rPr>
                <w:rFonts w:ascii="Times New Roman" w:hAnsi="Times New Roman"/>
                <w:b/>
              </w:rPr>
            </w:pPr>
          </w:p>
        </w:tc>
        <w:tc>
          <w:tcPr>
            <w:tcW w:w="2303" w:type="pct"/>
            <w:shd w:val="clear" w:color="auto" w:fill="auto"/>
          </w:tcPr>
          <w:p w:rsidR="00945D30" w:rsidRPr="003871C6" w:rsidRDefault="00945D30" w:rsidP="003871C6">
            <w:pPr>
              <w:spacing w:before="120" w:after="120" w:line="240" w:lineRule="auto"/>
              <w:rPr>
                <w:rFonts w:ascii="Times New Roman" w:hAnsi="Times New Roman"/>
                <w:b/>
                <w:lang w:val="lt-LT"/>
              </w:rPr>
            </w:pPr>
            <w:r w:rsidRPr="003871C6">
              <w:rPr>
                <w:rFonts w:ascii="Times New Roman" w:hAnsi="Times New Roman"/>
                <w:b/>
                <w:lang w:val="lt-LT"/>
              </w:rPr>
              <w:t>Ar finansavimą numatoma teikti</w:t>
            </w:r>
            <w:r w:rsidR="0029069F" w:rsidRPr="003871C6">
              <w:rPr>
                <w:rFonts w:ascii="Times New Roman" w:hAnsi="Times New Roman"/>
                <w:b/>
                <w:lang w:val="lt-LT"/>
              </w:rPr>
              <w:t>/teikiamas</w:t>
            </w:r>
            <w:r w:rsidRPr="003871C6">
              <w:rPr>
                <w:rFonts w:ascii="Times New Roman" w:hAnsi="Times New Roman"/>
                <w:b/>
                <w:lang w:val="lt-LT"/>
              </w:rPr>
              <w:t xml:space="preserve"> tam tikroms pasirinktoms prekėms gaminti ar paslaugoms teikti, arba tam tikriems pasirinktiems ūkio subjektams</w:t>
            </w:r>
            <w:r w:rsidR="0029069F" w:rsidRPr="003871C6">
              <w:rPr>
                <w:rFonts w:ascii="Times New Roman" w:hAnsi="Times New Roman"/>
                <w:b/>
                <w:lang w:val="lt-LT"/>
              </w:rPr>
              <w:t xml:space="preserve"> (-ui)</w:t>
            </w:r>
            <w:r w:rsidRPr="003871C6">
              <w:rPr>
                <w:rFonts w:ascii="Times New Roman" w:hAnsi="Times New Roman"/>
                <w:b/>
                <w:lang w:val="lt-LT"/>
              </w:rPr>
              <w:t>, t.</w:t>
            </w:r>
            <w:r w:rsidR="0029069F" w:rsidRPr="003871C6">
              <w:rPr>
                <w:rFonts w:ascii="Times New Roman" w:hAnsi="Times New Roman"/>
                <w:b/>
                <w:lang w:val="lt-LT"/>
              </w:rPr>
              <w:t xml:space="preserve"> </w:t>
            </w:r>
            <w:r w:rsidRPr="003871C6">
              <w:rPr>
                <w:rFonts w:ascii="Times New Roman" w:hAnsi="Times New Roman"/>
                <w:b/>
                <w:lang w:val="lt-LT"/>
              </w:rPr>
              <w:t>y. ar finansavimo priemonė yra selektyvaus pobūdžio?</w:t>
            </w:r>
          </w:p>
        </w:tc>
        <w:tc>
          <w:tcPr>
            <w:tcW w:w="1112" w:type="pct"/>
            <w:shd w:val="clear" w:color="auto" w:fill="auto"/>
          </w:tcPr>
          <w:p w:rsidR="00945D30" w:rsidRPr="003871C6" w:rsidRDefault="00945D30" w:rsidP="003871C6">
            <w:pPr>
              <w:spacing w:before="120" w:after="120" w:line="240" w:lineRule="auto"/>
              <w:rPr>
                <w:rFonts w:ascii="Times New Roman" w:hAnsi="Times New Roman"/>
                <w:lang w:val="lt-LT"/>
              </w:rPr>
            </w:pPr>
            <w:r w:rsidRPr="003871C6">
              <w:rPr>
                <w:rFonts w:ascii="Times New Roman" w:hAnsi="Times New Roman"/>
                <w:lang w:val="lt-LT"/>
              </w:rPr>
              <w:fldChar w:fldCharType="begin">
                <w:ffData>
                  <w:name w:val="Check1"/>
                  <w:enabled/>
                  <w:calcOnExit w:val="0"/>
                  <w:checkBox>
                    <w:sizeAuto/>
                    <w:default w:val="0"/>
                  </w:checkBox>
                </w:ffData>
              </w:fldChar>
            </w:r>
            <w:r w:rsidRPr="003871C6">
              <w:rPr>
                <w:rFonts w:ascii="Times New Roman" w:hAnsi="Times New Roman"/>
                <w:lang w:val="lt-LT"/>
              </w:rPr>
              <w:instrText xml:space="preserve"> FORMCHECKBOX </w:instrText>
            </w:r>
            <w:r w:rsidR="00A05324">
              <w:rPr>
                <w:rFonts w:ascii="Times New Roman" w:hAnsi="Times New Roman"/>
                <w:lang w:val="lt-LT"/>
              </w:rPr>
            </w:r>
            <w:r w:rsidR="00A05324">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Taip</w:t>
            </w:r>
          </w:p>
        </w:tc>
        <w:tc>
          <w:tcPr>
            <w:tcW w:w="1266" w:type="pct"/>
            <w:shd w:val="clear" w:color="auto" w:fill="auto"/>
          </w:tcPr>
          <w:p w:rsidR="00945D30" w:rsidRPr="003871C6" w:rsidRDefault="00945D30" w:rsidP="003871C6">
            <w:pPr>
              <w:spacing w:before="120" w:after="120" w:line="240" w:lineRule="auto"/>
              <w:rPr>
                <w:rFonts w:ascii="Times New Roman" w:hAnsi="Times New Roman"/>
                <w:lang w:val="lt-LT"/>
              </w:rPr>
            </w:pPr>
            <w:r w:rsidRPr="003871C6">
              <w:rPr>
                <w:rFonts w:ascii="Times New Roman" w:hAnsi="Times New Roman"/>
                <w:lang w:val="lt-LT"/>
              </w:rPr>
              <w:fldChar w:fldCharType="begin">
                <w:ffData>
                  <w:name w:val="Check2"/>
                  <w:enabled/>
                  <w:calcOnExit w:val="0"/>
                  <w:checkBox>
                    <w:sizeAuto/>
                    <w:default w:val="0"/>
                  </w:checkBox>
                </w:ffData>
              </w:fldChar>
            </w:r>
            <w:r w:rsidRPr="003871C6">
              <w:rPr>
                <w:rFonts w:ascii="Times New Roman" w:hAnsi="Times New Roman"/>
                <w:lang w:val="lt-LT"/>
              </w:rPr>
              <w:instrText xml:space="preserve"> FORMCHECKBOX </w:instrText>
            </w:r>
            <w:r w:rsidR="00A05324">
              <w:rPr>
                <w:rFonts w:ascii="Times New Roman" w:hAnsi="Times New Roman"/>
                <w:lang w:val="lt-LT"/>
              </w:rPr>
            </w:r>
            <w:r w:rsidR="00A05324">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Ne</w:t>
            </w:r>
          </w:p>
          <w:p w:rsidR="00945D30" w:rsidRPr="003871C6" w:rsidRDefault="00945D30" w:rsidP="003871C6">
            <w:pPr>
              <w:spacing w:before="120" w:after="120" w:line="240" w:lineRule="auto"/>
              <w:rPr>
                <w:rFonts w:ascii="Times New Roman" w:hAnsi="Times New Roman"/>
                <w:lang w:val="lt-LT"/>
              </w:rPr>
            </w:pPr>
          </w:p>
        </w:tc>
      </w:tr>
      <w:tr w:rsidR="00B16FD9" w:rsidRPr="0083117E" w:rsidTr="003871C6">
        <w:tc>
          <w:tcPr>
            <w:tcW w:w="5000" w:type="pct"/>
            <w:gridSpan w:val="4"/>
            <w:shd w:val="clear" w:color="auto" w:fill="auto"/>
          </w:tcPr>
          <w:p w:rsidR="00B55C9D" w:rsidRPr="002023C4" w:rsidRDefault="00B55C9D" w:rsidP="00B55C9D">
            <w:pPr>
              <w:spacing w:after="0" w:line="240" w:lineRule="auto"/>
              <w:jc w:val="both"/>
              <w:rPr>
                <w:rFonts w:ascii="Times New Roman" w:hAnsi="Times New Roman"/>
                <w:lang w:val="lt-LT"/>
              </w:rPr>
            </w:pPr>
            <w:r w:rsidRPr="002023C4">
              <w:rPr>
                <w:rFonts w:ascii="Times New Roman" w:hAnsi="Times New Roman"/>
                <w:lang w:val="lt-LT"/>
              </w:rPr>
              <w:t xml:space="preserve">Priemonė taikoma </w:t>
            </w:r>
            <w:r>
              <w:rPr>
                <w:rFonts w:ascii="Times New Roman" w:hAnsi="Times New Roman"/>
                <w:lang w:val="lt-LT"/>
              </w:rPr>
              <w:t>vandens išteklių valdymo ir apsaugos</w:t>
            </w:r>
            <w:r w:rsidRPr="002023C4">
              <w:rPr>
                <w:rFonts w:ascii="Times New Roman" w:hAnsi="Times New Roman"/>
                <w:lang w:val="lt-LT"/>
              </w:rPr>
              <w:t xml:space="preserve"> projektams, kuriuos įgyvendins Aplinkos ministerija ir</w:t>
            </w:r>
            <w:r w:rsidRPr="00A22DF9">
              <w:rPr>
                <w:rFonts w:ascii="Times New Roman" w:hAnsi="Times New Roman"/>
                <w:lang w:val="lt-LT"/>
              </w:rPr>
              <w:t xml:space="preserve"> </w:t>
            </w:r>
            <w:r>
              <w:rPr>
                <w:rFonts w:ascii="Times New Roman" w:hAnsi="Times New Roman"/>
                <w:lang w:val="lt-LT"/>
              </w:rPr>
              <w:t xml:space="preserve">kitos valstybinės </w:t>
            </w:r>
            <w:r w:rsidRPr="00A22DF9">
              <w:rPr>
                <w:rFonts w:ascii="Times New Roman" w:hAnsi="Times New Roman"/>
                <w:lang w:val="lt-LT"/>
              </w:rPr>
              <w:t>institucijos</w:t>
            </w:r>
            <w:r>
              <w:rPr>
                <w:rFonts w:ascii="Times New Roman" w:hAnsi="Times New Roman"/>
                <w:lang w:val="lt-LT"/>
              </w:rPr>
              <w:t>.</w:t>
            </w:r>
            <w:r w:rsidRPr="002023C4">
              <w:rPr>
                <w:rFonts w:ascii="Times New Roman" w:hAnsi="Times New Roman"/>
                <w:lang w:val="lt-LT"/>
              </w:rPr>
              <w:t xml:space="preserve"> Priemonės projektų finansavimo sąlygose yra nustatomos remiamos veiklos, galimi pareiškėjai ir jų atitiktis nacionaliniam strateginiam</w:t>
            </w:r>
            <w:r>
              <w:rPr>
                <w:rFonts w:ascii="Times New Roman" w:hAnsi="Times New Roman"/>
                <w:lang w:val="lt-LT"/>
              </w:rPr>
              <w:t xml:space="preserve"> dokumentui </w:t>
            </w:r>
            <w:r w:rsidRPr="00B55C9D">
              <w:rPr>
                <w:rFonts w:ascii="Times New Roman" w:hAnsi="Times New Roman"/>
                <w:lang w:val="lt-LT"/>
              </w:rPr>
              <w:t>Vandenų srities plėtros 2017-2023 metų programai, patvirtintai Lietuvos Respublikos Vyriausybės 2017 m. vasario 1 d. nutarimu Nr. 88 „Dėl Vandenų srities plėtros 2017-2023 metų programos patvirtinimo“, Vandenų srities plėtros 2017-2023 metų programos įgyvendinimo veiksmų planui, patvirtintam Lietuvos Respublikos aplinkos ministro ir Lietuvos Respublikos žemės ūkio ministro 2017 m. gegužės 5 d. įsakymu Nr. D1-375/3D-312 „Dėl Vandenų srities plėtros 2017-2023 metų programos įgyvendinimo veiksmų plano patvirtinimo”.</w:t>
            </w:r>
            <w:r w:rsidRPr="002023C4">
              <w:rPr>
                <w:rFonts w:ascii="Times New Roman" w:hAnsi="Times New Roman"/>
                <w:lang w:val="lt-LT"/>
              </w:rPr>
              <w:t xml:space="preserve"> </w:t>
            </w:r>
          </w:p>
          <w:p w:rsidR="005E2495" w:rsidRPr="003871C6" w:rsidRDefault="005E2495" w:rsidP="00B55C9D">
            <w:pPr>
              <w:spacing w:after="0" w:line="240" w:lineRule="auto"/>
              <w:jc w:val="both"/>
              <w:rPr>
                <w:rFonts w:ascii="Times New Roman" w:hAnsi="Times New Roman"/>
                <w:lang w:val="lt-LT"/>
              </w:rPr>
            </w:pPr>
          </w:p>
        </w:tc>
      </w:tr>
      <w:tr w:rsidR="00B16FD9" w:rsidRPr="003871C6" w:rsidTr="003871C6">
        <w:tc>
          <w:tcPr>
            <w:tcW w:w="5000" w:type="pct"/>
            <w:gridSpan w:val="4"/>
            <w:shd w:val="clear" w:color="auto" w:fill="auto"/>
          </w:tcPr>
          <w:p w:rsidR="00945D30" w:rsidRPr="003871C6" w:rsidRDefault="00945D30" w:rsidP="003871C6">
            <w:pPr>
              <w:spacing w:after="0" w:line="240" w:lineRule="auto"/>
              <w:jc w:val="center"/>
              <w:rPr>
                <w:rFonts w:ascii="Times New Roman" w:hAnsi="Times New Roman"/>
                <w:b/>
                <w:lang w:val="lt-LT"/>
              </w:rPr>
            </w:pPr>
            <w:r w:rsidRPr="003871C6">
              <w:rPr>
                <w:rFonts w:ascii="Times New Roman" w:hAnsi="Times New Roman"/>
                <w:b/>
                <w:lang w:val="lt-LT"/>
              </w:rPr>
              <w:t>Pasirinkimo pagrindimas</w:t>
            </w:r>
          </w:p>
        </w:tc>
      </w:tr>
      <w:tr w:rsidR="00B16FD9" w:rsidRPr="003871C6" w:rsidTr="003871C6">
        <w:tc>
          <w:tcPr>
            <w:tcW w:w="5000" w:type="pct"/>
            <w:gridSpan w:val="4"/>
            <w:shd w:val="clear" w:color="auto" w:fill="auto"/>
          </w:tcPr>
          <w:p w:rsidR="00945D30" w:rsidRPr="003871C6" w:rsidRDefault="00945D30" w:rsidP="003871C6">
            <w:pPr>
              <w:spacing w:after="0" w:line="240" w:lineRule="auto"/>
              <w:jc w:val="both"/>
              <w:rPr>
                <w:rFonts w:ascii="Times New Roman" w:hAnsi="Times New Roman"/>
                <w:i/>
                <w:lang w:val="lt-LT"/>
              </w:rPr>
            </w:pPr>
            <w:r w:rsidRPr="003871C6">
              <w:rPr>
                <w:rFonts w:ascii="Times New Roman" w:hAnsi="Times New Roman"/>
                <w:i/>
                <w:lang w:val="lt-LT"/>
              </w:rPr>
              <w:t>(Pagrįskite savo pasirinkimą)</w:t>
            </w:r>
          </w:p>
        </w:tc>
      </w:tr>
      <w:tr w:rsidR="00B16FD9" w:rsidRPr="003871C6" w:rsidTr="003871C6">
        <w:tc>
          <w:tcPr>
            <w:tcW w:w="319" w:type="pct"/>
            <w:shd w:val="clear" w:color="auto" w:fill="auto"/>
          </w:tcPr>
          <w:p w:rsidR="00945D30" w:rsidRPr="003871C6" w:rsidRDefault="00945D30" w:rsidP="003871C6">
            <w:pPr>
              <w:pStyle w:val="ListParagraph"/>
              <w:numPr>
                <w:ilvl w:val="0"/>
                <w:numId w:val="1"/>
              </w:numPr>
              <w:spacing w:before="120" w:after="120" w:line="240" w:lineRule="auto"/>
              <w:rPr>
                <w:rFonts w:ascii="Times New Roman" w:hAnsi="Times New Roman"/>
                <w:b/>
              </w:rPr>
            </w:pPr>
          </w:p>
        </w:tc>
        <w:tc>
          <w:tcPr>
            <w:tcW w:w="2303" w:type="pct"/>
            <w:shd w:val="clear" w:color="auto" w:fill="auto"/>
          </w:tcPr>
          <w:p w:rsidR="00945D30" w:rsidRPr="003871C6" w:rsidRDefault="00945D30" w:rsidP="003871C6">
            <w:pPr>
              <w:spacing w:before="120" w:after="120" w:line="240" w:lineRule="auto"/>
              <w:rPr>
                <w:rFonts w:ascii="Times New Roman" w:hAnsi="Times New Roman"/>
                <w:b/>
                <w:lang w:val="lt-LT"/>
              </w:rPr>
            </w:pPr>
            <w:r w:rsidRPr="003871C6">
              <w:rPr>
                <w:rFonts w:ascii="Times New Roman" w:hAnsi="Times New Roman"/>
                <w:b/>
                <w:lang w:val="lt-LT"/>
              </w:rPr>
              <w:t>Ar finansavimas gali iškraipyti konkurenciją ir veikti prekybą tarp ES šalių?</w:t>
            </w:r>
          </w:p>
        </w:tc>
        <w:tc>
          <w:tcPr>
            <w:tcW w:w="1112" w:type="pct"/>
            <w:shd w:val="clear" w:color="auto" w:fill="auto"/>
          </w:tcPr>
          <w:p w:rsidR="00945D30" w:rsidRPr="003871C6" w:rsidRDefault="00945D30" w:rsidP="003871C6">
            <w:pPr>
              <w:spacing w:before="120" w:after="120" w:line="240" w:lineRule="auto"/>
              <w:rPr>
                <w:rFonts w:ascii="Times New Roman" w:hAnsi="Times New Roman"/>
                <w:lang w:val="lt-LT"/>
              </w:rPr>
            </w:pPr>
            <w:r w:rsidRPr="003871C6">
              <w:rPr>
                <w:rFonts w:ascii="Times New Roman" w:hAnsi="Times New Roman"/>
                <w:lang w:val="lt-LT"/>
              </w:rPr>
              <w:fldChar w:fldCharType="begin">
                <w:ffData>
                  <w:name w:val="Check1"/>
                  <w:enabled/>
                  <w:calcOnExit w:val="0"/>
                  <w:checkBox>
                    <w:sizeAuto/>
                    <w:default w:val="0"/>
                  </w:checkBox>
                </w:ffData>
              </w:fldChar>
            </w:r>
            <w:r w:rsidRPr="003871C6">
              <w:rPr>
                <w:rFonts w:ascii="Times New Roman" w:hAnsi="Times New Roman"/>
                <w:lang w:val="lt-LT"/>
              </w:rPr>
              <w:instrText xml:space="preserve"> FORMCHECKBOX </w:instrText>
            </w:r>
            <w:r w:rsidR="00A05324">
              <w:rPr>
                <w:rFonts w:ascii="Times New Roman" w:hAnsi="Times New Roman"/>
                <w:lang w:val="lt-LT"/>
              </w:rPr>
            </w:r>
            <w:r w:rsidR="00A05324">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Taip</w:t>
            </w:r>
          </w:p>
        </w:tc>
        <w:tc>
          <w:tcPr>
            <w:tcW w:w="1266" w:type="pct"/>
            <w:shd w:val="clear" w:color="auto" w:fill="auto"/>
          </w:tcPr>
          <w:p w:rsidR="00B55C9D" w:rsidRPr="003871C6" w:rsidRDefault="00B55C9D" w:rsidP="00B55C9D">
            <w:pPr>
              <w:spacing w:before="120" w:after="120" w:line="240" w:lineRule="auto"/>
              <w:rPr>
                <w:rFonts w:ascii="Times New Roman" w:hAnsi="Times New Roman"/>
                <w:lang w:val="lt-LT"/>
              </w:rPr>
            </w:pPr>
            <w:r>
              <w:rPr>
                <w:rFonts w:ascii="Times New Roman" w:hAnsi="Times New Roman"/>
                <w:lang w:val="lt-LT"/>
              </w:rPr>
              <w:fldChar w:fldCharType="begin">
                <w:ffData>
                  <w:name w:val=""/>
                  <w:enabled/>
                  <w:calcOnExit w:val="0"/>
                  <w:checkBox>
                    <w:sizeAuto/>
                    <w:default w:val="1"/>
                  </w:checkBox>
                </w:ffData>
              </w:fldChar>
            </w:r>
            <w:r>
              <w:rPr>
                <w:rFonts w:ascii="Times New Roman" w:hAnsi="Times New Roman"/>
                <w:lang w:val="lt-LT"/>
              </w:rPr>
              <w:instrText xml:space="preserve"> FORMCHECKBOX </w:instrText>
            </w:r>
            <w:r w:rsidR="00A05324">
              <w:rPr>
                <w:rFonts w:ascii="Times New Roman" w:hAnsi="Times New Roman"/>
                <w:lang w:val="lt-LT"/>
              </w:rPr>
            </w:r>
            <w:r w:rsidR="00A05324">
              <w:rPr>
                <w:rFonts w:ascii="Times New Roman" w:hAnsi="Times New Roman"/>
                <w:lang w:val="lt-LT"/>
              </w:rPr>
              <w:fldChar w:fldCharType="separate"/>
            </w:r>
            <w:r>
              <w:rPr>
                <w:rFonts w:ascii="Times New Roman" w:hAnsi="Times New Roman"/>
                <w:lang w:val="lt-LT"/>
              </w:rPr>
              <w:fldChar w:fldCharType="end"/>
            </w:r>
            <w:r w:rsidRPr="003871C6">
              <w:rPr>
                <w:rFonts w:ascii="Times New Roman" w:hAnsi="Times New Roman"/>
                <w:lang w:val="lt-LT"/>
              </w:rPr>
              <w:t>Ne</w:t>
            </w:r>
          </w:p>
          <w:p w:rsidR="00945D30" w:rsidRPr="003871C6" w:rsidRDefault="00945D30" w:rsidP="003871C6">
            <w:pPr>
              <w:spacing w:before="120" w:after="120" w:line="240" w:lineRule="auto"/>
              <w:rPr>
                <w:rFonts w:ascii="Times New Roman" w:hAnsi="Times New Roman"/>
                <w:lang w:val="lt-LT"/>
              </w:rPr>
            </w:pPr>
          </w:p>
        </w:tc>
      </w:tr>
      <w:tr w:rsidR="00B16FD9" w:rsidRPr="0083117E" w:rsidTr="003871C6">
        <w:tc>
          <w:tcPr>
            <w:tcW w:w="5000" w:type="pct"/>
            <w:gridSpan w:val="4"/>
            <w:shd w:val="clear" w:color="auto" w:fill="auto"/>
          </w:tcPr>
          <w:p w:rsidR="00945D30" w:rsidRPr="003871C6" w:rsidRDefault="00B55C9D" w:rsidP="003871C6">
            <w:pPr>
              <w:spacing w:after="0" w:line="240" w:lineRule="auto"/>
              <w:jc w:val="both"/>
              <w:rPr>
                <w:rFonts w:ascii="Times New Roman" w:hAnsi="Times New Roman"/>
                <w:lang w:val="lt-LT"/>
              </w:rPr>
            </w:pPr>
            <w:r w:rsidRPr="00217F0B">
              <w:rPr>
                <w:rFonts w:ascii="Times New Roman" w:hAnsi="Times New Roman"/>
                <w:lang w:val="lt-LT"/>
              </w:rPr>
              <w:t>Pagal priemonę numatoma remti valstybines institucijas, o numatytos remti veiklos nepriskiriamos ūkinei veiklai, t. y. nenumatoma prekyba prekėmis (paslaugomis</w:t>
            </w:r>
            <w:r w:rsidRPr="00EC31DC">
              <w:rPr>
                <w:rFonts w:ascii="Times New Roman" w:hAnsi="Times New Roman"/>
                <w:lang w:val="lt-LT"/>
              </w:rPr>
              <w:t>), todėl finansavimas negali iškraipyti konkurencijos ir veikti prekybos tarp ES šalių.</w:t>
            </w:r>
          </w:p>
        </w:tc>
      </w:tr>
      <w:tr w:rsidR="00B16FD9" w:rsidRPr="003871C6" w:rsidTr="003871C6">
        <w:tc>
          <w:tcPr>
            <w:tcW w:w="5000" w:type="pct"/>
            <w:gridSpan w:val="4"/>
            <w:shd w:val="clear" w:color="auto" w:fill="auto"/>
          </w:tcPr>
          <w:p w:rsidR="00945D30" w:rsidRPr="003871C6" w:rsidRDefault="00945D30" w:rsidP="003871C6">
            <w:pPr>
              <w:spacing w:after="0" w:line="240" w:lineRule="auto"/>
              <w:jc w:val="center"/>
              <w:rPr>
                <w:rFonts w:ascii="Times New Roman" w:hAnsi="Times New Roman"/>
                <w:b/>
                <w:lang w:val="lt-LT"/>
              </w:rPr>
            </w:pPr>
            <w:r w:rsidRPr="003871C6">
              <w:rPr>
                <w:rFonts w:ascii="Times New Roman" w:hAnsi="Times New Roman"/>
                <w:b/>
                <w:lang w:val="lt-LT"/>
              </w:rPr>
              <w:t>Pasirinkimo pagrindimas</w:t>
            </w:r>
          </w:p>
        </w:tc>
      </w:tr>
      <w:tr w:rsidR="00B16FD9" w:rsidRPr="003871C6" w:rsidTr="003871C6">
        <w:tc>
          <w:tcPr>
            <w:tcW w:w="5000" w:type="pct"/>
            <w:gridSpan w:val="4"/>
            <w:shd w:val="clear" w:color="auto" w:fill="auto"/>
          </w:tcPr>
          <w:p w:rsidR="00945D30" w:rsidRPr="003871C6" w:rsidRDefault="00945D30" w:rsidP="003871C6">
            <w:pPr>
              <w:spacing w:after="0" w:line="240" w:lineRule="auto"/>
              <w:jc w:val="both"/>
              <w:rPr>
                <w:rFonts w:ascii="Times New Roman" w:hAnsi="Times New Roman"/>
                <w:i/>
                <w:lang w:val="lt-LT"/>
              </w:rPr>
            </w:pPr>
            <w:r w:rsidRPr="003871C6">
              <w:rPr>
                <w:rFonts w:ascii="Times New Roman" w:hAnsi="Times New Roman"/>
                <w:i/>
                <w:lang w:val="lt-LT"/>
              </w:rPr>
              <w:t>(Pagrįskite savo pasirinkimą)</w:t>
            </w:r>
          </w:p>
        </w:tc>
      </w:tr>
      <w:tr w:rsidR="00B16FD9" w:rsidRPr="0083117E" w:rsidTr="003871C6">
        <w:tc>
          <w:tcPr>
            <w:tcW w:w="5000" w:type="pct"/>
            <w:gridSpan w:val="4"/>
            <w:shd w:val="pct20" w:color="auto" w:fill="auto"/>
          </w:tcPr>
          <w:p w:rsidR="00172B71" w:rsidRPr="003871C6" w:rsidRDefault="000622D4" w:rsidP="003871C6">
            <w:pPr>
              <w:pStyle w:val="ListParagraph"/>
              <w:numPr>
                <w:ilvl w:val="0"/>
                <w:numId w:val="2"/>
              </w:numPr>
              <w:spacing w:after="0" w:line="240" w:lineRule="auto"/>
              <w:jc w:val="both"/>
              <w:rPr>
                <w:rFonts w:ascii="Times New Roman" w:hAnsi="Times New Roman"/>
                <w:b/>
              </w:rPr>
            </w:pPr>
            <w:r w:rsidRPr="003871C6">
              <w:rPr>
                <w:rFonts w:ascii="Times New Roman" w:hAnsi="Times New Roman"/>
                <w:b/>
              </w:rPr>
              <w:t>I</w:t>
            </w:r>
            <w:r w:rsidR="00945D30" w:rsidRPr="003871C6">
              <w:rPr>
                <w:rFonts w:ascii="Times New Roman" w:hAnsi="Times New Roman"/>
                <w:b/>
              </w:rPr>
              <w:t>švados dėl valstybės pagalbos (</w:t>
            </w:r>
            <w:proofErr w:type="spellStart"/>
            <w:r w:rsidR="00945D30" w:rsidRPr="003871C6">
              <w:rPr>
                <w:rFonts w:ascii="Times New Roman" w:hAnsi="Times New Roman"/>
                <w:b/>
              </w:rPr>
              <w:t>ne)buvimo</w:t>
            </w:r>
            <w:proofErr w:type="spellEnd"/>
          </w:p>
          <w:p w:rsidR="00172B71" w:rsidRPr="003871C6" w:rsidRDefault="00172B71" w:rsidP="003871C6">
            <w:pPr>
              <w:pStyle w:val="ListParagraph"/>
              <w:spacing w:after="0" w:line="240" w:lineRule="auto"/>
              <w:ind w:left="0"/>
              <w:jc w:val="both"/>
              <w:rPr>
                <w:rFonts w:ascii="Times New Roman" w:hAnsi="Times New Roman"/>
                <w:i/>
              </w:rPr>
            </w:pPr>
            <w:r w:rsidRPr="003871C6">
              <w:rPr>
                <w:rFonts w:ascii="Times New Roman" w:hAnsi="Times New Roman"/>
                <w:i/>
              </w:rPr>
              <w:t xml:space="preserve">Pažymimas vienas langelis. Pagrįstais atvejais, kai neįmanoma ar netikslinga rengti atskirų projektų finansavimo aprašų skirtingomis sąlygomis, gali būti pažymėtas ne vienas langelis. Tokiu atveju pastabose paaiškinama, </w:t>
            </w:r>
            <w:r w:rsidR="0016067A" w:rsidRPr="003871C6">
              <w:rPr>
                <w:rFonts w:ascii="Times New Roman" w:hAnsi="Times New Roman"/>
                <w:i/>
              </w:rPr>
              <w:t xml:space="preserve">kokioms sąlygoms esant ir (ar) </w:t>
            </w:r>
            <w:r w:rsidRPr="003871C6">
              <w:rPr>
                <w:rFonts w:ascii="Times New Roman" w:hAnsi="Times New Roman"/>
                <w:i/>
              </w:rPr>
              <w:t>k</w:t>
            </w:r>
            <w:r w:rsidR="0016067A" w:rsidRPr="003871C6">
              <w:rPr>
                <w:rFonts w:ascii="Times New Roman" w:hAnsi="Times New Roman"/>
                <w:i/>
              </w:rPr>
              <w:t>uriai daliai veiklų taikomi valstybės pagalbos / ne valstybės pagalbos reikalavimai.</w:t>
            </w:r>
            <w:r w:rsidRPr="003871C6">
              <w:rPr>
                <w:rFonts w:ascii="Times New Roman" w:hAnsi="Times New Roman"/>
                <w:i/>
              </w:rPr>
              <w:t xml:space="preserve"> </w:t>
            </w:r>
          </w:p>
        </w:tc>
      </w:tr>
      <w:tr w:rsidR="00B16FD9" w:rsidRPr="0083117E" w:rsidTr="003871C6">
        <w:tc>
          <w:tcPr>
            <w:tcW w:w="5000" w:type="pct"/>
            <w:gridSpan w:val="4"/>
            <w:shd w:val="clear" w:color="auto" w:fill="auto"/>
          </w:tcPr>
          <w:p w:rsidR="00945D30" w:rsidRPr="003871C6" w:rsidRDefault="00B55C9D" w:rsidP="003871C6">
            <w:pPr>
              <w:spacing w:before="240" w:after="120"/>
              <w:jc w:val="both"/>
              <w:rPr>
                <w:rFonts w:ascii="Times New Roman" w:hAnsi="Times New Roman"/>
                <w:lang w:val="lt-LT"/>
              </w:rPr>
            </w:pPr>
            <w:r>
              <w:rPr>
                <w:rFonts w:ascii="Times New Roman" w:hAnsi="Times New Roman"/>
                <w:lang w:val="lt-LT"/>
              </w:rPr>
              <w:fldChar w:fldCharType="begin">
                <w:ffData>
                  <w:name w:val="Check1"/>
                  <w:enabled/>
                  <w:calcOnExit w:val="0"/>
                  <w:checkBox>
                    <w:sizeAuto/>
                    <w:default w:val="1"/>
                  </w:checkBox>
                </w:ffData>
              </w:fldChar>
            </w:r>
            <w:bookmarkStart w:id="2" w:name="Check1"/>
            <w:r>
              <w:rPr>
                <w:rFonts w:ascii="Times New Roman" w:hAnsi="Times New Roman"/>
                <w:lang w:val="lt-LT"/>
              </w:rPr>
              <w:instrText xml:space="preserve"> FORMCHECKBOX </w:instrText>
            </w:r>
            <w:r w:rsidR="00A05324">
              <w:rPr>
                <w:rFonts w:ascii="Times New Roman" w:hAnsi="Times New Roman"/>
                <w:lang w:val="lt-LT"/>
              </w:rPr>
            </w:r>
            <w:r w:rsidR="00A05324">
              <w:rPr>
                <w:rFonts w:ascii="Times New Roman" w:hAnsi="Times New Roman"/>
                <w:lang w:val="lt-LT"/>
              </w:rPr>
              <w:fldChar w:fldCharType="separate"/>
            </w:r>
            <w:r>
              <w:rPr>
                <w:rFonts w:ascii="Times New Roman" w:hAnsi="Times New Roman"/>
                <w:lang w:val="lt-LT"/>
              </w:rPr>
              <w:fldChar w:fldCharType="end"/>
            </w:r>
            <w:bookmarkEnd w:id="2"/>
            <w:r w:rsidR="00945D30" w:rsidRPr="003871C6">
              <w:rPr>
                <w:rFonts w:ascii="Times New Roman" w:hAnsi="Times New Roman"/>
                <w:lang w:val="lt-LT"/>
              </w:rPr>
              <w:t xml:space="preserve"> Pagal priemonę</w:t>
            </w:r>
            <w:r w:rsidR="0029069F" w:rsidRPr="003871C6">
              <w:rPr>
                <w:rFonts w:ascii="Times New Roman" w:hAnsi="Times New Roman"/>
                <w:lang w:val="lt-LT"/>
              </w:rPr>
              <w:t>/</w:t>
            </w:r>
            <w:r w:rsidR="00383967" w:rsidRPr="003871C6">
              <w:rPr>
                <w:rFonts w:ascii="Times New Roman" w:hAnsi="Times New Roman"/>
                <w:lang w:val="lt-LT"/>
              </w:rPr>
              <w:t>p</w:t>
            </w:r>
            <w:r w:rsidR="0029069F" w:rsidRPr="003871C6">
              <w:rPr>
                <w:rFonts w:ascii="Times New Roman" w:hAnsi="Times New Roman"/>
                <w:lang w:val="lt-LT"/>
              </w:rPr>
              <w:t>rojekt</w:t>
            </w:r>
            <w:r w:rsidR="00E73945" w:rsidRPr="003871C6">
              <w:rPr>
                <w:rFonts w:ascii="Times New Roman" w:hAnsi="Times New Roman"/>
                <w:lang w:val="lt-LT"/>
              </w:rPr>
              <w:t>ui</w:t>
            </w:r>
            <w:r w:rsidR="00945D30" w:rsidRPr="003871C6">
              <w:rPr>
                <w:rFonts w:ascii="Times New Roman" w:hAnsi="Times New Roman"/>
                <w:lang w:val="lt-LT"/>
              </w:rPr>
              <w:t xml:space="preserve"> nebus</w:t>
            </w:r>
            <w:r w:rsidR="0029069F" w:rsidRPr="003871C6">
              <w:rPr>
                <w:rFonts w:ascii="Times New Roman" w:hAnsi="Times New Roman"/>
                <w:lang w:val="lt-LT"/>
              </w:rPr>
              <w:t>/nėra</w:t>
            </w:r>
            <w:r w:rsidR="00945D30" w:rsidRPr="003871C6">
              <w:rPr>
                <w:rFonts w:ascii="Times New Roman" w:hAnsi="Times New Roman"/>
                <w:lang w:val="lt-LT"/>
              </w:rPr>
              <w:t xml:space="preserve"> teikiama valstybės pagalba (žymima, jei į nors vieną I dalies klausimą atsakyta neigiamai. Patikros lapo III dalis „Teiktinos valstybės pagalbos rūšies priskyrimas</w:t>
            </w:r>
            <w:r w:rsidR="0029069F" w:rsidRPr="003871C6">
              <w:rPr>
                <w:rFonts w:ascii="Times New Roman" w:hAnsi="Times New Roman"/>
                <w:lang w:val="lt-LT"/>
              </w:rPr>
              <w:t>“</w:t>
            </w:r>
            <w:r w:rsidR="00945D30" w:rsidRPr="003871C6">
              <w:rPr>
                <w:rFonts w:ascii="Times New Roman" w:hAnsi="Times New Roman"/>
                <w:lang w:val="lt-LT"/>
              </w:rPr>
              <w:t xml:space="preserve"> nepildoma.</w:t>
            </w:r>
          </w:p>
          <w:p w:rsidR="00E73945" w:rsidRPr="003871C6" w:rsidRDefault="00E73945" w:rsidP="003871C6">
            <w:pPr>
              <w:spacing w:before="240" w:after="120"/>
              <w:jc w:val="both"/>
              <w:rPr>
                <w:rFonts w:ascii="Times New Roman" w:hAnsi="Times New Roman"/>
                <w:lang w:val="lt-LT"/>
              </w:rPr>
            </w:pPr>
            <w:r w:rsidRPr="003871C6">
              <w:rPr>
                <w:rFonts w:ascii="Times New Roman" w:hAnsi="Times New Roman"/>
                <w:lang w:val="lt-LT"/>
              </w:rPr>
              <w:fldChar w:fldCharType="begin">
                <w:ffData>
                  <w:name w:val="Check1"/>
                  <w:enabled/>
                  <w:calcOnExit w:val="0"/>
                  <w:checkBox>
                    <w:sizeAuto/>
                    <w:default w:val="0"/>
                  </w:checkBox>
                </w:ffData>
              </w:fldChar>
            </w:r>
            <w:r w:rsidRPr="003871C6">
              <w:rPr>
                <w:rFonts w:ascii="Times New Roman" w:hAnsi="Times New Roman"/>
                <w:lang w:val="lt-LT"/>
              </w:rPr>
              <w:instrText xml:space="preserve"> FORMCHECKBOX </w:instrText>
            </w:r>
            <w:r w:rsidR="00A05324">
              <w:rPr>
                <w:rFonts w:ascii="Times New Roman" w:hAnsi="Times New Roman"/>
                <w:lang w:val="lt-LT"/>
              </w:rPr>
            </w:r>
            <w:r w:rsidR="00A05324">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 xml:space="preserve"> Pagal priemonę/</w:t>
            </w:r>
            <w:r w:rsidR="00383967" w:rsidRPr="003871C6">
              <w:rPr>
                <w:rFonts w:ascii="Times New Roman" w:hAnsi="Times New Roman"/>
                <w:lang w:val="lt-LT"/>
              </w:rPr>
              <w:t>p</w:t>
            </w:r>
            <w:r w:rsidRPr="003871C6">
              <w:rPr>
                <w:rFonts w:ascii="Times New Roman" w:hAnsi="Times New Roman"/>
                <w:lang w:val="lt-LT"/>
              </w:rPr>
              <w:t>rojektą remtinos veiklos nebus laikomos valstybės pagalba, tačiau ja gali tapti (žymima, jei į nors vieną I dalies klausimą atsakyta neigiamai, tačiau pastabose nurodyta, kad tam tikrus aspektus reikia nuolat stebėti dėl rizikos finansavimui tapti valstybės pagalba). Pagrindžiant pasirinkimą nurodomi tolimesni veiksmai ir priemonės. Patikros lapo III dalis „Teiktinos valstybės pagalbos rūšies priskyrimas nepildoma.</w:t>
            </w:r>
          </w:p>
          <w:p w:rsidR="00945D30" w:rsidRPr="003871C6" w:rsidRDefault="00945D30" w:rsidP="003871C6">
            <w:pPr>
              <w:spacing w:before="240" w:after="120"/>
              <w:jc w:val="both"/>
              <w:rPr>
                <w:rFonts w:ascii="Times New Roman" w:hAnsi="Times New Roman"/>
                <w:lang w:val="lt-LT"/>
              </w:rPr>
            </w:pPr>
            <w:r w:rsidRPr="003871C6">
              <w:rPr>
                <w:rFonts w:ascii="Times New Roman" w:hAnsi="Times New Roman"/>
                <w:lang w:val="lt-LT"/>
              </w:rPr>
              <w:lastRenderedPageBreak/>
              <w:fldChar w:fldCharType="begin">
                <w:ffData>
                  <w:name w:val="Check1"/>
                  <w:enabled/>
                  <w:calcOnExit w:val="0"/>
                  <w:checkBox>
                    <w:sizeAuto/>
                    <w:default w:val="0"/>
                  </w:checkBox>
                </w:ffData>
              </w:fldChar>
            </w:r>
            <w:r w:rsidRPr="003871C6">
              <w:rPr>
                <w:rFonts w:ascii="Times New Roman" w:hAnsi="Times New Roman"/>
                <w:lang w:val="lt-LT"/>
              </w:rPr>
              <w:instrText xml:space="preserve"> FORMCHECKBOX </w:instrText>
            </w:r>
            <w:r w:rsidR="00A05324">
              <w:rPr>
                <w:rFonts w:ascii="Times New Roman" w:hAnsi="Times New Roman"/>
                <w:lang w:val="lt-LT"/>
              </w:rPr>
            </w:r>
            <w:r w:rsidR="00A05324">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 xml:space="preserve"> Pagal priemonę</w:t>
            </w:r>
            <w:r w:rsidR="00325116" w:rsidRPr="003871C6">
              <w:rPr>
                <w:rFonts w:ascii="Times New Roman" w:hAnsi="Times New Roman"/>
                <w:lang w:val="lt-LT"/>
              </w:rPr>
              <w:t>/</w:t>
            </w:r>
            <w:r w:rsidR="00383967" w:rsidRPr="003871C6">
              <w:rPr>
                <w:rFonts w:ascii="Times New Roman" w:hAnsi="Times New Roman"/>
                <w:lang w:val="lt-LT"/>
              </w:rPr>
              <w:t>p</w:t>
            </w:r>
            <w:r w:rsidR="00325116" w:rsidRPr="003871C6">
              <w:rPr>
                <w:rFonts w:ascii="Times New Roman" w:hAnsi="Times New Roman"/>
                <w:lang w:val="lt-LT"/>
              </w:rPr>
              <w:t>rojektui</w:t>
            </w:r>
            <w:r w:rsidRPr="003871C6">
              <w:rPr>
                <w:rFonts w:ascii="Times New Roman" w:hAnsi="Times New Roman"/>
                <w:lang w:val="lt-LT"/>
              </w:rPr>
              <w:t xml:space="preserve"> bus</w:t>
            </w:r>
            <w:r w:rsidR="00325116" w:rsidRPr="003871C6">
              <w:rPr>
                <w:rFonts w:ascii="Times New Roman" w:hAnsi="Times New Roman"/>
                <w:lang w:val="lt-LT"/>
              </w:rPr>
              <w:t>/yra</w:t>
            </w:r>
            <w:r w:rsidRPr="003871C6">
              <w:rPr>
                <w:rFonts w:ascii="Times New Roman" w:hAnsi="Times New Roman"/>
                <w:lang w:val="lt-LT"/>
              </w:rPr>
              <w:t xml:space="preserve"> teikiama valstybės pagalba (žymima, jei į visus I dalies klausimus atsakyta teigiamai).</w:t>
            </w:r>
          </w:p>
        </w:tc>
      </w:tr>
      <w:tr w:rsidR="00B16FD9" w:rsidRPr="003871C6" w:rsidTr="003871C6">
        <w:tc>
          <w:tcPr>
            <w:tcW w:w="5000" w:type="pct"/>
            <w:gridSpan w:val="4"/>
            <w:shd w:val="clear" w:color="auto" w:fill="auto"/>
          </w:tcPr>
          <w:p w:rsidR="00945D30" w:rsidRPr="003871C6" w:rsidRDefault="00945D30" w:rsidP="003871C6">
            <w:pPr>
              <w:spacing w:after="0" w:line="240" w:lineRule="auto"/>
              <w:jc w:val="center"/>
              <w:rPr>
                <w:rFonts w:ascii="Times New Roman" w:hAnsi="Times New Roman"/>
                <w:b/>
                <w:lang w:val="lt-LT"/>
              </w:rPr>
            </w:pPr>
            <w:r w:rsidRPr="003871C6">
              <w:rPr>
                <w:rFonts w:ascii="Times New Roman" w:hAnsi="Times New Roman"/>
                <w:b/>
                <w:lang w:val="lt-LT"/>
              </w:rPr>
              <w:lastRenderedPageBreak/>
              <w:t>Pasirinkimo pagrindimas</w:t>
            </w:r>
          </w:p>
        </w:tc>
      </w:tr>
      <w:tr w:rsidR="00B16FD9" w:rsidRPr="003871C6" w:rsidTr="003871C6">
        <w:tc>
          <w:tcPr>
            <w:tcW w:w="5000" w:type="pct"/>
            <w:gridSpan w:val="4"/>
            <w:shd w:val="clear" w:color="auto" w:fill="auto"/>
          </w:tcPr>
          <w:p w:rsidR="00945D30" w:rsidRPr="003871C6" w:rsidRDefault="00B55C9D" w:rsidP="003871C6">
            <w:pPr>
              <w:spacing w:after="0" w:line="240" w:lineRule="auto"/>
              <w:jc w:val="both"/>
              <w:rPr>
                <w:rFonts w:ascii="Times New Roman" w:hAnsi="Times New Roman"/>
                <w:i/>
                <w:lang w:val="lt-LT"/>
              </w:rPr>
            </w:pPr>
            <w:r w:rsidRPr="00217F0B">
              <w:rPr>
                <w:rFonts w:ascii="Times New Roman" w:hAnsi="Times New Roman"/>
                <w:lang w:val="lt-LT"/>
              </w:rPr>
              <w:t>Į tris klausimyno klausimus atsakyta neigiamai.</w:t>
            </w:r>
          </w:p>
        </w:tc>
      </w:tr>
      <w:tr w:rsidR="00B16FD9" w:rsidRPr="003871C6" w:rsidTr="003871C6">
        <w:tc>
          <w:tcPr>
            <w:tcW w:w="5000" w:type="pct"/>
            <w:gridSpan w:val="4"/>
            <w:shd w:val="pct20" w:color="auto" w:fill="auto"/>
          </w:tcPr>
          <w:p w:rsidR="000622D4" w:rsidRPr="003871C6" w:rsidRDefault="000622D4" w:rsidP="003871C6">
            <w:pPr>
              <w:pStyle w:val="ListParagraph"/>
              <w:numPr>
                <w:ilvl w:val="0"/>
                <w:numId w:val="2"/>
              </w:numPr>
              <w:spacing w:after="0" w:line="240" w:lineRule="auto"/>
              <w:rPr>
                <w:rFonts w:ascii="Times New Roman" w:hAnsi="Times New Roman"/>
                <w:b/>
              </w:rPr>
            </w:pPr>
            <w:r w:rsidRPr="003871C6">
              <w:rPr>
                <w:rFonts w:ascii="Times New Roman" w:hAnsi="Times New Roman"/>
                <w:b/>
              </w:rPr>
              <w:t>Teiktinos valstybės pagalbos rūšies priskyrimas</w:t>
            </w:r>
            <w:r w:rsidR="00E73945" w:rsidRPr="003871C6">
              <w:rPr>
                <w:rFonts w:ascii="Times New Roman" w:hAnsi="Times New Roman"/>
                <w:b/>
              </w:rPr>
              <w:t xml:space="preserve"> (jei taikoma</w:t>
            </w:r>
            <w:r w:rsidR="00325116" w:rsidRPr="003871C6">
              <w:rPr>
                <w:rFonts w:ascii="Times New Roman" w:hAnsi="Times New Roman"/>
                <w:b/>
              </w:rPr>
              <w:t>, pildoma tik vertinant priemonę, bet ne projektą</w:t>
            </w:r>
            <w:r w:rsidR="00E73945" w:rsidRPr="003871C6">
              <w:rPr>
                <w:rFonts w:ascii="Times New Roman" w:hAnsi="Times New Roman"/>
                <w:b/>
              </w:rPr>
              <w:t>)</w:t>
            </w:r>
          </w:p>
        </w:tc>
      </w:tr>
      <w:tr w:rsidR="00B16FD9" w:rsidRPr="0083117E" w:rsidTr="003871C6">
        <w:tc>
          <w:tcPr>
            <w:tcW w:w="5000" w:type="pct"/>
            <w:gridSpan w:val="4"/>
            <w:shd w:val="clear" w:color="auto" w:fill="auto"/>
          </w:tcPr>
          <w:p w:rsidR="000622D4" w:rsidRPr="003871C6" w:rsidRDefault="000622D4" w:rsidP="003871C6">
            <w:pPr>
              <w:spacing w:before="240" w:after="120" w:line="240" w:lineRule="auto"/>
              <w:rPr>
                <w:rFonts w:ascii="Times New Roman" w:hAnsi="Times New Roman"/>
                <w:lang w:val="lt-LT"/>
              </w:rPr>
            </w:pPr>
            <w:r w:rsidRPr="003871C6">
              <w:rPr>
                <w:rFonts w:ascii="Times New Roman" w:hAnsi="Times New Roman"/>
                <w:lang w:val="lt-LT"/>
              </w:rPr>
              <w:fldChar w:fldCharType="begin">
                <w:ffData>
                  <w:name w:val="Check1"/>
                  <w:enabled/>
                  <w:calcOnExit w:val="0"/>
                  <w:checkBox>
                    <w:sizeAuto/>
                    <w:default w:val="0"/>
                  </w:checkBox>
                </w:ffData>
              </w:fldChar>
            </w:r>
            <w:r w:rsidRPr="003871C6">
              <w:rPr>
                <w:rFonts w:ascii="Times New Roman" w:hAnsi="Times New Roman"/>
                <w:lang w:val="lt-LT"/>
              </w:rPr>
              <w:instrText xml:space="preserve"> FORMCHECKBOX </w:instrText>
            </w:r>
            <w:r w:rsidR="00A05324">
              <w:rPr>
                <w:rFonts w:ascii="Times New Roman" w:hAnsi="Times New Roman"/>
                <w:lang w:val="lt-LT"/>
              </w:rPr>
            </w:r>
            <w:r w:rsidR="00A05324">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 xml:space="preserve"> Pagal priemonę valstybės pagalba bus teikiama pagal Bendrąjį bendrosios išimties reglamentą</w:t>
            </w:r>
            <w:r w:rsidR="00AE7EDF" w:rsidRPr="003871C6">
              <w:rPr>
                <w:rStyle w:val="FootnoteReference"/>
                <w:rFonts w:ascii="Times New Roman" w:hAnsi="Times New Roman"/>
                <w:lang w:val="lt-LT"/>
              </w:rPr>
              <w:footnoteReference w:id="2"/>
            </w:r>
            <w:r w:rsidR="00E73945" w:rsidRPr="003871C6">
              <w:rPr>
                <w:rFonts w:ascii="Times New Roman" w:hAnsi="Times New Roman"/>
                <w:lang w:val="lt-LT"/>
              </w:rPr>
              <w:t>.</w:t>
            </w:r>
          </w:p>
          <w:p w:rsidR="009A2C41" w:rsidRPr="003871C6" w:rsidRDefault="000622D4" w:rsidP="003871C6">
            <w:pPr>
              <w:spacing w:before="240" w:after="120" w:line="240" w:lineRule="auto"/>
              <w:rPr>
                <w:rFonts w:ascii="Times New Roman" w:hAnsi="Times New Roman"/>
                <w:lang w:val="lt-LT"/>
              </w:rPr>
            </w:pPr>
            <w:r w:rsidRPr="003871C6">
              <w:rPr>
                <w:rFonts w:ascii="Times New Roman" w:hAnsi="Times New Roman"/>
                <w:lang w:val="lt-LT"/>
              </w:rPr>
              <w:fldChar w:fldCharType="begin">
                <w:ffData>
                  <w:name w:val="Check1"/>
                  <w:enabled/>
                  <w:calcOnExit w:val="0"/>
                  <w:checkBox>
                    <w:sizeAuto/>
                    <w:default w:val="0"/>
                  </w:checkBox>
                </w:ffData>
              </w:fldChar>
            </w:r>
            <w:r w:rsidRPr="003871C6">
              <w:rPr>
                <w:rFonts w:ascii="Times New Roman" w:hAnsi="Times New Roman"/>
                <w:lang w:val="lt-LT"/>
              </w:rPr>
              <w:instrText xml:space="preserve"> FORMCHECKBOX </w:instrText>
            </w:r>
            <w:r w:rsidR="00A05324">
              <w:rPr>
                <w:rFonts w:ascii="Times New Roman" w:hAnsi="Times New Roman"/>
                <w:lang w:val="lt-LT"/>
              </w:rPr>
            </w:r>
            <w:r w:rsidR="00A05324">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 xml:space="preserve"> Pagal priemonę valstybės pagalba bus teikiama pagal Europos Komisijos </w:t>
            </w:r>
            <w:r w:rsidR="00E73945" w:rsidRPr="003871C6">
              <w:rPr>
                <w:rFonts w:ascii="Times New Roman" w:hAnsi="Times New Roman"/>
                <w:lang w:val="lt-LT"/>
              </w:rPr>
              <w:t xml:space="preserve">sprendimu </w:t>
            </w:r>
            <w:r w:rsidR="00383967" w:rsidRPr="003871C6">
              <w:rPr>
                <w:rFonts w:ascii="Times New Roman" w:hAnsi="Times New Roman"/>
                <w:lang w:val="lt-LT"/>
              </w:rPr>
              <w:t xml:space="preserve"> </w:t>
            </w:r>
            <w:r w:rsidRPr="003871C6">
              <w:rPr>
                <w:rFonts w:ascii="Times New Roman" w:hAnsi="Times New Roman"/>
                <w:lang w:val="lt-LT"/>
              </w:rPr>
              <w:t>patvirtintą valstybės pagalbos schemą</w:t>
            </w:r>
            <w:r w:rsidR="00AE7EDF" w:rsidRPr="003871C6">
              <w:rPr>
                <w:rFonts w:ascii="Times New Roman" w:hAnsi="Times New Roman"/>
                <w:lang w:val="lt-LT"/>
              </w:rPr>
              <w:t xml:space="preserve"> </w:t>
            </w:r>
            <w:r w:rsidR="00E73945" w:rsidRPr="003871C6">
              <w:rPr>
                <w:rFonts w:ascii="Times New Roman" w:hAnsi="Times New Roman"/>
                <w:lang w:val="lt-LT"/>
              </w:rPr>
              <w:t>/</w:t>
            </w:r>
            <w:r w:rsidR="00AE7EDF" w:rsidRPr="003871C6">
              <w:rPr>
                <w:rFonts w:ascii="Times New Roman" w:hAnsi="Times New Roman"/>
                <w:lang w:val="lt-LT"/>
              </w:rPr>
              <w:t xml:space="preserve"> </w:t>
            </w:r>
            <w:r w:rsidR="00E73945" w:rsidRPr="003871C6">
              <w:rPr>
                <w:rFonts w:ascii="Times New Roman" w:hAnsi="Times New Roman"/>
                <w:lang w:val="lt-LT"/>
              </w:rPr>
              <w:t>individualią valstybės pagalbą</w:t>
            </w:r>
            <w:r w:rsidR="009A2C41" w:rsidRPr="003871C6">
              <w:rPr>
                <w:rFonts w:ascii="Times New Roman" w:hAnsi="Times New Roman"/>
                <w:lang w:val="lt-LT"/>
              </w:rPr>
              <w:t>, kurą reikia pradėti derinti</w:t>
            </w:r>
            <w:r w:rsidR="00AE7EDF" w:rsidRPr="003871C6">
              <w:rPr>
                <w:rFonts w:ascii="Times New Roman" w:hAnsi="Times New Roman"/>
                <w:lang w:val="lt-LT"/>
              </w:rPr>
              <w:t xml:space="preserve"> su Europos Komisija</w:t>
            </w:r>
            <w:r w:rsidRPr="003871C6">
              <w:rPr>
                <w:rFonts w:ascii="Times New Roman" w:hAnsi="Times New Roman"/>
                <w:lang w:val="lt-LT"/>
              </w:rPr>
              <w:t>.</w:t>
            </w:r>
          </w:p>
          <w:p w:rsidR="00AE7EDF" w:rsidRPr="003871C6" w:rsidRDefault="00AE7EDF" w:rsidP="003871C6">
            <w:pPr>
              <w:spacing w:before="240" w:after="120" w:line="240" w:lineRule="auto"/>
              <w:rPr>
                <w:rFonts w:ascii="Times New Roman" w:hAnsi="Times New Roman"/>
                <w:lang w:val="lt-LT"/>
              </w:rPr>
            </w:pPr>
            <w:r w:rsidRPr="003871C6">
              <w:rPr>
                <w:rFonts w:ascii="Times New Roman" w:hAnsi="Times New Roman"/>
                <w:lang w:val="lt-LT"/>
              </w:rPr>
              <w:fldChar w:fldCharType="begin">
                <w:ffData>
                  <w:name w:val="Check1"/>
                  <w:enabled/>
                  <w:calcOnExit w:val="0"/>
                  <w:checkBox>
                    <w:sizeAuto/>
                    <w:default w:val="0"/>
                  </w:checkBox>
                </w:ffData>
              </w:fldChar>
            </w:r>
            <w:r w:rsidRPr="003871C6">
              <w:rPr>
                <w:rFonts w:ascii="Times New Roman" w:hAnsi="Times New Roman"/>
                <w:lang w:val="lt-LT"/>
              </w:rPr>
              <w:instrText xml:space="preserve"> FORMCHECKBOX </w:instrText>
            </w:r>
            <w:r w:rsidR="00A05324">
              <w:rPr>
                <w:rFonts w:ascii="Times New Roman" w:hAnsi="Times New Roman"/>
                <w:lang w:val="lt-LT"/>
              </w:rPr>
            </w:r>
            <w:r w:rsidR="00A05324">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 xml:space="preserve"> Pagal priemonę valstybės pagalba bus teikiama pagal Europos Komisijos sprendimu  patvirtintą valstybės pagalbos schemą / individualią valstybės pagalbą , kuri jau suderinta su Europos Komisija.</w:t>
            </w:r>
          </w:p>
          <w:p w:rsidR="00E73945" w:rsidRPr="003871C6" w:rsidRDefault="00E73945" w:rsidP="003871C6">
            <w:pPr>
              <w:spacing w:before="240" w:after="120" w:line="240" w:lineRule="auto"/>
              <w:jc w:val="both"/>
              <w:rPr>
                <w:rFonts w:ascii="Times New Roman" w:hAnsi="Times New Roman"/>
                <w:lang w:val="lt-LT"/>
              </w:rPr>
            </w:pPr>
            <w:r w:rsidRPr="003871C6">
              <w:rPr>
                <w:rFonts w:ascii="Times New Roman" w:hAnsi="Times New Roman"/>
                <w:lang w:val="lt-LT"/>
              </w:rPr>
              <w:fldChar w:fldCharType="begin">
                <w:ffData>
                  <w:name w:val="Check1"/>
                  <w:enabled/>
                  <w:calcOnExit w:val="0"/>
                  <w:checkBox>
                    <w:sizeAuto/>
                    <w:default w:val="0"/>
                  </w:checkBox>
                </w:ffData>
              </w:fldChar>
            </w:r>
            <w:r w:rsidRPr="003871C6">
              <w:rPr>
                <w:rFonts w:ascii="Times New Roman" w:hAnsi="Times New Roman"/>
                <w:lang w:val="lt-LT"/>
              </w:rPr>
              <w:instrText xml:space="preserve"> FORMCHECKBOX </w:instrText>
            </w:r>
            <w:r w:rsidR="00A05324">
              <w:rPr>
                <w:rFonts w:ascii="Times New Roman" w:hAnsi="Times New Roman"/>
                <w:lang w:val="lt-LT"/>
              </w:rPr>
            </w:r>
            <w:r w:rsidR="00A05324">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 xml:space="preserve"> Pagal priemonę bus teikiama </w:t>
            </w:r>
            <w:proofErr w:type="spellStart"/>
            <w:r w:rsidRPr="003871C6">
              <w:rPr>
                <w:rFonts w:ascii="Times New Roman" w:hAnsi="Times New Roman"/>
                <w:i/>
                <w:lang w:val="lt-LT"/>
              </w:rPr>
              <w:t>de</w:t>
            </w:r>
            <w:proofErr w:type="spellEnd"/>
            <w:r w:rsidRPr="003871C6">
              <w:rPr>
                <w:rFonts w:ascii="Times New Roman" w:hAnsi="Times New Roman"/>
                <w:i/>
                <w:lang w:val="lt-LT"/>
              </w:rPr>
              <w:t xml:space="preserve"> </w:t>
            </w:r>
            <w:proofErr w:type="spellStart"/>
            <w:r w:rsidRPr="003871C6">
              <w:rPr>
                <w:rFonts w:ascii="Times New Roman" w:hAnsi="Times New Roman"/>
                <w:i/>
                <w:lang w:val="lt-LT"/>
              </w:rPr>
              <w:t>minimis</w:t>
            </w:r>
            <w:proofErr w:type="spellEnd"/>
            <w:r w:rsidRPr="003871C6">
              <w:rPr>
                <w:rFonts w:ascii="Times New Roman" w:hAnsi="Times New Roman"/>
                <w:lang w:val="lt-LT"/>
              </w:rPr>
              <w:t xml:space="preserve"> pagalba</w:t>
            </w:r>
            <w:r w:rsidR="00383967" w:rsidRPr="003871C6">
              <w:rPr>
                <w:rFonts w:ascii="Times New Roman" w:hAnsi="Times New Roman"/>
                <w:lang w:val="lt-LT"/>
              </w:rPr>
              <w:t xml:space="preserve">, remiantis 2013 m. gruodžio 18 d. Komisijos reglamentu (ES) Nr. 1407/2013 dėl Sutarties dėl Europos Sąjungos veikimo 107 ir 108 straipsnių taikymo </w:t>
            </w:r>
            <w:proofErr w:type="spellStart"/>
            <w:r w:rsidR="00383967" w:rsidRPr="003871C6">
              <w:rPr>
                <w:rFonts w:ascii="Times New Roman" w:hAnsi="Times New Roman"/>
                <w:i/>
                <w:lang w:val="lt-LT"/>
              </w:rPr>
              <w:t>de</w:t>
            </w:r>
            <w:proofErr w:type="spellEnd"/>
            <w:r w:rsidR="00383967" w:rsidRPr="003871C6">
              <w:rPr>
                <w:rFonts w:ascii="Times New Roman" w:hAnsi="Times New Roman"/>
                <w:i/>
                <w:lang w:val="lt-LT"/>
              </w:rPr>
              <w:t xml:space="preserve"> </w:t>
            </w:r>
            <w:proofErr w:type="spellStart"/>
            <w:r w:rsidR="00383967" w:rsidRPr="003871C6">
              <w:rPr>
                <w:rFonts w:ascii="Times New Roman" w:hAnsi="Times New Roman"/>
                <w:i/>
                <w:lang w:val="lt-LT"/>
              </w:rPr>
              <w:t>minimis</w:t>
            </w:r>
            <w:proofErr w:type="spellEnd"/>
            <w:r w:rsidR="00383967" w:rsidRPr="003871C6">
              <w:rPr>
                <w:rFonts w:ascii="Times New Roman" w:hAnsi="Times New Roman"/>
                <w:lang w:val="lt-LT"/>
              </w:rPr>
              <w:t xml:space="preserve"> pagalbai</w:t>
            </w:r>
            <w:r w:rsidRPr="003871C6">
              <w:rPr>
                <w:rFonts w:ascii="Times New Roman" w:hAnsi="Times New Roman"/>
                <w:lang w:val="lt-LT"/>
              </w:rPr>
              <w:t>.</w:t>
            </w:r>
          </w:p>
        </w:tc>
      </w:tr>
      <w:tr w:rsidR="00B16FD9" w:rsidRPr="003871C6" w:rsidTr="003871C6">
        <w:tc>
          <w:tcPr>
            <w:tcW w:w="5000" w:type="pct"/>
            <w:gridSpan w:val="4"/>
            <w:shd w:val="clear" w:color="auto" w:fill="auto"/>
          </w:tcPr>
          <w:p w:rsidR="000622D4" w:rsidRPr="003871C6" w:rsidRDefault="000622D4" w:rsidP="003871C6">
            <w:pPr>
              <w:spacing w:after="0" w:line="240" w:lineRule="auto"/>
              <w:jc w:val="center"/>
              <w:rPr>
                <w:rFonts w:ascii="Times New Roman" w:hAnsi="Times New Roman"/>
                <w:b/>
                <w:lang w:val="lt-LT"/>
              </w:rPr>
            </w:pPr>
            <w:r w:rsidRPr="003871C6">
              <w:rPr>
                <w:rFonts w:ascii="Times New Roman" w:hAnsi="Times New Roman"/>
                <w:b/>
                <w:lang w:val="lt-LT"/>
              </w:rPr>
              <w:t>Pasirinkimo pagrindimas</w:t>
            </w:r>
          </w:p>
        </w:tc>
      </w:tr>
      <w:tr w:rsidR="000622D4" w:rsidRPr="003871C6" w:rsidTr="003871C6">
        <w:tc>
          <w:tcPr>
            <w:tcW w:w="5000" w:type="pct"/>
            <w:gridSpan w:val="4"/>
            <w:shd w:val="clear" w:color="auto" w:fill="auto"/>
          </w:tcPr>
          <w:p w:rsidR="000622D4" w:rsidRPr="003871C6" w:rsidRDefault="000622D4" w:rsidP="003871C6">
            <w:pPr>
              <w:spacing w:after="0" w:line="240" w:lineRule="auto"/>
              <w:jc w:val="both"/>
              <w:rPr>
                <w:rFonts w:ascii="Times New Roman" w:hAnsi="Times New Roman"/>
                <w:i/>
                <w:lang w:val="lt-LT"/>
              </w:rPr>
            </w:pPr>
            <w:r w:rsidRPr="003871C6">
              <w:rPr>
                <w:rFonts w:ascii="Times New Roman" w:hAnsi="Times New Roman"/>
                <w:i/>
                <w:lang w:val="lt-LT"/>
              </w:rPr>
              <w:t>(Pagrįskite savo pasirinkimą</w:t>
            </w:r>
            <w:r w:rsidR="00E73945" w:rsidRPr="003871C6">
              <w:rPr>
                <w:rFonts w:ascii="Times New Roman" w:hAnsi="Times New Roman"/>
                <w:i/>
                <w:lang w:val="lt-LT"/>
              </w:rPr>
              <w:t>. Nurodykite</w:t>
            </w:r>
            <w:r w:rsidR="00325116" w:rsidRPr="003871C6">
              <w:rPr>
                <w:rFonts w:ascii="Times New Roman" w:hAnsi="Times New Roman"/>
                <w:i/>
                <w:lang w:val="lt-LT"/>
              </w:rPr>
              <w:t xml:space="preserve"> </w:t>
            </w:r>
            <w:r w:rsidR="00EA0E4F" w:rsidRPr="003871C6">
              <w:rPr>
                <w:rFonts w:ascii="Times New Roman" w:hAnsi="Times New Roman"/>
                <w:i/>
                <w:lang w:val="lt-LT"/>
              </w:rPr>
              <w:t xml:space="preserve">pagalbos teikimo pagrindą: </w:t>
            </w:r>
            <w:r w:rsidR="00325116" w:rsidRPr="003871C6">
              <w:rPr>
                <w:rFonts w:ascii="Times New Roman" w:hAnsi="Times New Roman"/>
                <w:i/>
                <w:lang w:val="lt-LT"/>
              </w:rPr>
              <w:t>Bendrojo bendrosios išimties reglamento straipsnį</w:t>
            </w:r>
            <w:r w:rsidR="003D4C6D" w:rsidRPr="003871C6">
              <w:rPr>
                <w:rFonts w:ascii="Times New Roman" w:hAnsi="Times New Roman"/>
                <w:i/>
                <w:lang w:val="lt-LT"/>
              </w:rPr>
              <w:t xml:space="preserve">, </w:t>
            </w:r>
            <w:r w:rsidR="00EA0E4F" w:rsidRPr="003871C6">
              <w:rPr>
                <w:rFonts w:ascii="Times New Roman" w:hAnsi="Times New Roman"/>
                <w:i/>
                <w:lang w:val="lt-LT"/>
              </w:rPr>
              <w:t xml:space="preserve"> Europos Komisijos patvirtintas</w:t>
            </w:r>
            <w:r w:rsidR="00325116" w:rsidRPr="003871C6">
              <w:rPr>
                <w:rFonts w:ascii="Times New Roman" w:hAnsi="Times New Roman"/>
                <w:i/>
                <w:lang w:val="lt-LT"/>
              </w:rPr>
              <w:t xml:space="preserve"> gaires</w:t>
            </w:r>
            <w:r w:rsidR="00EA0E4F" w:rsidRPr="003871C6">
              <w:rPr>
                <w:rFonts w:ascii="Times New Roman" w:hAnsi="Times New Roman"/>
                <w:i/>
                <w:lang w:val="lt-LT"/>
              </w:rPr>
              <w:t xml:space="preserve"> (sistemą)</w:t>
            </w:r>
            <w:r w:rsidR="003D4C6D" w:rsidRPr="003871C6">
              <w:rPr>
                <w:rFonts w:ascii="Times New Roman" w:hAnsi="Times New Roman"/>
                <w:i/>
                <w:lang w:val="lt-LT"/>
              </w:rPr>
              <w:t xml:space="preserve">, </w:t>
            </w:r>
            <w:proofErr w:type="spellStart"/>
            <w:r w:rsidR="003D4C6D" w:rsidRPr="003871C6">
              <w:rPr>
                <w:rFonts w:ascii="Times New Roman" w:hAnsi="Times New Roman"/>
                <w:i/>
                <w:lang w:val="lt-LT"/>
              </w:rPr>
              <w:t>de</w:t>
            </w:r>
            <w:proofErr w:type="spellEnd"/>
            <w:r w:rsidR="003D4C6D" w:rsidRPr="003871C6">
              <w:rPr>
                <w:rFonts w:ascii="Times New Roman" w:hAnsi="Times New Roman"/>
                <w:i/>
                <w:lang w:val="lt-LT"/>
              </w:rPr>
              <w:t xml:space="preserve"> </w:t>
            </w:r>
            <w:proofErr w:type="spellStart"/>
            <w:r w:rsidR="003D4C6D" w:rsidRPr="003871C6">
              <w:rPr>
                <w:rFonts w:ascii="Times New Roman" w:hAnsi="Times New Roman"/>
                <w:i/>
                <w:lang w:val="lt-LT"/>
              </w:rPr>
              <w:t>minimis</w:t>
            </w:r>
            <w:proofErr w:type="spellEnd"/>
            <w:r w:rsidR="003D4C6D" w:rsidRPr="003871C6">
              <w:rPr>
                <w:rFonts w:ascii="Times New Roman" w:hAnsi="Times New Roman"/>
                <w:i/>
                <w:lang w:val="lt-LT"/>
              </w:rPr>
              <w:t xml:space="preserve"> reglamentą</w:t>
            </w:r>
            <w:r w:rsidRPr="003871C6">
              <w:rPr>
                <w:rFonts w:ascii="Times New Roman" w:hAnsi="Times New Roman"/>
                <w:i/>
                <w:lang w:val="lt-LT"/>
              </w:rPr>
              <w:t>)</w:t>
            </w:r>
          </w:p>
        </w:tc>
      </w:tr>
    </w:tbl>
    <w:p w:rsidR="000622D4" w:rsidRPr="00B16FD9" w:rsidRDefault="000622D4">
      <w:pPr>
        <w:rPr>
          <w:rFonts w:ascii="Times New Roman" w:hAnsi="Times New Roman"/>
          <w:sz w:val="24"/>
          <w:szCs w:val="24"/>
          <w:lang w:val="lt-LT"/>
        </w:rPr>
      </w:pPr>
    </w:p>
    <w:p w:rsidR="000622D4" w:rsidRPr="00B16FD9" w:rsidRDefault="000622D4" w:rsidP="000622D4">
      <w:pPr>
        <w:tabs>
          <w:tab w:val="left" w:pos="6946"/>
        </w:tabs>
        <w:spacing w:after="0" w:line="240" w:lineRule="auto"/>
        <w:rPr>
          <w:rFonts w:ascii="Times New Roman" w:hAnsi="Times New Roman"/>
          <w:sz w:val="24"/>
          <w:szCs w:val="24"/>
          <w:lang w:val="lt-LT"/>
        </w:rPr>
      </w:pPr>
      <w:r w:rsidRPr="00B16FD9">
        <w:rPr>
          <w:rFonts w:ascii="Times New Roman" w:hAnsi="Times New Roman"/>
          <w:sz w:val="24"/>
          <w:szCs w:val="24"/>
          <w:lang w:val="lt-LT"/>
        </w:rPr>
        <w:t xml:space="preserve">_____________________________________ </w:t>
      </w:r>
      <w:r w:rsidRPr="00B16FD9">
        <w:rPr>
          <w:rFonts w:ascii="Times New Roman" w:hAnsi="Times New Roman"/>
          <w:sz w:val="24"/>
          <w:szCs w:val="24"/>
          <w:lang w:val="lt-LT"/>
        </w:rPr>
        <w:tab/>
        <w:t>____________________</w:t>
      </w:r>
      <w:r w:rsidRPr="00B16FD9">
        <w:rPr>
          <w:rFonts w:ascii="Times New Roman" w:hAnsi="Times New Roman"/>
          <w:sz w:val="24"/>
          <w:szCs w:val="24"/>
          <w:lang w:val="lt-LT"/>
        </w:rPr>
        <w:tab/>
      </w:r>
    </w:p>
    <w:p w:rsidR="000622D4" w:rsidRPr="00B16FD9" w:rsidRDefault="000622D4" w:rsidP="000622D4">
      <w:pPr>
        <w:tabs>
          <w:tab w:val="left" w:pos="426"/>
          <w:tab w:val="left" w:pos="7797"/>
        </w:tabs>
        <w:rPr>
          <w:rFonts w:ascii="Times New Roman" w:hAnsi="Times New Roman"/>
          <w:sz w:val="24"/>
          <w:szCs w:val="24"/>
          <w:lang w:val="lt-LT"/>
        </w:rPr>
      </w:pPr>
      <w:r w:rsidRPr="00B16FD9">
        <w:rPr>
          <w:rFonts w:ascii="Times New Roman" w:hAnsi="Times New Roman"/>
          <w:sz w:val="24"/>
          <w:szCs w:val="24"/>
          <w:lang w:val="lt-LT"/>
        </w:rPr>
        <w:tab/>
        <w:t>(</w:t>
      </w:r>
      <w:r w:rsidR="00383967">
        <w:rPr>
          <w:rFonts w:ascii="Times New Roman" w:hAnsi="Times New Roman"/>
          <w:sz w:val="24"/>
          <w:szCs w:val="24"/>
          <w:lang w:val="lt-LT"/>
        </w:rPr>
        <w:t>v</w:t>
      </w:r>
      <w:r w:rsidRPr="00B16FD9">
        <w:rPr>
          <w:rFonts w:ascii="Times New Roman" w:hAnsi="Times New Roman"/>
          <w:sz w:val="24"/>
          <w:szCs w:val="24"/>
          <w:lang w:val="lt-LT"/>
        </w:rPr>
        <w:t xml:space="preserve">ertintojo pareigos, vardas, pavardė) </w:t>
      </w:r>
      <w:r w:rsidRPr="00B16FD9">
        <w:rPr>
          <w:rFonts w:ascii="Times New Roman" w:hAnsi="Times New Roman"/>
          <w:sz w:val="24"/>
          <w:szCs w:val="24"/>
          <w:lang w:val="lt-LT"/>
        </w:rPr>
        <w:tab/>
        <w:t>(</w:t>
      </w:r>
      <w:r w:rsidR="00383967">
        <w:rPr>
          <w:rFonts w:ascii="Times New Roman" w:hAnsi="Times New Roman"/>
          <w:sz w:val="24"/>
          <w:szCs w:val="24"/>
          <w:lang w:val="lt-LT"/>
        </w:rPr>
        <w:t>p</w:t>
      </w:r>
      <w:r w:rsidRPr="00B16FD9">
        <w:rPr>
          <w:rFonts w:ascii="Times New Roman" w:hAnsi="Times New Roman"/>
          <w:sz w:val="24"/>
          <w:szCs w:val="24"/>
          <w:lang w:val="lt-LT"/>
        </w:rPr>
        <w:t xml:space="preserve">arašas) </w:t>
      </w:r>
      <w:r w:rsidRPr="00B16FD9">
        <w:rPr>
          <w:rFonts w:ascii="Times New Roman" w:hAnsi="Times New Roman"/>
          <w:sz w:val="24"/>
          <w:szCs w:val="24"/>
          <w:lang w:val="lt-LT"/>
        </w:rPr>
        <w:tab/>
      </w:r>
    </w:p>
    <w:p w:rsidR="00325116" w:rsidRPr="00B16FD9" w:rsidRDefault="00325116" w:rsidP="000622D4">
      <w:pPr>
        <w:rPr>
          <w:rFonts w:ascii="Times New Roman" w:hAnsi="Times New Roman"/>
          <w:sz w:val="24"/>
          <w:szCs w:val="24"/>
          <w:lang w:val="lt-LT"/>
        </w:rPr>
      </w:pPr>
    </w:p>
    <w:p w:rsidR="000622D4" w:rsidRPr="00B16FD9" w:rsidRDefault="000622D4" w:rsidP="000622D4">
      <w:pPr>
        <w:rPr>
          <w:rFonts w:ascii="Times New Roman" w:hAnsi="Times New Roman"/>
          <w:sz w:val="24"/>
          <w:szCs w:val="24"/>
          <w:lang w:val="lt-LT"/>
        </w:rPr>
      </w:pPr>
      <w:r w:rsidRPr="00B16FD9">
        <w:rPr>
          <w:rFonts w:ascii="Times New Roman" w:hAnsi="Times New Roman"/>
          <w:sz w:val="24"/>
          <w:szCs w:val="24"/>
          <w:lang w:val="lt-LT"/>
        </w:rPr>
        <w:t>Patikros peržiūra:</w:t>
      </w:r>
    </w:p>
    <w:p w:rsidR="000622D4" w:rsidRPr="00B16FD9" w:rsidRDefault="000622D4" w:rsidP="000622D4">
      <w:pPr>
        <w:rPr>
          <w:rFonts w:ascii="Times New Roman" w:hAnsi="Times New Roman"/>
          <w:sz w:val="24"/>
          <w:szCs w:val="24"/>
          <w:lang w:val="lt-LT"/>
        </w:rPr>
      </w:pPr>
      <w:r w:rsidRPr="00B16FD9">
        <w:rPr>
          <w:rFonts w:ascii="Times New Roman" w:hAnsi="Times New Roman"/>
          <w:sz w:val="24"/>
          <w:szCs w:val="24"/>
          <w:lang w:val="lt-LT"/>
        </w:rPr>
        <w:fldChar w:fldCharType="begin">
          <w:ffData>
            <w:name w:val="Check1"/>
            <w:enabled/>
            <w:calcOnExit w:val="0"/>
            <w:checkBox>
              <w:sizeAuto/>
              <w:default w:val="0"/>
            </w:checkBox>
          </w:ffData>
        </w:fldChar>
      </w:r>
      <w:r w:rsidRPr="00B16FD9">
        <w:rPr>
          <w:rFonts w:ascii="Times New Roman" w:hAnsi="Times New Roman"/>
          <w:sz w:val="24"/>
          <w:szCs w:val="24"/>
          <w:lang w:val="lt-LT"/>
        </w:rPr>
        <w:instrText xml:space="preserve"> FORMCHECKBOX </w:instrText>
      </w:r>
      <w:r w:rsidR="00A05324">
        <w:rPr>
          <w:rFonts w:ascii="Times New Roman" w:hAnsi="Times New Roman"/>
          <w:sz w:val="24"/>
          <w:szCs w:val="24"/>
          <w:lang w:val="lt-LT"/>
        </w:rPr>
      </w:r>
      <w:r w:rsidR="00A05324">
        <w:rPr>
          <w:rFonts w:ascii="Times New Roman" w:hAnsi="Times New Roman"/>
          <w:sz w:val="24"/>
          <w:szCs w:val="24"/>
          <w:lang w:val="lt-LT"/>
        </w:rPr>
        <w:fldChar w:fldCharType="separate"/>
      </w:r>
      <w:r w:rsidRPr="00B16FD9">
        <w:rPr>
          <w:rFonts w:ascii="Times New Roman" w:hAnsi="Times New Roman"/>
          <w:sz w:val="24"/>
          <w:szCs w:val="24"/>
          <w:lang w:val="lt-LT"/>
        </w:rPr>
        <w:fldChar w:fldCharType="end"/>
      </w:r>
      <w:r w:rsidRPr="00B16FD9">
        <w:rPr>
          <w:rFonts w:ascii="Times New Roman" w:hAnsi="Times New Roman"/>
          <w:sz w:val="24"/>
          <w:szCs w:val="24"/>
          <w:lang w:val="lt-LT"/>
        </w:rPr>
        <w:t xml:space="preserve"> Vertintojo išvadai pritarti</w:t>
      </w:r>
    </w:p>
    <w:p w:rsidR="000622D4" w:rsidRPr="00B16FD9" w:rsidRDefault="000622D4" w:rsidP="000622D4">
      <w:pPr>
        <w:rPr>
          <w:rFonts w:ascii="Times New Roman" w:hAnsi="Times New Roman"/>
          <w:sz w:val="24"/>
          <w:szCs w:val="24"/>
          <w:lang w:val="lt-LT"/>
        </w:rPr>
      </w:pPr>
      <w:r w:rsidRPr="00B16FD9">
        <w:rPr>
          <w:rFonts w:ascii="Times New Roman" w:hAnsi="Times New Roman"/>
          <w:sz w:val="24"/>
          <w:szCs w:val="24"/>
          <w:lang w:val="lt-LT"/>
        </w:rPr>
        <w:fldChar w:fldCharType="begin">
          <w:ffData>
            <w:name w:val="Check1"/>
            <w:enabled/>
            <w:calcOnExit w:val="0"/>
            <w:checkBox>
              <w:sizeAuto/>
              <w:default w:val="0"/>
            </w:checkBox>
          </w:ffData>
        </w:fldChar>
      </w:r>
      <w:r w:rsidRPr="00B16FD9">
        <w:rPr>
          <w:rFonts w:ascii="Times New Roman" w:hAnsi="Times New Roman"/>
          <w:sz w:val="24"/>
          <w:szCs w:val="24"/>
          <w:lang w:val="lt-LT"/>
        </w:rPr>
        <w:instrText xml:space="preserve"> FORMCHECKBOX </w:instrText>
      </w:r>
      <w:r w:rsidR="00A05324">
        <w:rPr>
          <w:rFonts w:ascii="Times New Roman" w:hAnsi="Times New Roman"/>
          <w:sz w:val="24"/>
          <w:szCs w:val="24"/>
          <w:lang w:val="lt-LT"/>
        </w:rPr>
      </w:r>
      <w:r w:rsidR="00A05324">
        <w:rPr>
          <w:rFonts w:ascii="Times New Roman" w:hAnsi="Times New Roman"/>
          <w:sz w:val="24"/>
          <w:szCs w:val="24"/>
          <w:lang w:val="lt-LT"/>
        </w:rPr>
        <w:fldChar w:fldCharType="separate"/>
      </w:r>
      <w:r w:rsidRPr="00B16FD9">
        <w:rPr>
          <w:rFonts w:ascii="Times New Roman" w:hAnsi="Times New Roman"/>
          <w:sz w:val="24"/>
          <w:szCs w:val="24"/>
          <w:lang w:val="lt-LT"/>
        </w:rPr>
        <w:fldChar w:fldCharType="end"/>
      </w:r>
      <w:r w:rsidRPr="00B16FD9">
        <w:rPr>
          <w:rFonts w:ascii="Times New Roman" w:hAnsi="Times New Roman"/>
          <w:sz w:val="24"/>
          <w:szCs w:val="24"/>
          <w:lang w:val="lt-LT"/>
        </w:rPr>
        <w:t xml:space="preserve"> Vertintojo išvadai nepritarti</w:t>
      </w:r>
    </w:p>
    <w:p w:rsidR="000622D4" w:rsidRPr="00B16FD9" w:rsidRDefault="000622D4" w:rsidP="000622D4">
      <w:pPr>
        <w:spacing w:after="0" w:line="240" w:lineRule="auto"/>
        <w:rPr>
          <w:rFonts w:ascii="Times New Roman" w:hAnsi="Times New Roman"/>
          <w:sz w:val="24"/>
          <w:szCs w:val="24"/>
          <w:lang w:val="lt-LT"/>
        </w:rPr>
      </w:pPr>
      <w:r w:rsidRPr="00B16FD9">
        <w:rPr>
          <w:rFonts w:ascii="Times New Roman" w:hAnsi="Times New Roman"/>
          <w:sz w:val="24"/>
          <w:szCs w:val="24"/>
          <w:lang w:val="lt-LT"/>
        </w:rPr>
        <w:t>Pastabos: _____________________________________________________________________________</w:t>
      </w:r>
    </w:p>
    <w:p w:rsidR="000622D4" w:rsidRPr="00B16FD9" w:rsidRDefault="000622D4" w:rsidP="000622D4">
      <w:pPr>
        <w:spacing w:after="0" w:line="240" w:lineRule="auto"/>
        <w:rPr>
          <w:rFonts w:ascii="Times New Roman" w:hAnsi="Times New Roman"/>
          <w:sz w:val="24"/>
          <w:szCs w:val="24"/>
          <w:lang w:val="lt-LT"/>
        </w:rPr>
      </w:pPr>
    </w:p>
    <w:p w:rsidR="000622D4" w:rsidRPr="00B16FD9" w:rsidRDefault="000622D4" w:rsidP="000622D4">
      <w:pPr>
        <w:spacing w:after="0" w:line="240" w:lineRule="auto"/>
        <w:rPr>
          <w:rFonts w:ascii="Times New Roman" w:hAnsi="Times New Roman"/>
          <w:sz w:val="24"/>
          <w:szCs w:val="24"/>
          <w:lang w:val="lt-LT"/>
        </w:rPr>
      </w:pPr>
      <w:r w:rsidRPr="00B16FD9">
        <w:rPr>
          <w:rFonts w:ascii="Times New Roman" w:hAnsi="Times New Roman"/>
          <w:sz w:val="24"/>
          <w:szCs w:val="24"/>
          <w:lang w:val="lt-LT"/>
        </w:rPr>
        <w:t>____________________________________</w:t>
      </w:r>
      <w:r w:rsidRPr="00B16FD9">
        <w:rPr>
          <w:rFonts w:ascii="Times New Roman" w:hAnsi="Times New Roman"/>
          <w:sz w:val="24"/>
          <w:szCs w:val="24"/>
          <w:lang w:val="lt-LT"/>
        </w:rPr>
        <w:tab/>
        <w:t>______________</w:t>
      </w:r>
      <w:r w:rsidRPr="00B16FD9">
        <w:rPr>
          <w:rFonts w:ascii="Times New Roman" w:hAnsi="Times New Roman"/>
          <w:sz w:val="24"/>
          <w:szCs w:val="24"/>
          <w:lang w:val="lt-LT"/>
        </w:rPr>
        <w:tab/>
        <w:t>_________________</w:t>
      </w:r>
    </w:p>
    <w:p w:rsidR="000622D4" w:rsidRPr="00B16FD9" w:rsidRDefault="000622D4" w:rsidP="000622D4">
      <w:pPr>
        <w:tabs>
          <w:tab w:val="left" w:pos="426"/>
          <w:tab w:val="left" w:pos="5529"/>
          <w:tab w:val="left" w:pos="7938"/>
        </w:tabs>
        <w:rPr>
          <w:rFonts w:ascii="Times New Roman" w:hAnsi="Times New Roman"/>
          <w:sz w:val="24"/>
          <w:szCs w:val="24"/>
          <w:lang w:val="lt-LT"/>
        </w:rPr>
      </w:pPr>
      <w:r w:rsidRPr="00B16FD9">
        <w:rPr>
          <w:rFonts w:ascii="Times New Roman" w:hAnsi="Times New Roman"/>
          <w:sz w:val="24"/>
          <w:szCs w:val="24"/>
          <w:lang w:val="lt-LT"/>
        </w:rPr>
        <w:tab/>
        <w:t>(</w:t>
      </w:r>
      <w:r w:rsidR="00383967">
        <w:rPr>
          <w:rFonts w:ascii="Times New Roman" w:hAnsi="Times New Roman"/>
          <w:sz w:val="24"/>
          <w:szCs w:val="24"/>
          <w:lang w:val="lt-LT"/>
        </w:rPr>
        <w:t>t</w:t>
      </w:r>
      <w:r w:rsidRPr="00B16FD9">
        <w:rPr>
          <w:rFonts w:ascii="Times New Roman" w:hAnsi="Times New Roman"/>
          <w:sz w:val="24"/>
          <w:szCs w:val="24"/>
          <w:lang w:val="lt-LT"/>
        </w:rPr>
        <w:t>ikrintojo pareigos, vardas, pavardė)</w:t>
      </w:r>
      <w:r w:rsidRPr="00B16FD9">
        <w:rPr>
          <w:rFonts w:ascii="Times New Roman" w:hAnsi="Times New Roman"/>
          <w:sz w:val="24"/>
          <w:szCs w:val="24"/>
          <w:lang w:val="lt-LT"/>
        </w:rPr>
        <w:tab/>
        <w:t>(</w:t>
      </w:r>
      <w:r w:rsidR="00383967">
        <w:rPr>
          <w:rFonts w:ascii="Times New Roman" w:hAnsi="Times New Roman"/>
          <w:sz w:val="24"/>
          <w:szCs w:val="24"/>
          <w:lang w:val="lt-LT"/>
        </w:rPr>
        <w:t>p</w:t>
      </w:r>
      <w:r w:rsidRPr="00B16FD9">
        <w:rPr>
          <w:rFonts w:ascii="Times New Roman" w:hAnsi="Times New Roman"/>
          <w:sz w:val="24"/>
          <w:szCs w:val="24"/>
          <w:lang w:val="lt-LT"/>
        </w:rPr>
        <w:t>arašas)</w:t>
      </w:r>
      <w:r w:rsidRPr="00B16FD9">
        <w:rPr>
          <w:rFonts w:ascii="Times New Roman" w:hAnsi="Times New Roman"/>
          <w:sz w:val="24"/>
          <w:szCs w:val="24"/>
          <w:lang w:val="lt-LT"/>
        </w:rPr>
        <w:tab/>
        <w:t>(</w:t>
      </w:r>
      <w:r w:rsidR="00383967">
        <w:rPr>
          <w:rFonts w:ascii="Times New Roman" w:hAnsi="Times New Roman"/>
          <w:sz w:val="24"/>
          <w:szCs w:val="24"/>
          <w:lang w:val="lt-LT"/>
        </w:rPr>
        <w:t>d</w:t>
      </w:r>
      <w:r w:rsidRPr="00B16FD9">
        <w:rPr>
          <w:rFonts w:ascii="Times New Roman" w:hAnsi="Times New Roman"/>
          <w:sz w:val="24"/>
          <w:szCs w:val="24"/>
          <w:lang w:val="lt-LT"/>
        </w:rPr>
        <w:t>ata)</w:t>
      </w:r>
    </w:p>
    <w:p w:rsidR="00945D30" w:rsidRPr="00B16FD9" w:rsidRDefault="00945D30">
      <w:pPr>
        <w:rPr>
          <w:rFonts w:ascii="Times New Roman" w:hAnsi="Times New Roman"/>
          <w:sz w:val="24"/>
          <w:szCs w:val="24"/>
          <w:lang w:val="lt-LT"/>
        </w:rPr>
      </w:pPr>
    </w:p>
    <w:sectPr w:rsidR="00945D30" w:rsidRPr="00B16FD9">
      <w:headerReference w:type="default" r:id="rId9"/>
      <w:footerReference w:type="default" r:id="rId10"/>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324" w:rsidRDefault="00A05324" w:rsidP="00945D30">
      <w:pPr>
        <w:spacing w:after="0" w:line="240" w:lineRule="auto"/>
      </w:pPr>
      <w:r>
        <w:separator/>
      </w:r>
    </w:p>
  </w:endnote>
  <w:endnote w:type="continuationSeparator" w:id="0">
    <w:p w:rsidR="00A05324" w:rsidRDefault="00A05324" w:rsidP="00945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116" w:rsidRDefault="008528F6">
    <w:pPr>
      <w:pStyle w:val="Footer"/>
      <w:jc w:val="center"/>
    </w:pPr>
    <w:r>
      <w:fldChar w:fldCharType="begin"/>
    </w:r>
    <w:r>
      <w:instrText>PAGE   \* MERGEFORMAT</w:instrText>
    </w:r>
    <w:r>
      <w:fldChar w:fldCharType="separate"/>
    </w:r>
    <w:r w:rsidR="00613536" w:rsidRPr="00613536">
      <w:rPr>
        <w:noProof/>
        <w:lang w:val="lt-LT"/>
      </w:rPr>
      <w:t>1</w:t>
    </w:r>
    <w:r>
      <w:rPr>
        <w:noProof/>
        <w:lang w:val="lt-LT"/>
      </w:rPr>
      <w:fldChar w:fldCharType="end"/>
    </w:r>
  </w:p>
  <w:p w:rsidR="00325116" w:rsidRDefault="00325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324" w:rsidRDefault="00A05324" w:rsidP="00945D30">
      <w:pPr>
        <w:spacing w:after="0" w:line="240" w:lineRule="auto"/>
      </w:pPr>
      <w:r>
        <w:separator/>
      </w:r>
    </w:p>
  </w:footnote>
  <w:footnote w:type="continuationSeparator" w:id="0">
    <w:p w:rsidR="00A05324" w:rsidRDefault="00A05324" w:rsidP="00945D30">
      <w:pPr>
        <w:spacing w:after="0" w:line="240" w:lineRule="auto"/>
      </w:pPr>
      <w:r>
        <w:continuationSeparator/>
      </w:r>
    </w:p>
  </w:footnote>
  <w:footnote w:id="1">
    <w:p w:rsidR="006E06FC" w:rsidRPr="00CC5F98" w:rsidRDefault="006E06FC">
      <w:pPr>
        <w:pStyle w:val="FootnoteText"/>
        <w:rPr>
          <w:lang w:val="lt-LT"/>
        </w:rPr>
      </w:pPr>
      <w:r>
        <w:rPr>
          <w:rStyle w:val="FootnoteReference"/>
        </w:rPr>
        <w:footnoteRef/>
      </w:r>
      <w:r>
        <w:t xml:space="preserve"> </w:t>
      </w:r>
      <w:r w:rsidRPr="00F51F0F">
        <w:rPr>
          <w:rFonts w:ascii="Times New Roman" w:hAnsi="Times New Roman"/>
          <w:lang w:val="lt-LT"/>
        </w:rPr>
        <w:t>Vertinant valstybės pagalbos kriterijus vadovaujamasi Europos Komisijos pranešimu dėl valstybės pagalbos sąvokos</w:t>
      </w:r>
      <w:r w:rsidR="00B74445" w:rsidRPr="00F51F0F">
        <w:rPr>
          <w:rFonts w:ascii="Times New Roman" w:hAnsi="Times New Roman"/>
          <w:lang w:val="lt-LT"/>
        </w:rPr>
        <w:t xml:space="preserve"> ir teismų praktik</w:t>
      </w:r>
      <w:r w:rsidR="009A6EE0">
        <w:rPr>
          <w:rFonts w:ascii="Times New Roman" w:hAnsi="Times New Roman"/>
          <w:lang w:val="lt-LT"/>
        </w:rPr>
        <w:t>a</w:t>
      </w:r>
      <w:r w:rsidR="009365BE">
        <w:rPr>
          <w:rFonts w:ascii="Times New Roman" w:hAnsi="Times New Roman"/>
          <w:lang w:val="lt-LT"/>
        </w:rPr>
        <w:t xml:space="preserve"> (angl. </w:t>
      </w:r>
      <w:proofErr w:type="spellStart"/>
      <w:r w:rsidR="009365BE" w:rsidRPr="00F51F0F">
        <w:rPr>
          <w:rFonts w:ascii="Times New Roman" w:hAnsi="Times New Roman"/>
          <w:lang w:val="lt-LT"/>
        </w:rPr>
        <w:t>Commission</w:t>
      </w:r>
      <w:proofErr w:type="spellEnd"/>
      <w:r w:rsidR="009365BE" w:rsidRPr="00F51F0F">
        <w:rPr>
          <w:rFonts w:ascii="Times New Roman" w:hAnsi="Times New Roman"/>
          <w:lang w:val="lt-LT"/>
        </w:rPr>
        <w:t xml:space="preserve"> </w:t>
      </w:r>
      <w:proofErr w:type="spellStart"/>
      <w:r w:rsidR="009365BE" w:rsidRPr="00F51F0F">
        <w:rPr>
          <w:rFonts w:ascii="Times New Roman" w:hAnsi="Times New Roman"/>
          <w:lang w:val="lt-LT"/>
        </w:rPr>
        <w:t>Notice</w:t>
      </w:r>
      <w:proofErr w:type="spellEnd"/>
      <w:r w:rsidR="009365BE" w:rsidRPr="00F51F0F">
        <w:rPr>
          <w:rFonts w:ascii="Times New Roman" w:hAnsi="Times New Roman"/>
          <w:lang w:val="lt-LT"/>
        </w:rPr>
        <w:t xml:space="preserve"> </w:t>
      </w:r>
      <w:proofErr w:type="spellStart"/>
      <w:r w:rsidR="009365BE" w:rsidRPr="00F51F0F">
        <w:rPr>
          <w:rFonts w:ascii="Times New Roman" w:hAnsi="Times New Roman"/>
          <w:lang w:val="lt-LT"/>
        </w:rPr>
        <w:t>on</w:t>
      </w:r>
      <w:proofErr w:type="spellEnd"/>
      <w:r w:rsidR="009365BE" w:rsidRPr="00F51F0F">
        <w:rPr>
          <w:rFonts w:ascii="Times New Roman" w:hAnsi="Times New Roman"/>
          <w:lang w:val="lt-LT"/>
        </w:rPr>
        <w:t xml:space="preserve"> </w:t>
      </w:r>
      <w:proofErr w:type="spellStart"/>
      <w:r w:rsidR="009365BE" w:rsidRPr="00F51F0F">
        <w:rPr>
          <w:rFonts w:ascii="Times New Roman" w:hAnsi="Times New Roman"/>
          <w:lang w:val="lt-LT"/>
        </w:rPr>
        <w:t>the</w:t>
      </w:r>
      <w:proofErr w:type="spellEnd"/>
      <w:r w:rsidR="009365BE" w:rsidRPr="00F51F0F">
        <w:rPr>
          <w:rFonts w:ascii="Times New Roman" w:hAnsi="Times New Roman"/>
          <w:lang w:val="lt-LT"/>
        </w:rPr>
        <w:t xml:space="preserve"> </w:t>
      </w:r>
      <w:proofErr w:type="spellStart"/>
      <w:r w:rsidR="009365BE" w:rsidRPr="00F51F0F">
        <w:rPr>
          <w:rFonts w:ascii="Times New Roman" w:hAnsi="Times New Roman"/>
          <w:lang w:val="lt-LT"/>
        </w:rPr>
        <w:t>notion</w:t>
      </w:r>
      <w:proofErr w:type="spellEnd"/>
      <w:r w:rsidR="009365BE" w:rsidRPr="00F51F0F">
        <w:rPr>
          <w:rFonts w:ascii="Times New Roman" w:hAnsi="Times New Roman"/>
          <w:lang w:val="lt-LT"/>
        </w:rPr>
        <w:t xml:space="preserve"> </w:t>
      </w:r>
      <w:proofErr w:type="spellStart"/>
      <w:r w:rsidR="009365BE" w:rsidRPr="00F51F0F">
        <w:rPr>
          <w:rFonts w:ascii="Times New Roman" w:hAnsi="Times New Roman"/>
          <w:lang w:val="lt-LT"/>
        </w:rPr>
        <w:t>of</w:t>
      </w:r>
      <w:proofErr w:type="spellEnd"/>
      <w:r w:rsidR="009365BE" w:rsidRPr="00F51F0F">
        <w:rPr>
          <w:rFonts w:ascii="Times New Roman" w:hAnsi="Times New Roman"/>
          <w:lang w:val="lt-LT"/>
        </w:rPr>
        <w:t xml:space="preserve"> </w:t>
      </w:r>
      <w:proofErr w:type="spellStart"/>
      <w:r w:rsidR="009365BE" w:rsidRPr="00F51F0F">
        <w:rPr>
          <w:rFonts w:ascii="Times New Roman" w:hAnsi="Times New Roman"/>
          <w:lang w:val="lt-LT"/>
        </w:rPr>
        <w:t>State</w:t>
      </w:r>
      <w:proofErr w:type="spellEnd"/>
      <w:r w:rsidR="009365BE" w:rsidRPr="00F51F0F">
        <w:rPr>
          <w:rFonts w:ascii="Times New Roman" w:hAnsi="Times New Roman"/>
          <w:lang w:val="lt-LT"/>
        </w:rPr>
        <w:t xml:space="preserve"> </w:t>
      </w:r>
      <w:proofErr w:type="spellStart"/>
      <w:r w:rsidR="009365BE" w:rsidRPr="00F51F0F">
        <w:rPr>
          <w:rFonts w:ascii="Times New Roman" w:hAnsi="Times New Roman"/>
          <w:lang w:val="lt-LT"/>
        </w:rPr>
        <w:t>aid</w:t>
      </w:r>
      <w:proofErr w:type="spellEnd"/>
      <w:r w:rsidR="009365BE" w:rsidRPr="00F51F0F">
        <w:rPr>
          <w:rFonts w:ascii="Times New Roman" w:hAnsi="Times New Roman"/>
          <w:lang w:val="lt-LT"/>
        </w:rPr>
        <w:t xml:space="preserve"> </w:t>
      </w:r>
      <w:proofErr w:type="spellStart"/>
      <w:r w:rsidR="009365BE" w:rsidRPr="00F51F0F">
        <w:rPr>
          <w:rFonts w:ascii="Times New Roman" w:hAnsi="Times New Roman"/>
          <w:lang w:val="lt-LT"/>
        </w:rPr>
        <w:t>pursuant</w:t>
      </w:r>
      <w:proofErr w:type="spellEnd"/>
      <w:r w:rsidR="009365BE" w:rsidRPr="00F51F0F">
        <w:rPr>
          <w:rFonts w:ascii="Times New Roman" w:hAnsi="Times New Roman"/>
          <w:lang w:val="lt-LT"/>
        </w:rPr>
        <w:t xml:space="preserve"> to </w:t>
      </w:r>
      <w:proofErr w:type="spellStart"/>
      <w:r w:rsidR="009365BE" w:rsidRPr="00F51F0F">
        <w:rPr>
          <w:rFonts w:ascii="Times New Roman" w:hAnsi="Times New Roman"/>
          <w:lang w:val="lt-LT"/>
        </w:rPr>
        <w:t>Article</w:t>
      </w:r>
      <w:proofErr w:type="spellEnd"/>
      <w:r w:rsidR="009365BE" w:rsidRPr="00F51F0F">
        <w:rPr>
          <w:rFonts w:ascii="Times New Roman" w:hAnsi="Times New Roman"/>
          <w:lang w:val="lt-LT"/>
        </w:rPr>
        <w:t xml:space="preserve"> 107(1) TFEU</w:t>
      </w:r>
      <w:r w:rsidR="00B74445" w:rsidRPr="00F51F0F">
        <w:rPr>
          <w:rFonts w:ascii="Times New Roman" w:hAnsi="Times New Roman"/>
          <w:lang w:val="lt-LT"/>
        </w:rPr>
        <w:t>, jei taikoma</w:t>
      </w:r>
      <w:r w:rsidRPr="00F51F0F">
        <w:rPr>
          <w:rFonts w:ascii="Times New Roman" w:hAnsi="Times New Roman"/>
          <w:lang w:val="lt-LT"/>
        </w:rPr>
        <w:t>.</w:t>
      </w:r>
    </w:p>
  </w:footnote>
  <w:footnote w:id="2">
    <w:p w:rsidR="00AE7EDF" w:rsidRPr="0083117E" w:rsidRDefault="00AE7EDF" w:rsidP="00F51F0F">
      <w:pPr>
        <w:autoSpaceDE w:val="0"/>
        <w:autoSpaceDN w:val="0"/>
        <w:adjustRightInd w:val="0"/>
        <w:spacing w:after="0" w:line="240" w:lineRule="auto"/>
        <w:jc w:val="both"/>
        <w:rPr>
          <w:rFonts w:ascii="Times New Roman" w:hAnsi="Times New Roman"/>
          <w:lang w:val="lt-LT"/>
        </w:rPr>
      </w:pPr>
      <w:r>
        <w:rPr>
          <w:rStyle w:val="FootnoteReference"/>
        </w:rPr>
        <w:footnoteRef/>
      </w:r>
      <w:r w:rsidRPr="0083117E">
        <w:rPr>
          <w:lang w:val="lt-LT"/>
        </w:rPr>
        <w:t xml:space="preserve"> </w:t>
      </w:r>
      <w:r w:rsidRPr="0083117E">
        <w:rPr>
          <w:rFonts w:ascii="Times New Roman" w:hAnsi="Times New Roman"/>
          <w:bCs/>
          <w:lang w:val="lt-LT"/>
        </w:rPr>
        <w:t xml:space="preserve">2014 m. birželio 17 d. Komisijos reglamentas (ES) Nr. 651/2014, kuriuo tam tikrų kategorijų pagalba skelbiama suderinama su vidaus rinka taikant Sutarties 107 ir 108 straipsnius, OL, </w:t>
      </w:r>
      <w:r w:rsidRPr="0083117E">
        <w:rPr>
          <w:rStyle w:val="Strong"/>
          <w:rFonts w:ascii="Times New Roman" w:hAnsi="Times New Roman"/>
          <w:b w:val="0"/>
          <w:color w:val="444444"/>
          <w:lang w:val="lt-LT"/>
        </w:rPr>
        <w:t>L 187,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116" w:rsidRDefault="00325116">
    <w:pPr>
      <w:pStyle w:val="Header"/>
      <w:jc w:val="center"/>
    </w:pPr>
  </w:p>
  <w:p w:rsidR="00325116" w:rsidRDefault="00325116">
    <w:pPr>
      <w:pStyle w:val="Header"/>
      <w:jc w:val="center"/>
    </w:pPr>
  </w:p>
  <w:p w:rsidR="00325116" w:rsidRDefault="003251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C7278D7"/>
    <w:multiLevelType w:val="hybridMultilevel"/>
    <w:tmpl w:val="24066E42"/>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50422CC"/>
    <w:multiLevelType w:val="multilevel"/>
    <w:tmpl w:val="D0B4257E"/>
    <w:lvl w:ilvl="0">
      <w:start w:val="1"/>
      <w:numFmt w:val="decimal"/>
      <w:lvlText w:val="%1."/>
      <w:lvlJc w:val="left"/>
      <w:pPr>
        <w:ind w:left="360" w:hanging="360"/>
      </w:pPr>
      <w:rPr>
        <w:i w:val="0"/>
      </w:rPr>
    </w:lvl>
    <w:lvl w:ilvl="1">
      <w:start w:val="1"/>
      <w:numFmt w:val="decimal"/>
      <w:lvlText w:val="%2."/>
      <w:lvlJc w:val="left"/>
      <w:pPr>
        <w:ind w:left="574" w:hanging="432"/>
      </w:pPr>
      <w:rPr>
        <w:rFonts w:ascii="Calibri" w:eastAsia="Times New Roman" w:hAnsi="Calibri" w:cs="Times New Roman"/>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D30"/>
    <w:rsid w:val="0001587E"/>
    <w:rsid w:val="00027275"/>
    <w:rsid w:val="00057F5C"/>
    <w:rsid w:val="000622D4"/>
    <w:rsid w:val="00066AC7"/>
    <w:rsid w:val="000709AE"/>
    <w:rsid w:val="000C7CA1"/>
    <w:rsid w:val="000E2D96"/>
    <w:rsid w:val="0016067A"/>
    <w:rsid w:val="00172B71"/>
    <w:rsid w:val="00175690"/>
    <w:rsid w:val="00191FD4"/>
    <w:rsid w:val="00234ECB"/>
    <w:rsid w:val="0029069F"/>
    <w:rsid w:val="00325116"/>
    <w:rsid w:val="00383967"/>
    <w:rsid w:val="003871C6"/>
    <w:rsid w:val="003D4C6D"/>
    <w:rsid w:val="003D7AA6"/>
    <w:rsid w:val="004D0C76"/>
    <w:rsid w:val="004F0275"/>
    <w:rsid w:val="00510845"/>
    <w:rsid w:val="005C04CF"/>
    <w:rsid w:val="005E2495"/>
    <w:rsid w:val="00613536"/>
    <w:rsid w:val="00634380"/>
    <w:rsid w:val="00654C0E"/>
    <w:rsid w:val="00664715"/>
    <w:rsid w:val="006E06FC"/>
    <w:rsid w:val="00787556"/>
    <w:rsid w:val="007D6DB5"/>
    <w:rsid w:val="0082323E"/>
    <w:rsid w:val="0083117E"/>
    <w:rsid w:val="00847262"/>
    <w:rsid w:val="008528F6"/>
    <w:rsid w:val="0086254F"/>
    <w:rsid w:val="00865E39"/>
    <w:rsid w:val="008C3F0E"/>
    <w:rsid w:val="009365BE"/>
    <w:rsid w:val="00945D30"/>
    <w:rsid w:val="009467C4"/>
    <w:rsid w:val="0098344E"/>
    <w:rsid w:val="009A2C41"/>
    <w:rsid w:val="009A6EE0"/>
    <w:rsid w:val="009F4812"/>
    <w:rsid w:val="00A05324"/>
    <w:rsid w:val="00A13F99"/>
    <w:rsid w:val="00A50BF0"/>
    <w:rsid w:val="00AB299D"/>
    <w:rsid w:val="00AE51F1"/>
    <w:rsid w:val="00AE7EDF"/>
    <w:rsid w:val="00B16FD9"/>
    <w:rsid w:val="00B528CC"/>
    <w:rsid w:val="00B55C9D"/>
    <w:rsid w:val="00B65DB7"/>
    <w:rsid w:val="00B74445"/>
    <w:rsid w:val="00BA0AE0"/>
    <w:rsid w:val="00BD1071"/>
    <w:rsid w:val="00C36579"/>
    <w:rsid w:val="00C92945"/>
    <w:rsid w:val="00CC5F98"/>
    <w:rsid w:val="00CE0C75"/>
    <w:rsid w:val="00CF50F9"/>
    <w:rsid w:val="00D146A8"/>
    <w:rsid w:val="00D25CB2"/>
    <w:rsid w:val="00E1427A"/>
    <w:rsid w:val="00E15DE4"/>
    <w:rsid w:val="00E73945"/>
    <w:rsid w:val="00E9550A"/>
    <w:rsid w:val="00EA0E4F"/>
    <w:rsid w:val="00EE74A8"/>
    <w:rsid w:val="00F51F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5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5D30"/>
    <w:pPr>
      <w:ind w:left="720"/>
      <w:contextualSpacing/>
    </w:pPr>
    <w:rPr>
      <w:lang w:val="lt-LT"/>
    </w:rPr>
  </w:style>
  <w:style w:type="paragraph" w:styleId="Header">
    <w:name w:val="header"/>
    <w:basedOn w:val="Normal"/>
    <w:link w:val="HeaderChar"/>
    <w:uiPriority w:val="99"/>
    <w:unhideWhenUsed/>
    <w:rsid w:val="00945D30"/>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5D30"/>
  </w:style>
  <w:style w:type="paragraph" w:styleId="Footer">
    <w:name w:val="footer"/>
    <w:basedOn w:val="Normal"/>
    <w:link w:val="FooterChar"/>
    <w:uiPriority w:val="99"/>
    <w:unhideWhenUsed/>
    <w:rsid w:val="00945D30"/>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5D30"/>
  </w:style>
  <w:style w:type="paragraph" w:styleId="BalloonText">
    <w:name w:val="Balloon Text"/>
    <w:basedOn w:val="Normal"/>
    <w:link w:val="BalloonTextChar"/>
    <w:uiPriority w:val="99"/>
    <w:semiHidden/>
    <w:unhideWhenUsed/>
    <w:rsid w:val="00EA0E4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A0E4F"/>
    <w:rPr>
      <w:rFonts w:ascii="Tahoma" w:hAnsi="Tahoma" w:cs="Tahoma"/>
      <w:sz w:val="16"/>
      <w:szCs w:val="16"/>
    </w:rPr>
  </w:style>
  <w:style w:type="paragraph" w:styleId="FootnoteText">
    <w:name w:val="footnote text"/>
    <w:basedOn w:val="Normal"/>
    <w:link w:val="FootnoteTextChar"/>
    <w:uiPriority w:val="99"/>
    <w:semiHidden/>
    <w:unhideWhenUsed/>
    <w:rsid w:val="006E06FC"/>
    <w:pPr>
      <w:spacing w:after="0" w:line="240" w:lineRule="auto"/>
    </w:pPr>
    <w:rPr>
      <w:sz w:val="20"/>
      <w:szCs w:val="20"/>
    </w:rPr>
  </w:style>
  <w:style w:type="character" w:customStyle="1" w:styleId="FootnoteTextChar">
    <w:name w:val="Footnote Text Char"/>
    <w:link w:val="FootnoteText"/>
    <w:uiPriority w:val="99"/>
    <w:semiHidden/>
    <w:rsid w:val="006E06FC"/>
    <w:rPr>
      <w:sz w:val="20"/>
      <w:szCs w:val="20"/>
    </w:rPr>
  </w:style>
  <w:style w:type="character" w:styleId="FootnoteReference">
    <w:name w:val="footnote reference"/>
    <w:uiPriority w:val="99"/>
    <w:semiHidden/>
    <w:unhideWhenUsed/>
    <w:rsid w:val="006E06FC"/>
    <w:rPr>
      <w:vertAlign w:val="superscript"/>
    </w:rPr>
  </w:style>
  <w:style w:type="character" w:styleId="CommentReference">
    <w:name w:val="annotation reference"/>
    <w:uiPriority w:val="99"/>
    <w:semiHidden/>
    <w:unhideWhenUsed/>
    <w:rsid w:val="00234ECB"/>
    <w:rPr>
      <w:sz w:val="16"/>
      <w:szCs w:val="16"/>
    </w:rPr>
  </w:style>
  <w:style w:type="paragraph" w:styleId="CommentText">
    <w:name w:val="annotation text"/>
    <w:basedOn w:val="Normal"/>
    <w:link w:val="CommentTextChar"/>
    <w:uiPriority w:val="99"/>
    <w:semiHidden/>
    <w:unhideWhenUsed/>
    <w:rsid w:val="00234ECB"/>
    <w:pPr>
      <w:spacing w:line="240" w:lineRule="auto"/>
    </w:pPr>
    <w:rPr>
      <w:sz w:val="20"/>
      <w:szCs w:val="20"/>
    </w:rPr>
  </w:style>
  <w:style w:type="character" w:customStyle="1" w:styleId="CommentTextChar">
    <w:name w:val="Comment Text Char"/>
    <w:link w:val="CommentText"/>
    <w:uiPriority w:val="99"/>
    <w:semiHidden/>
    <w:rsid w:val="00234ECB"/>
    <w:rPr>
      <w:sz w:val="20"/>
      <w:szCs w:val="20"/>
    </w:rPr>
  </w:style>
  <w:style w:type="paragraph" w:styleId="CommentSubject">
    <w:name w:val="annotation subject"/>
    <w:basedOn w:val="CommentText"/>
    <w:next w:val="CommentText"/>
    <w:link w:val="CommentSubjectChar"/>
    <w:uiPriority w:val="99"/>
    <w:semiHidden/>
    <w:unhideWhenUsed/>
    <w:rsid w:val="00234ECB"/>
    <w:rPr>
      <w:b/>
      <w:bCs/>
    </w:rPr>
  </w:style>
  <w:style w:type="character" w:customStyle="1" w:styleId="CommentSubjectChar">
    <w:name w:val="Comment Subject Char"/>
    <w:link w:val="CommentSubject"/>
    <w:uiPriority w:val="99"/>
    <w:semiHidden/>
    <w:rsid w:val="00234ECB"/>
    <w:rPr>
      <w:b/>
      <w:bCs/>
      <w:sz w:val="20"/>
      <w:szCs w:val="20"/>
    </w:rPr>
  </w:style>
  <w:style w:type="character" w:styleId="Hyperlink">
    <w:name w:val="Hyperlink"/>
    <w:uiPriority w:val="99"/>
    <w:unhideWhenUsed/>
    <w:rsid w:val="00BD1071"/>
    <w:rPr>
      <w:color w:val="0000FF"/>
      <w:u w:val="single"/>
    </w:rPr>
  </w:style>
  <w:style w:type="character" w:styleId="Strong">
    <w:name w:val="Strong"/>
    <w:uiPriority w:val="22"/>
    <w:qFormat/>
    <w:rsid w:val="00AE7E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5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5D30"/>
    <w:pPr>
      <w:ind w:left="720"/>
      <w:contextualSpacing/>
    </w:pPr>
    <w:rPr>
      <w:lang w:val="lt-LT"/>
    </w:rPr>
  </w:style>
  <w:style w:type="paragraph" w:styleId="Header">
    <w:name w:val="header"/>
    <w:basedOn w:val="Normal"/>
    <w:link w:val="HeaderChar"/>
    <w:uiPriority w:val="99"/>
    <w:unhideWhenUsed/>
    <w:rsid w:val="00945D30"/>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5D30"/>
  </w:style>
  <w:style w:type="paragraph" w:styleId="Footer">
    <w:name w:val="footer"/>
    <w:basedOn w:val="Normal"/>
    <w:link w:val="FooterChar"/>
    <w:uiPriority w:val="99"/>
    <w:unhideWhenUsed/>
    <w:rsid w:val="00945D30"/>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5D30"/>
  </w:style>
  <w:style w:type="paragraph" w:styleId="BalloonText">
    <w:name w:val="Balloon Text"/>
    <w:basedOn w:val="Normal"/>
    <w:link w:val="BalloonTextChar"/>
    <w:uiPriority w:val="99"/>
    <w:semiHidden/>
    <w:unhideWhenUsed/>
    <w:rsid w:val="00EA0E4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A0E4F"/>
    <w:rPr>
      <w:rFonts w:ascii="Tahoma" w:hAnsi="Tahoma" w:cs="Tahoma"/>
      <w:sz w:val="16"/>
      <w:szCs w:val="16"/>
    </w:rPr>
  </w:style>
  <w:style w:type="paragraph" w:styleId="FootnoteText">
    <w:name w:val="footnote text"/>
    <w:basedOn w:val="Normal"/>
    <w:link w:val="FootnoteTextChar"/>
    <w:uiPriority w:val="99"/>
    <w:semiHidden/>
    <w:unhideWhenUsed/>
    <w:rsid w:val="006E06FC"/>
    <w:pPr>
      <w:spacing w:after="0" w:line="240" w:lineRule="auto"/>
    </w:pPr>
    <w:rPr>
      <w:sz w:val="20"/>
      <w:szCs w:val="20"/>
    </w:rPr>
  </w:style>
  <w:style w:type="character" w:customStyle="1" w:styleId="FootnoteTextChar">
    <w:name w:val="Footnote Text Char"/>
    <w:link w:val="FootnoteText"/>
    <w:uiPriority w:val="99"/>
    <w:semiHidden/>
    <w:rsid w:val="006E06FC"/>
    <w:rPr>
      <w:sz w:val="20"/>
      <w:szCs w:val="20"/>
    </w:rPr>
  </w:style>
  <w:style w:type="character" w:styleId="FootnoteReference">
    <w:name w:val="footnote reference"/>
    <w:uiPriority w:val="99"/>
    <w:semiHidden/>
    <w:unhideWhenUsed/>
    <w:rsid w:val="006E06FC"/>
    <w:rPr>
      <w:vertAlign w:val="superscript"/>
    </w:rPr>
  </w:style>
  <w:style w:type="character" w:styleId="CommentReference">
    <w:name w:val="annotation reference"/>
    <w:uiPriority w:val="99"/>
    <w:semiHidden/>
    <w:unhideWhenUsed/>
    <w:rsid w:val="00234ECB"/>
    <w:rPr>
      <w:sz w:val="16"/>
      <w:szCs w:val="16"/>
    </w:rPr>
  </w:style>
  <w:style w:type="paragraph" w:styleId="CommentText">
    <w:name w:val="annotation text"/>
    <w:basedOn w:val="Normal"/>
    <w:link w:val="CommentTextChar"/>
    <w:uiPriority w:val="99"/>
    <w:semiHidden/>
    <w:unhideWhenUsed/>
    <w:rsid w:val="00234ECB"/>
    <w:pPr>
      <w:spacing w:line="240" w:lineRule="auto"/>
    </w:pPr>
    <w:rPr>
      <w:sz w:val="20"/>
      <w:szCs w:val="20"/>
    </w:rPr>
  </w:style>
  <w:style w:type="character" w:customStyle="1" w:styleId="CommentTextChar">
    <w:name w:val="Comment Text Char"/>
    <w:link w:val="CommentText"/>
    <w:uiPriority w:val="99"/>
    <w:semiHidden/>
    <w:rsid w:val="00234ECB"/>
    <w:rPr>
      <w:sz w:val="20"/>
      <w:szCs w:val="20"/>
    </w:rPr>
  </w:style>
  <w:style w:type="paragraph" w:styleId="CommentSubject">
    <w:name w:val="annotation subject"/>
    <w:basedOn w:val="CommentText"/>
    <w:next w:val="CommentText"/>
    <w:link w:val="CommentSubjectChar"/>
    <w:uiPriority w:val="99"/>
    <w:semiHidden/>
    <w:unhideWhenUsed/>
    <w:rsid w:val="00234ECB"/>
    <w:rPr>
      <w:b/>
      <w:bCs/>
    </w:rPr>
  </w:style>
  <w:style w:type="character" w:customStyle="1" w:styleId="CommentSubjectChar">
    <w:name w:val="Comment Subject Char"/>
    <w:link w:val="CommentSubject"/>
    <w:uiPriority w:val="99"/>
    <w:semiHidden/>
    <w:rsid w:val="00234ECB"/>
    <w:rPr>
      <w:b/>
      <w:bCs/>
      <w:sz w:val="20"/>
      <w:szCs w:val="20"/>
    </w:rPr>
  </w:style>
  <w:style w:type="character" w:styleId="Hyperlink">
    <w:name w:val="Hyperlink"/>
    <w:uiPriority w:val="99"/>
    <w:unhideWhenUsed/>
    <w:rsid w:val="00BD1071"/>
    <w:rPr>
      <w:color w:val="0000FF"/>
      <w:u w:val="single"/>
    </w:rPr>
  </w:style>
  <w:style w:type="character" w:styleId="Strong">
    <w:name w:val="Strong"/>
    <w:uiPriority w:val="22"/>
    <w:qFormat/>
    <w:rsid w:val="00AE7E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26745-5C78-4B6E-BBCE-2F3517961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4160</Words>
  <Characters>2372</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6519</CharactersWithSpaces>
  <SharedDoc>false</SharedDoc>
  <HLinks>
    <vt:vector size="6" baseType="variant">
      <vt:variant>
        <vt:i4>7929940</vt:i4>
      </vt:variant>
      <vt:variant>
        <vt:i4>0</vt:i4>
      </vt:variant>
      <vt:variant>
        <vt:i4>0</vt:i4>
      </vt:variant>
      <vt:variant>
        <vt:i4>5</vt:i4>
      </vt:variant>
      <vt:variant>
        <vt:lpwstr>http://ec.europa.eu/competition/state_aid/overview/public_services_en.html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Eimantas Galkevičius</dc:creator>
  <cp:lastModifiedBy>s.alcauskiene</cp:lastModifiedBy>
  <cp:revision>4</cp:revision>
  <dcterms:created xsi:type="dcterms:W3CDTF">2017-07-31T07:28:00Z</dcterms:created>
  <dcterms:modified xsi:type="dcterms:W3CDTF">2017-08-08T13:44:00Z</dcterms:modified>
</cp:coreProperties>
</file>