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524" w:rsidRPr="0075354E" w:rsidRDefault="001E1524" w:rsidP="002C69A0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75354E">
        <w:rPr>
          <w:rFonts w:ascii="Times New Roman" w:hAnsi="Times New Roman" w:cs="Times New Roman"/>
          <w:sz w:val="24"/>
          <w:szCs w:val="24"/>
          <w:lang w:val="lt-LT"/>
        </w:rPr>
        <w:t>2014</w:t>
      </w:r>
      <w:r w:rsidRPr="0075354E">
        <w:rPr>
          <w:rFonts w:ascii="Times New Roman" w:hAnsi="Times New Roman" w:cs="Times New Roman"/>
          <w:b/>
          <w:sz w:val="24"/>
          <w:szCs w:val="24"/>
          <w:lang w:val="lt-LT"/>
        </w:rPr>
        <w:t>–</w:t>
      </w:r>
      <w:r w:rsidRPr="0075354E">
        <w:rPr>
          <w:rFonts w:ascii="Times New Roman" w:hAnsi="Times New Roman" w:cs="Times New Roman"/>
          <w:sz w:val="24"/>
          <w:szCs w:val="24"/>
          <w:lang w:val="lt-LT"/>
        </w:rPr>
        <w:t xml:space="preserve">2020 metų Europos Sąjungos fondų investicijų veiksmų programos </w:t>
      </w:r>
      <w:r w:rsidR="00E309B9" w:rsidRPr="00E309B9">
        <w:rPr>
          <w:rFonts w:ascii="Times New Roman" w:hAnsi="Times New Roman" w:cs="Times New Roman"/>
          <w:sz w:val="24"/>
          <w:szCs w:val="24"/>
          <w:lang w:val="lt-LT"/>
        </w:rPr>
        <w:t>8 prioriteto „Socialinės įtraukties didinimas ir kova su skurdu“ įgyvendinimo priemonės Nr. 08.3.1-ESFA-K-413 „Socialinę atskirtį patiriančių asmenų integracija į darbo rinką“</w:t>
      </w:r>
      <w:r w:rsidRPr="0075354E">
        <w:rPr>
          <w:rFonts w:ascii="Times New Roman" w:hAnsi="Times New Roman" w:cs="Times New Roman"/>
          <w:sz w:val="24"/>
          <w:szCs w:val="24"/>
          <w:lang w:val="lt-LT"/>
        </w:rPr>
        <w:t xml:space="preserve"> projektų finansavimo sąlygų aprašo </w:t>
      </w:r>
    </w:p>
    <w:p w:rsidR="00D90151" w:rsidRPr="0075354E" w:rsidRDefault="00E309B9" w:rsidP="002C69A0">
      <w:pPr>
        <w:pStyle w:val="Default"/>
        <w:ind w:left="9639"/>
        <w:contextualSpacing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E1524" w:rsidRPr="0075354E">
        <w:rPr>
          <w:rFonts w:ascii="Times New Roman" w:hAnsi="Times New Roman" w:cs="Times New Roman"/>
        </w:rPr>
        <w:t xml:space="preserve"> priedas</w:t>
      </w:r>
    </w:p>
    <w:p w:rsidR="001E1524" w:rsidRPr="0075354E" w:rsidRDefault="001E1524" w:rsidP="005F5B52">
      <w:pPr>
        <w:pStyle w:val="Default"/>
        <w:ind w:left="8910" w:firstLine="1296"/>
        <w:contextualSpacing/>
        <w:jc w:val="both"/>
        <w:outlineLvl w:val="0"/>
        <w:rPr>
          <w:rFonts w:ascii="Times New Roman" w:hAnsi="Times New Roman" w:cs="Times New Roman"/>
          <w:bCs/>
        </w:rPr>
      </w:pPr>
    </w:p>
    <w:p w:rsidR="00465DB9" w:rsidRPr="0075354E" w:rsidRDefault="00465DB9" w:rsidP="005F5B52">
      <w:pPr>
        <w:pStyle w:val="Default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75354E">
        <w:rPr>
          <w:rFonts w:ascii="Times New Roman" w:eastAsia="Times New Roman" w:hAnsi="Times New Roman" w:cs="Times New Roman"/>
          <w:b/>
          <w:lang w:eastAsia="lt-LT"/>
        </w:rPr>
        <w:t xml:space="preserve">(Projekto atitikties </w:t>
      </w:r>
      <w:r w:rsidRPr="0075354E">
        <w:rPr>
          <w:rFonts w:ascii="Times New Roman" w:eastAsia="Times New Roman" w:hAnsi="Times New Roman" w:cs="Times New Roman"/>
          <w:b/>
          <w:i/>
          <w:lang w:eastAsia="lt-LT"/>
        </w:rPr>
        <w:t>de minimis</w:t>
      </w:r>
      <w:r w:rsidRPr="0075354E">
        <w:rPr>
          <w:rFonts w:ascii="Times New Roman" w:eastAsia="Times New Roman" w:hAnsi="Times New Roman" w:cs="Times New Roman"/>
          <w:b/>
          <w:lang w:eastAsia="lt-LT"/>
        </w:rPr>
        <w:t xml:space="preserve"> pagalbos taisyklėms patikros lapo forma)</w:t>
      </w:r>
    </w:p>
    <w:p w:rsidR="00465DB9" w:rsidRPr="0075354E" w:rsidRDefault="00465DB9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CE363D" w:rsidRPr="0075354E" w:rsidRDefault="00CE363D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75354E">
        <w:rPr>
          <w:rFonts w:ascii="Times New Roman" w:hAnsi="Times New Roman" w:cs="Times New Roman"/>
          <w:b/>
          <w:bCs/>
          <w:caps/>
        </w:rPr>
        <w:t>PROJEKT</w:t>
      </w:r>
      <w:r w:rsidR="00465DB9" w:rsidRPr="0075354E">
        <w:rPr>
          <w:rFonts w:ascii="Times New Roman" w:hAnsi="Times New Roman" w:cs="Times New Roman"/>
          <w:b/>
          <w:bCs/>
          <w:caps/>
        </w:rPr>
        <w:t>O</w:t>
      </w:r>
      <w:r w:rsidRPr="0075354E">
        <w:rPr>
          <w:rFonts w:ascii="Times New Roman" w:hAnsi="Times New Roman" w:cs="Times New Roman"/>
          <w:b/>
          <w:bCs/>
          <w:caps/>
        </w:rPr>
        <w:t xml:space="preserve"> ATITIKTIES </w:t>
      </w:r>
      <w:r w:rsidR="00F55FA6" w:rsidRPr="0075354E">
        <w:rPr>
          <w:rFonts w:ascii="Times New Roman" w:hAnsi="Times New Roman" w:cs="Times New Roman"/>
          <w:b/>
          <w:bCs/>
          <w:i/>
          <w:caps/>
        </w:rPr>
        <w:t>de minimis</w:t>
      </w:r>
      <w:r w:rsidRPr="0075354E">
        <w:rPr>
          <w:rFonts w:ascii="Times New Roman" w:hAnsi="Times New Roman" w:cs="Times New Roman"/>
          <w:b/>
          <w:bCs/>
          <w:i/>
          <w:caps/>
        </w:rPr>
        <w:t xml:space="preserve"> </w:t>
      </w:r>
      <w:r w:rsidRPr="0075354E">
        <w:rPr>
          <w:rFonts w:ascii="Times New Roman" w:hAnsi="Times New Roman" w:cs="Times New Roman"/>
          <w:b/>
          <w:bCs/>
          <w:caps/>
        </w:rPr>
        <w:t>PAGALBOS TAISYKLĖMS Patikros lapas</w:t>
      </w:r>
    </w:p>
    <w:p w:rsidR="007115AD" w:rsidRPr="0075354E" w:rsidRDefault="007115AD" w:rsidP="005F5B52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</w:rPr>
      </w:pPr>
    </w:p>
    <w:p w:rsidR="00F26F2C" w:rsidRPr="0075354E" w:rsidRDefault="004664ED" w:rsidP="005F5B52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</w:pPr>
      <w:r w:rsidRPr="0075354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 xml:space="preserve">2014–2020 METŲ EUROPOS SĄJUNGOS FONDŲ INVESTICIJŲ VEIKSMŲ PROGRAMOS </w:t>
      </w:r>
      <w:r w:rsidR="00D869E5" w:rsidRPr="0075354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8 prioriteto „Socialinės įtraukties didinimas ir kova su skurdu“</w:t>
      </w:r>
      <w:r w:rsidR="00E309B9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 xml:space="preserve"> įgyvendinimo priemonės Nr. 08.3.1-ESFA-V-413</w:t>
      </w:r>
      <w:r w:rsidR="00D869E5" w:rsidRPr="0075354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 xml:space="preserve"> „</w:t>
      </w:r>
      <w:r w:rsidR="00E309B9" w:rsidRPr="00E309B9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Socialinę atskirtį patiriančių asmenų integracija į darbo rinką</w:t>
      </w:r>
      <w:r w:rsidR="00D869E5" w:rsidRPr="0075354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“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F26DAB" w:rsidRPr="0075354E" w:rsidTr="002C69A0">
        <w:tc>
          <w:tcPr>
            <w:tcW w:w="14992" w:type="dxa"/>
            <w:shd w:val="clear" w:color="auto" w:fill="BFBFBF"/>
          </w:tcPr>
          <w:p w:rsidR="00F26DAB" w:rsidRPr="0075354E" w:rsidRDefault="00F26DAB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I. </w:t>
            </w:r>
            <w:r w:rsidR="006608B7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Finansavimo</w:t>
            </w: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teisinis pagrindas</w:t>
            </w:r>
          </w:p>
        </w:tc>
      </w:tr>
      <w:tr w:rsidR="00F26DAB" w:rsidRPr="0075354E" w:rsidTr="002C69A0">
        <w:tc>
          <w:tcPr>
            <w:tcW w:w="14992" w:type="dxa"/>
            <w:shd w:val="clear" w:color="auto" w:fill="auto"/>
          </w:tcPr>
          <w:p w:rsidR="00B76D2C" w:rsidRPr="0075354E" w:rsidRDefault="00255A79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2013 m. gruodžio 18 d. </w:t>
            </w:r>
            <w:r w:rsidR="00CF71C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Komisijos reglamentas (ES) Nr. 1407/2013 dėl Sutarties dėl Europos Sąjungos veikimo 107 ir 108 straipsnių taikymo </w:t>
            </w:r>
            <w:r w:rsidR="00CF71C5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CF71C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pagalbai </w:t>
            </w:r>
            <w:r w:rsidR="004664ED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(OL 2013 L 352, p. 1) </w:t>
            </w:r>
            <w:r w:rsidR="00CF71C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(toliau – </w:t>
            </w:r>
            <w:r w:rsidR="00CF71C5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CF71C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reglamentas)</w:t>
            </w:r>
          </w:p>
        </w:tc>
      </w:tr>
    </w:tbl>
    <w:p w:rsidR="00CE363D" w:rsidRPr="0075354E" w:rsidRDefault="00CE363D" w:rsidP="005F5B52">
      <w:pPr>
        <w:pStyle w:val="Default"/>
        <w:contextualSpacing/>
        <w:jc w:val="center"/>
        <w:rPr>
          <w:rFonts w:ascii="Times New Roman" w:hAnsi="Times New Roman" w:cs="Times New Roman"/>
          <w:caps/>
          <w:color w:val="auto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88"/>
      </w:tblGrid>
      <w:tr w:rsidR="00CE363D" w:rsidRPr="0075354E" w:rsidTr="002C69A0">
        <w:tc>
          <w:tcPr>
            <w:tcW w:w="14992" w:type="dxa"/>
            <w:gridSpan w:val="2"/>
            <w:shd w:val="clear" w:color="auto" w:fill="BFBFBF"/>
          </w:tcPr>
          <w:p w:rsidR="00CE363D" w:rsidRPr="0075354E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="00F26DAB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Duomenys apie projektą </w:t>
            </w:r>
          </w:p>
        </w:tc>
      </w:tr>
      <w:tr w:rsidR="00CE363D" w:rsidRPr="0075354E" w:rsidTr="002C69A0">
        <w:tc>
          <w:tcPr>
            <w:tcW w:w="6204" w:type="dxa"/>
            <w:shd w:val="clear" w:color="auto" w:fill="auto"/>
          </w:tcPr>
          <w:p w:rsidR="00CE363D" w:rsidRPr="0075354E" w:rsidRDefault="001E1524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CE363D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rojekto numeris </w:t>
            </w:r>
          </w:p>
        </w:tc>
        <w:tc>
          <w:tcPr>
            <w:tcW w:w="8788" w:type="dxa"/>
            <w:shd w:val="clear" w:color="auto" w:fill="auto"/>
          </w:tcPr>
          <w:p w:rsidR="00CE363D" w:rsidRPr="0075354E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E363D" w:rsidRPr="0075354E" w:rsidTr="002C69A0">
        <w:tc>
          <w:tcPr>
            <w:tcW w:w="6204" w:type="dxa"/>
            <w:shd w:val="clear" w:color="auto" w:fill="auto"/>
          </w:tcPr>
          <w:p w:rsidR="00CE363D" w:rsidRPr="0075354E" w:rsidRDefault="001E1524" w:rsidP="005F5B52">
            <w:pPr>
              <w:pStyle w:val="Default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CE363D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rojekto vykdytojo</w:t>
            </w: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CE363D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pavadinimas </w:t>
            </w:r>
          </w:p>
        </w:tc>
        <w:tc>
          <w:tcPr>
            <w:tcW w:w="8788" w:type="dxa"/>
            <w:shd w:val="clear" w:color="auto" w:fill="auto"/>
          </w:tcPr>
          <w:p w:rsidR="00CE363D" w:rsidRPr="0075354E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E363D" w:rsidRPr="0075354E" w:rsidTr="002C69A0">
        <w:tc>
          <w:tcPr>
            <w:tcW w:w="6204" w:type="dxa"/>
            <w:shd w:val="clear" w:color="auto" w:fill="auto"/>
          </w:tcPr>
          <w:p w:rsidR="00CE363D" w:rsidRPr="0075354E" w:rsidRDefault="00CE363D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Projekto pavadinimas </w:t>
            </w:r>
          </w:p>
        </w:tc>
        <w:tc>
          <w:tcPr>
            <w:tcW w:w="8788" w:type="dxa"/>
            <w:shd w:val="clear" w:color="auto" w:fill="auto"/>
          </w:tcPr>
          <w:p w:rsidR="00CE363D" w:rsidRPr="0075354E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E84AB7" w:rsidRPr="0075354E" w:rsidTr="002C69A0">
        <w:tc>
          <w:tcPr>
            <w:tcW w:w="6204" w:type="dxa"/>
            <w:shd w:val="clear" w:color="auto" w:fill="auto"/>
          </w:tcPr>
          <w:p w:rsidR="00E84AB7" w:rsidRPr="0075354E" w:rsidRDefault="00DF6E1A" w:rsidP="002C69A0">
            <w:pPr>
              <w:pStyle w:val="Default"/>
              <w:contextualSpacing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Organizacijos</w:t>
            </w:r>
            <w:r w:rsidR="00E84AB7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(-ų), kuri (-ios) nėra projekto partnerė (-ės)</w:t>
            </w:r>
            <w:r w:rsidR="00041103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pavadinimas</w:t>
            </w:r>
            <w:r w:rsidR="002C69A0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041103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(-ai)</w:t>
            </w:r>
          </w:p>
        </w:tc>
        <w:tc>
          <w:tcPr>
            <w:tcW w:w="8788" w:type="dxa"/>
            <w:shd w:val="clear" w:color="auto" w:fill="auto"/>
          </w:tcPr>
          <w:p w:rsidR="00E84AB7" w:rsidRPr="0075354E" w:rsidRDefault="00E84AB7" w:rsidP="005F5B52">
            <w:pPr>
              <w:pStyle w:val="Default"/>
              <w:ind w:firstLine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:rsidR="008F0BBC" w:rsidRPr="0075354E" w:rsidRDefault="008F0BBC" w:rsidP="005F5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6948"/>
        <w:gridCol w:w="992"/>
        <w:gridCol w:w="993"/>
        <w:gridCol w:w="1417"/>
        <w:gridCol w:w="3969"/>
      </w:tblGrid>
      <w:tr w:rsidR="00F26DAB" w:rsidRPr="0075354E" w:rsidTr="002C69A0">
        <w:tc>
          <w:tcPr>
            <w:tcW w:w="14992" w:type="dxa"/>
            <w:gridSpan w:val="6"/>
            <w:shd w:val="clear" w:color="auto" w:fill="BFBFBF"/>
          </w:tcPr>
          <w:p w:rsidR="00F26DAB" w:rsidRPr="0075354E" w:rsidRDefault="008957A0" w:rsidP="0075354E">
            <w:pPr>
              <w:pStyle w:val="Default"/>
              <w:ind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="00FB5E95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II</w:t>
            </w:r>
            <w:r w:rsidR="00F26DAB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</w:t>
            </w:r>
            <w:r w:rsidR="004C08B0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F26DAB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rojekto</w:t>
            </w:r>
            <w:r w:rsidR="006608B7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veiklų</w:t>
            </w:r>
            <w:r w:rsidR="00F26DAB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atitikties </w:t>
            </w:r>
            <w:r w:rsidR="00CF71C5" w:rsidRPr="0075354E">
              <w:rPr>
                <w:rFonts w:ascii="Times New Roman" w:eastAsia="Times New Roman" w:hAnsi="Times New Roman" w:cs="Times New Roman"/>
                <w:b/>
                <w:bCs/>
                <w:i/>
                <w:lang w:eastAsia="lt-LT"/>
              </w:rPr>
              <w:t>de minimis</w:t>
            </w:r>
            <w:r w:rsidR="00CF71C5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reglamentui</w:t>
            </w:r>
            <w:r w:rsidR="0075354E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patikra</w:t>
            </w:r>
          </w:p>
        </w:tc>
      </w:tr>
      <w:tr w:rsidR="00F55FA6" w:rsidRPr="0075354E" w:rsidTr="002C69A0">
        <w:trPr>
          <w:trHeight w:val="284"/>
        </w:trPr>
        <w:tc>
          <w:tcPr>
            <w:tcW w:w="673" w:type="dxa"/>
            <w:vMerge w:val="restart"/>
            <w:shd w:val="clear" w:color="auto" w:fill="auto"/>
          </w:tcPr>
          <w:p w:rsidR="00F55FA6" w:rsidRPr="0075354E" w:rsidRDefault="00F55FA6" w:rsidP="005F5B52">
            <w:pPr>
              <w:pStyle w:val="Default"/>
              <w:tabs>
                <w:tab w:val="left" w:pos="0"/>
              </w:tabs>
              <w:ind w:right="-465"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 </w:t>
            </w:r>
          </w:p>
        </w:tc>
        <w:tc>
          <w:tcPr>
            <w:tcW w:w="6948" w:type="dxa"/>
            <w:vMerge w:val="restart"/>
            <w:shd w:val="clear" w:color="auto" w:fill="auto"/>
            <w:vAlign w:val="center"/>
          </w:tcPr>
          <w:p w:rsidR="00F55FA6" w:rsidRPr="0075354E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Klausimai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55FA6" w:rsidRPr="0075354E" w:rsidRDefault="00F55FA6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Rezultatas 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F55FA6" w:rsidRPr="0075354E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lang w:eastAsia="lt-LT"/>
              </w:rPr>
              <w:t>Pastabos</w:t>
            </w:r>
          </w:p>
        </w:tc>
      </w:tr>
      <w:tr w:rsidR="00F55FA6" w:rsidRPr="0075354E" w:rsidTr="002C69A0">
        <w:trPr>
          <w:trHeight w:val="451"/>
        </w:trPr>
        <w:tc>
          <w:tcPr>
            <w:tcW w:w="673" w:type="dxa"/>
            <w:vMerge/>
            <w:shd w:val="clear" w:color="auto" w:fill="auto"/>
          </w:tcPr>
          <w:p w:rsidR="00F55FA6" w:rsidRPr="0075354E" w:rsidRDefault="00F55FA6" w:rsidP="005F5B52">
            <w:pPr>
              <w:pStyle w:val="Default"/>
              <w:tabs>
                <w:tab w:val="left" w:pos="0"/>
              </w:tabs>
              <w:ind w:right="-465" w:firstLine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6948" w:type="dxa"/>
            <w:vMerge/>
            <w:shd w:val="clear" w:color="auto" w:fill="auto"/>
          </w:tcPr>
          <w:p w:rsidR="00F55FA6" w:rsidRPr="0075354E" w:rsidRDefault="00F55FA6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F55FA6" w:rsidRPr="0075354E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Taip</w:t>
            </w:r>
          </w:p>
        </w:tc>
        <w:tc>
          <w:tcPr>
            <w:tcW w:w="993" w:type="dxa"/>
            <w:shd w:val="clear" w:color="auto" w:fill="auto"/>
          </w:tcPr>
          <w:p w:rsidR="00F55FA6" w:rsidRPr="0075354E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</w:t>
            </w:r>
          </w:p>
        </w:tc>
        <w:tc>
          <w:tcPr>
            <w:tcW w:w="1417" w:type="dxa"/>
            <w:shd w:val="clear" w:color="auto" w:fill="auto"/>
          </w:tcPr>
          <w:p w:rsidR="00F55FA6" w:rsidRPr="0075354E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Netaikoma</w:t>
            </w:r>
          </w:p>
        </w:tc>
        <w:tc>
          <w:tcPr>
            <w:tcW w:w="3969" w:type="dxa"/>
            <w:vMerge/>
            <w:shd w:val="clear" w:color="auto" w:fill="auto"/>
          </w:tcPr>
          <w:p w:rsidR="00F55FA6" w:rsidRPr="0075354E" w:rsidRDefault="00F55FA6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420B" w:rsidRPr="0075354E" w:rsidTr="002C69A0">
        <w:trPr>
          <w:trHeight w:val="218"/>
        </w:trPr>
        <w:tc>
          <w:tcPr>
            <w:tcW w:w="673" w:type="dxa"/>
            <w:shd w:val="clear" w:color="auto" w:fill="auto"/>
          </w:tcPr>
          <w:p w:rsidR="00C1420B" w:rsidRPr="0075354E" w:rsidRDefault="00F55FA6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6948" w:type="dxa"/>
            <w:shd w:val="clear" w:color="auto" w:fill="auto"/>
          </w:tcPr>
          <w:p w:rsidR="00DF6E1A" w:rsidRPr="0075354E" w:rsidRDefault="00C1420B" w:rsidP="00DF6E1A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/ organizacija </w:t>
            </w:r>
          </w:p>
          <w:p w:rsidR="00C1420B" w:rsidRPr="0075354E" w:rsidRDefault="00E84AB7" w:rsidP="00DF6E1A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(-os)</w:t>
            </w:r>
            <w:r w:rsidR="00DF6E1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, kuri (-</w:t>
            </w:r>
            <w:r w:rsidR="00BF15E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i</w:t>
            </w:r>
            <w:r w:rsidR="00DF6E1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os) nėra projekto partneris (-iai)</w:t>
            </w:r>
            <w:r w:rsidR="000F2A88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,</w:t>
            </w:r>
            <w:r w:rsidR="00DF6E1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C1420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vykdo veiklą žuvininkystės ir akvakultūros sektoriuje, kuriam taikomas Tarybos </w:t>
            </w:r>
            <w:r w:rsidR="00C1420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reglamentas (EB) Nr. 104/2000</w:t>
            </w:r>
            <w:r w:rsidR="00C1420B" w:rsidRPr="0075354E">
              <w:rPr>
                <w:rStyle w:val="FootnoteReference"/>
                <w:rFonts w:ascii="Times New Roman" w:eastAsia="Times New Roman" w:hAnsi="Times New Roman" w:cs="Times New Roman"/>
                <w:bCs/>
                <w:lang w:eastAsia="lt-LT"/>
              </w:rPr>
              <w:footnoteReference w:id="1"/>
            </w:r>
            <w:r w:rsidR="00C1420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20B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Tikrinti2"/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  <w:bookmarkEnd w:id="1"/>
          </w:p>
        </w:tc>
        <w:tc>
          <w:tcPr>
            <w:tcW w:w="993" w:type="dxa"/>
            <w:shd w:val="clear" w:color="auto" w:fill="auto"/>
            <w:vAlign w:val="center"/>
          </w:tcPr>
          <w:p w:rsidR="00C1420B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420B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C1420B" w:rsidRPr="0075354E" w:rsidRDefault="00C1420B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2C69A0">
        <w:trPr>
          <w:trHeight w:val="138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2.</w:t>
            </w:r>
          </w:p>
        </w:tc>
        <w:tc>
          <w:tcPr>
            <w:tcW w:w="6948" w:type="dxa"/>
            <w:shd w:val="clear" w:color="auto" w:fill="auto"/>
          </w:tcPr>
          <w:p w:rsidR="00DF6E1A" w:rsidRPr="0075354E" w:rsidRDefault="0094753A" w:rsidP="00DF6E1A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/ </w:t>
            </w:r>
            <w:r w:rsidR="00DF6E1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organizacija </w:t>
            </w:r>
          </w:p>
          <w:p w:rsidR="0094753A" w:rsidRPr="0075354E" w:rsidRDefault="00DF6E1A" w:rsidP="00DF6E1A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(-os), kuri (-</w:t>
            </w:r>
            <w:r w:rsidR="00BF15E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i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os) nėra projekto partneris (-iai)</w:t>
            </w:r>
            <w:r w:rsidR="000F2A88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,</w:t>
            </w:r>
            <w:r w:rsidR="00041103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vykdo pirminės žemės ūkio produktų gamybos veiklą?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2C69A0">
        <w:trPr>
          <w:trHeight w:val="138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3.</w:t>
            </w:r>
          </w:p>
        </w:tc>
        <w:tc>
          <w:tcPr>
            <w:tcW w:w="6948" w:type="dxa"/>
            <w:shd w:val="clear" w:color="auto" w:fill="auto"/>
          </w:tcPr>
          <w:p w:rsidR="00DF6E1A" w:rsidRPr="0075354E" w:rsidRDefault="0094753A" w:rsidP="00DF6E1A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/ </w:t>
            </w:r>
            <w:r w:rsidR="00DF6E1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organizacija </w:t>
            </w:r>
          </w:p>
          <w:p w:rsidR="0094753A" w:rsidRPr="0075354E" w:rsidRDefault="00DF6E1A" w:rsidP="00DF6E1A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(-os), kuri (-</w:t>
            </w:r>
            <w:r w:rsidR="00BF15E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i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os) nėra projekto partneris (-iai)</w:t>
            </w:r>
            <w:r w:rsidR="000F2A88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,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v</w:t>
            </w:r>
            <w:r w:rsidR="00255A7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eikia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žemės ūkio produktų perdirbimo ir prekybos sektoriuje, kai pagalbos dydis nustatomas pagal iš pirminių gamintojų įsigytų arba atitinkamų įmonių rinkai pateiktų produktų kainą arba kiekį?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2C69A0">
        <w:trPr>
          <w:trHeight w:val="802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4.</w:t>
            </w:r>
          </w:p>
        </w:tc>
        <w:tc>
          <w:tcPr>
            <w:tcW w:w="6948" w:type="dxa"/>
            <w:shd w:val="clear" w:color="auto" w:fill="auto"/>
          </w:tcPr>
          <w:p w:rsidR="00DF6E1A" w:rsidRPr="0075354E" w:rsidRDefault="0094753A" w:rsidP="00DF6E1A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/ </w:t>
            </w:r>
            <w:r w:rsidR="00DF6E1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organizacija </w:t>
            </w:r>
          </w:p>
          <w:p w:rsidR="0094753A" w:rsidRPr="0075354E" w:rsidRDefault="00DF6E1A" w:rsidP="00DF6E1A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(-os), kuri (-</w:t>
            </w:r>
            <w:r w:rsidR="00BF15E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i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os) nėra projekto partneris (-iai)</w:t>
            </w:r>
            <w:r w:rsidR="000F2A88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,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v</w:t>
            </w:r>
            <w:r w:rsidR="00255A7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eikia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žemės ūkio produktų perdirbimo ir prekybos sektoriuje, kai pagalba priklauso nuo to, ar bus iš dalies arba visa perduota pirminiams gamintojams?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2C69A0">
        <w:trPr>
          <w:trHeight w:val="275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5.</w:t>
            </w:r>
          </w:p>
        </w:tc>
        <w:tc>
          <w:tcPr>
            <w:tcW w:w="6948" w:type="dxa"/>
            <w:shd w:val="clear" w:color="auto" w:fill="auto"/>
          </w:tcPr>
          <w:p w:rsidR="00DF6E1A" w:rsidRPr="0075354E" w:rsidRDefault="0094753A" w:rsidP="00DF6E1A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/ </w:t>
            </w:r>
            <w:r w:rsidR="00DF6E1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organizacija </w:t>
            </w:r>
          </w:p>
          <w:p w:rsidR="0094753A" w:rsidRPr="0075354E" w:rsidRDefault="00DF6E1A" w:rsidP="00AD688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(-os), kuri (-</w:t>
            </w:r>
            <w:r w:rsidR="00BF15E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i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os) nėra projekto partneris (-iai)</w:t>
            </w:r>
            <w:r w:rsidR="000F2A88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,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vykdo su eksportu susijusią veiklą trečiosiose šalyse arba valstybėse narėse (t.</w:t>
            </w:r>
            <w:r w:rsidR="00255A7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y. veikla tiesiogiai susijusi su eksportuojamais kiekiais, platinimo tinklo kūrimu bei veikla arba kitomis einamosiomis išlaidomis, susijusiomis su eksporto veikla)?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2C69A0">
        <w:trPr>
          <w:trHeight w:val="338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6.</w:t>
            </w:r>
          </w:p>
        </w:tc>
        <w:tc>
          <w:tcPr>
            <w:tcW w:w="6948" w:type="dxa"/>
            <w:shd w:val="clear" w:color="auto" w:fill="auto"/>
          </w:tcPr>
          <w:p w:rsidR="0094753A" w:rsidRPr="0075354E" w:rsidRDefault="0094753A" w:rsidP="00AD6883">
            <w:pPr>
              <w:pStyle w:val="Default"/>
              <w:contextualSpacing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E84AB7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pareiškėj</w:t>
            </w:r>
            <w:r w:rsidR="00CA09C3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ui</w:t>
            </w:r>
            <w:r w:rsidR="00E84AB7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/ projekto vykdytoj</w:t>
            </w:r>
            <w:r w:rsidR="00CA09C3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ui</w:t>
            </w:r>
            <w:r w:rsidR="00E84AB7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/ partneri</w:t>
            </w:r>
            <w:r w:rsidR="00CA09C3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ui</w:t>
            </w:r>
            <w:r w:rsidR="00E84AB7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(-ia</w:t>
            </w:r>
            <w:r w:rsidR="00CA09C3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ms</w:t>
            </w:r>
            <w:r w:rsidR="00E84AB7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) / </w:t>
            </w:r>
            <w:r w:rsidR="00AD6883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organizacijai (-oms), kuri (-ios) nėra projekto partneris (-iai)</w:t>
            </w:r>
            <w:r w:rsidR="000F2A88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,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teikiama pagalba priklauso nuo to, ar daugiau vartojama vietinių nei importuotų prekių?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EF1361">
        <w:trPr>
          <w:trHeight w:val="475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7.</w:t>
            </w:r>
          </w:p>
        </w:tc>
        <w:tc>
          <w:tcPr>
            <w:tcW w:w="6948" w:type="dxa"/>
            <w:shd w:val="clear" w:color="auto" w:fill="auto"/>
          </w:tcPr>
          <w:p w:rsidR="00411684" w:rsidRPr="0075354E" w:rsidRDefault="0094753A" w:rsidP="00411684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</w:t>
            </w:r>
            <w:r w:rsidR="00E84AB7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pareiškėjas / projekto vykdytojas / partneris (-iai) / </w:t>
            </w:r>
            <w:r w:rsidR="00411684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organizacija </w:t>
            </w:r>
          </w:p>
          <w:p w:rsidR="0094753A" w:rsidRPr="0075354E" w:rsidRDefault="00411684" w:rsidP="007639B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(-os), kuri (-</w:t>
            </w:r>
            <w:r w:rsidR="008B2D7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i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os) nėra projekto partneris (-iai)</w:t>
            </w:r>
            <w:r w:rsidR="000F2A88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,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vykdo veiklą 3</w:t>
            </w:r>
            <w:r w:rsidR="00255A7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–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6 punktuose nurodytuose sektoriuose, tačiau </w:t>
            </w:r>
            <w:r w:rsidR="00255A7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kartu</w:t>
            </w:r>
            <w:r w:rsidR="00AD5C3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bent viename sektoriuje, kuriam taikomas 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reglamentas, ir </w:t>
            </w:r>
            <w:r w:rsidR="007639B6">
              <w:rPr>
                <w:rFonts w:ascii="Times New Roman" w:eastAsia="Times New Roman" w:hAnsi="Times New Roman" w:cs="Times New Roman"/>
                <w:bCs/>
                <w:lang w:eastAsia="lt-LT"/>
              </w:rPr>
              <w:t>šiam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sektoriui pagalba teikiama, ar užtikrinama tinkamomis priemonėmis, kaip antai atskiriant veiklos sritis ar sąnaudas, kad veiklai tuose sektoriuose, kuriems šis reglamentas netaikomas, nebūtų teikiama 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 xml:space="preserve">pagalba, kuri teikiama pagal 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reglamentą? 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="0094753A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2C69A0">
        <w:trPr>
          <w:trHeight w:val="433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8.</w:t>
            </w:r>
          </w:p>
        </w:tc>
        <w:tc>
          <w:tcPr>
            <w:tcW w:w="6948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Ar pagalba yra (bus) naudojama krovinių vežimo keliais transporto priemonėms įsigyti?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2C69A0">
        <w:trPr>
          <w:trHeight w:val="754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9.</w:t>
            </w:r>
          </w:p>
        </w:tc>
        <w:tc>
          <w:tcPr>
            <w:tcW w:w="6948" w:type="dxa"/>
            <w:shd w:val="clear" w:color="auto" w:fill="auto"/>
          </w:tcPr>
          <w:p w:rsidR="0094753A" w:rsidRPr="0075354E" w:rsidRDefault="00CA09C3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Ar bendra vienai įmonei</w:t>
            </w:r>
            <w:r w:rsidRPr="0075354E">
              <w:rPr>
                <w:rStyle w:val="FootnoteReference"/>
                <w:rFonts w:ascii="Times New Roman" w:eastAsia="Times New Roman" w:hAnsi="Times New Roman" w:cs="Times New Roman"/>
                <w:bCs/>
                <w:lang w:eastAsia="lt-LT"/>
              </w:rPr>
              <w:footnoteReference w:id="2"/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suteikta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pagalbos suma Lietuvoje viršija (ar konkrečiu atveju viršys suteikus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pagalbą) 200 000 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per bet kurį trejų finansinių metų laikotarpį?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94753A" w:rsidRPr="0075354E" w:rsidTr="002C69A0">
        <w:trPr>
          <w:trHeight w:val="1494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10.</w:t>
            </w:r>
          </w:p>
        </w:tc>
        <w:tc>
          <w:tcPr>
            <w:tcW w:w="6948" w:type="dxa"/>
            <w:shd w:val="clear" w:color="auto" w:fill="auto"/>
          </w:tcPr>
          <w:p w:rsidR="0094753A" w:rsidRPr="0075354E" w:rsidRDefault="00CA09C3" w:rsidP="00411684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įmonė (pareiškėjas / projekto vykdytojas / partneris (-iai) / </w:t>
            </w:r>
            <w:r w:rsidR="00411684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organizacija (-os), kuri (-</w:t>
            </w:r>
            <w:r w:rsidR="008B2D7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i</w:t>
            </w:r>
            <w:r w:rsidR="00411684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os) nėra projekto partneris (-iai)</w:t>
            </w:r>
            <w:r w:rsidR="000F2A88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,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vykdo krovinių vežimo keliais veiklą samdos pagrindais arba už atlygį ir taip pat kitą veiklą, kuriai taikoma 200 000 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viršutinė riba, ar užtikrinama, kad pagalba krovinių vežimo keliais veiklai neviršytų 100 000 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ir kad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nebūtų naudojama krovinių vežimo keliais transporto priemonėms įsigyti?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2C69A0">
        <w:trPr>
          <w:trHeight w:val="275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E70F3C"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6948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dvi </w:t>
            </w:r>
            <w:r w:rsidR="00CA09C3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įmonės</w:t>
            </w:r>
            <w:r w:rsidR="00182CE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susijungė arba viena įsigijo kitą, ar apskaičiuojant, ar nauja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naujaj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am arba įsigyjančiajam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subjektui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viršija atitinkamą viršutinę ribą, atsižvelgta į visą ankstesnę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pagalbą, suteiktą bet kuria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m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iš susijungiančių 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?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2C69A0">
        <w:trPr>
          <w:trHeight w:val="643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2</w:t>
            </w: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6948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viena </w:t>
            </w:r>
            <w:r w:rsidR="00CA09C3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įmonė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suskaidyta į d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u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ar daugiau atskirų 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, ar iki suskaidymo suteikta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priskiriama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m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subjektui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, kuri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ja pasinaudojo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? 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toks priskyrimas neįmanomas, ar 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proporcingai paskirstoma remiantis naujųjų 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nuosavo kapitalo balansine verte suskaidymo įsigaliojimo dieną?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3048" w:rsidRPr="0075354E" w:rsidTr="002C69A0">
        <w:trPr>
          <w:trHeight w:val="698"/>
        </w:trPr>
        <w:tc>
          <w:tcPr>
            <w:tcW w:w="673" w:type="dxa"/>
            <w:shd w:val="clear" w:color="auto" w:fill="auto"/>
          </w:tcPr>
          <w:p w:rsidR="00493048" w:rsidRPr="0075354E" w:rsidRDefault="00493048" w:rsidP="005F5B52">
            <w:pPr>
              <w:pStyle w:val="Default"/>
              <w:ind w:right="-46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3</w:t>
            </w: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6948" w:type="dxa"/>
            <w:shd w:val="clear" w:color="auto" w:fill="auto"/>
          </w:tcPr>
          <w:p w:rsidR="00493048" w:rsidRPr="0075354E" w:rsidRDefault="00493048" w:rsidP="005F5B5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Ar teikiamo finansavimo bendrasis subsidijos ekvivalentas apskaičiuotas tinkamai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, teikiama 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yra skaidri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  <w:r w:rsidR="00704684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(</w:t>
            </w:r>
            <w:r w:rsidR="00AB1A09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 xml:space="preserve">De </w:t>
            </w:r>
            <w:r w:rsidR="0037015C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minimis</w:t>
            </w:r>
            <w:r w:rsidR="0037015C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 </w:t>
            </w:r>
            <w:r w:rsidR="00704684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4 straipsnis)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3048" w:rsidRPr="0075354E" w:rsidRDefault="00493048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3048" w:rsidRPr="0075354E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048" w:rsidRPr="0075354E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493048" w:rsidRPr="0075354E" w:rsidRDefault="00823E30" w:rsidP="005F5B52">
            <w:pPr>
              <w:pStyle w:val="Defaul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i/>
                <w:lang w:eastAsia="lt-LT"/>
              </w:rPr>
              <w:t>(Nurodyti de minimis reglamento 4 straipsnio dalį, pagal kurią teikiama de minimis pagalba laikoma skaidria)</w:t>
            </w:r>
          </w:p>
        </w:tc>
      </w:tr>
      <w:tr w:rsidR="00493048" w:rsidRPr="0075354E" w:rsidTr="002C69A0">
        <w:trPr>
          <w:trHeight w:val="520"/>
        </w:trPr>
        <w:tc>
          <w:tcPr>
            <w:tcW w:w="673" w:type="dxa"/>
            <w:shd w:val="clear" w:color="auto" w:fill="auto"/>
          </w:tcPr>
          <w:p w:rsidR="00493048" w:rsidRPr="0075354E" w:rsidRDefault="00493048" w:rsidP="005F5B52">
            <w:pPr>
              <w:pStyle w:val="Default"/>
              <w:ind w:right="-46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4</w:t>
            </w: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6948" w:type="dxa"/>
            <w:shd w:val="clear" w:color="auto" w:fill="auto"/>
          </w:tcPr>
          <w:p w:rsidR="00493048" w:rsidRPr="0075354E" w:rsidRDefault="00493048" w:rsidP="00D14B56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</w:t>
            </w:r>
            <w:r w:rsidR="004564F8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sumuojama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 reikalavimus</w:t>
            </w:r>
            <w:r w:rsidR="00D14B56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  <w:r w:rsidR="00704684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(</w:t>
            </w:r>
            <w:r w:rsidR="00AB1A09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 xml:space="preserve">De </w:t>
            </w:r>
            <w:r w:rsidR="0037015C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minimis</w:t>
            </w:r>
            <w:r w:rsidR="0037015C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 </w:t>
            </w:r>
            <w:r w:rsidR="00704684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5 straipsnis)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3048" w:rsidRPr="0075354E" w:rsidRDefault="00493048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3048" w:rsidRPr="0075354E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048" w:rsidRPr="0075354E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493048" w:rsidRPr="0075354E" w:rsidRDefault="00493048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94753A" w:rsidRPr="0075354E" w:rsidTr="002C69A0">
        <w:trPr>
          <w:trHeight w:val="175"/>
        </w:trPr>
        <w:tc>
          <w:tcPr>
            <w:tcW w:w="673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5</w:t>
            </w: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6948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teikiama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patenka į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o 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 xml:space="preserve">galiojimo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laikotarpį?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765C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8957A0" w:rsidRPr="0075354E" w:rsidRDefault="008957A0" w:rsidP="005F5B52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6868"/>
        <w:gridCol w:w="992"/>
        <w:gridCol w:w="851"/>
        <w:gridCol w:w="5528"/>
      </w:tblGrid>
      <w:tr w:rsidR="008957A0" w:rsidRPr="0075354E" w:rsidTr="002C69A0">
        <w:tc>
          <w:tcPr>
            <w:tcW w:w="14992" w:type="dxa"/>
            <w:gridSpan w:val="5"/>
            <w:shd w:val="clear" w:color="auto" w:fill="BFBFBF"/>
          </w:tcPr>
          <w:p w:rsidR="008957A0" w:rsidRPr="0075354E" w:rsidRDefault="00D71057" w:rsidP="005F5B52">
            <w:pPr>
              <w:pStyle w:val="Default"/>
              <w:ind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="008957A0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V. </w:t>
            </w:r>
            <w:r w:rsidR="00265BBB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Finansavimo</w:t>
            </w:r>
            <w:r w:rsidR="008957A0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atitikties </w:t>
            </w:r>
            <w:r w:rsidR="00265BBB" w:rsidRPr="0075354E">
              <w:rPr>
                <w:rFonts w:ascii="Times New Roman" w:eastAsia="Times New Roman" w:hAnsi="Times New Roman" w:cs="Times New Roman"/>
                <w:b/>
                <w:bCs/>
                <w:i/>
                <w:lang w:eastAsia="lt-LT"/>
              </w:rPr>
              <w:t>de minimis</w:t>
            </w:r>
            <w:r w:rsidR="00265BBB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reglamentui </w:t>
            </w:r>
            <w:r w:rsidR="008957A0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vertinimas </w:t>
            </w:r>
          </w:p>
        </w:tc>
      </w:tr>
      <w:tr w:rsidR="00A171DC" w:rsidRPr="0075354E" w:rsidTr="00EB16B2">
        <w:trPr>
          <w:trHeight w:val="422"/>
        </w:trPr>
        <w:tc>
          <w:tcPr>
            <w:tcW w:w="753" w:type="dxa"/>
            <w:vMerge w:val="restart"/>
            <w:shd w:val="clear" w:color="auto" w:fill="auto"/>
          </w:tcPr>
          <w:p w:rsidR="00A171DC" w:rsidRPr="0075354E" w:rsidRDefault="00A171DC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868" w:type="dxa"/>
            <w:vMerge w:val="restart"/>
            <w:shd w:val="clear" w:color="auto" w:fill="auto"/>
            <w:vAlign w:val="center"/>
          </w:tcPr>
          <w:p w:rsidR="00A171DC" w:rsidRPr="00A171DC" w:rsidRDefault="00A171DC" w:rsidP="00EB16B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171DC">
              <w:rPr>
                <w:rFonts w:ascii="Times New Roman" w:eastAsia="Times New Roman" w:hAnsi="Times New Roman" w:cs="Times New Roman"/>
                <w:b/>
                <w:lang w:eastAsia="lt-LT"/>
              </w:rPr>
              <w:t>Klausimai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171DC" w:rsidRPr="00A171DC" w:rsidRDefault="00A171DC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171DC">
              <w:rPr>
                <w:rFonts w:ascii="Times New Roman" w:eastAsia="Times New Roman" w:hAnsi="Times New Roman" w:cs="Times New Roman"/>
                <w:b/>
                <w:lang w:eastAsia="lt-LT"/>
              </w:rPr>
              <w:t>Rezultatas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171DC" w:rsidRPr="00A171DC" w:rsidRDefault="00A171DC" w:rsidP="00EB16B2">
            <w:pPr>
              <w:pStyle w:val="Default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171DC">
              <w:rPr>
                <w:rFonts w:ascii="Times New Roman" w:eastAsia="Times New Roman" w:hAnsi="Times New Roman" w:cs="Times New Roman"/>
                <w:b/>
                <w:lang w:eastAsia="lt-LT"/>
              </w:rPr>
              <w:t>Pastabos</w:t>
            </w:r>
          </w:p>
        </w:tc>
      </w:tr>
      <w:tr w:rsidR="00A171DC" w:rsidRPr="0075354E" w:rsidTr="00A171DC">
        <w:trPr>
          <w:trHeight w:val="330"/>
        </w:trPr>
        <w:tc>
          <w:tcPr>
            <w:tcW w:w="753" w:type="dxa"/>
            <w:vMerge/>
            <w:shd w:val="clear" w:color="auto" w:fill="auto"/>
          </w:tcPr>
          <w:p w:rsidR="00A171DC" w:rsidRPr="0075354E" w:rsidRDefault="00A171DC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868" w:type="dxa"/>
            <w:vMerge/>
            <w:shd w:val="clear" w:color="auto" w:fill="auto"/>
          </w:tcPr>
          <w:p w:rsidR="00A171DC" w:rsidRPr="00A171DC" w:rsidRDefault="00A171DC" w:rsidP="00A171DC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71DC" w:rsidRPr="00A171DC" w:rsidRDefault="00A171DC" w:rsidP="005F5B52">
            <w:pPr>
              <w:pStyle w:val="Default"/>
              <w:ind w:hanging="3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171DC">
              <w:rPr>
                <w:rFonts w:ascii="Times New Roman" w:eastAsia="Times New Roman" w:hAnsi="Times New Roman" w:cs="Times New Roman"/>
                <w:b/>
                <w:lang w:eastAsia="lt-LT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71DC" w:rsidRPr="00A171DC" w:rsidRDefault="00A171DC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171DC">
              <w:rPr>
                <w:rFonts w:ascii="Times New Roman" w:eastAsia="Times New Roman" w:hAnsi="Times New Roman" w:cs="Times New Roman"/>
                <w:b/>
                <w:lang w:eastAsia="lt-LT"/>
              </w:rPr>
              <w:t>Ne</w:t>
            </w:r>
          </w:p>
        </w:tc>
        <w:tc>
          <w:tcPr>
            <w:tcW w:w="5528" w:type="dxa"/>
            <w:vMerge/>
            <w:shd w:val="clear" w:color="auto" w:fill="auto"/>
          </w:tcPr>
          <w:p w:rsidR="00A171DC" w:rsidRPr="0075354E" w:rsidRDefault="00A171DC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71DC" w:rsidRPr="0075354E" w:rsidTr="002C69A0">
        <w:trPr>
          <w:trHeight w:val="507"/>
        </w:trPr>
        <w:tc>
          <w:tcPr>
            <w:tcW w:w="753" w:type="dxa"/>
            <w:shd w:val="clear" w:color="auto" w:fill="auto"/>
          </w:tcPr>
          <w:p w:rsidR="00A171DC" w:rsidRPr="0075354E" w:rsidRDefault="00A171DC" w:rsidP="00480F7E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. </w:t>
            </w:r>
          </w:p>
          <w:p w:rsidR="00A171DC" w:rsidRPr="0075354E" w:rsidRDefault="00A171DC" w:rsidP="00480F7E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868" w:type="dxa"/>
            <w:shd w:val="clear" w:color="auto" w:fill="auto"/>
          </w:tcPr>
          <w:p w:rsidR="00A171DC" w:rsidRPr="0075354E" w:rsidRDefault="00A171DC" w:rsidP="00480F7E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t xml:space="preserve">Ar teikiamas finansavimas atitinka </w:t>
            </w:r>
            <w:r w:rsidRPr="0075354E">
              <w:rPr>
                <w:rFonts w:ascii="Times New Roman" w:eastAsia="Times New Roman" w:hAnsi="Times New Roman" w:cs="Times New Roman"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t xml:space="preserve"> reglamentą?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71DC" w:rsidRPr="0075354E" w:rsidRDefault="00A171DC" w:rsidP="00480F7E">
            <w:pPr>
              <w:pStyle w:val="Default"/>
              <w:ind w:hanging="3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71DC" w:rsidRPr="0075354E" w:rsidRDefault="00A171DC" w:rsidP="00480F7E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</w:r>
            <w:r w:rsidR="00765C03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:rsidR="00A171DC" w:rsidRPr="0075354E" w:rsidRDefault="00A171DC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DB0401" w:rsidRPr="0075354E" w:rsidRDefault="00DB0401" w:rsidP="005F5B5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tbl>
      <w:tblPr>
        <w:tblW w:w="114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255"/>
        <w:gridCol w:w="3257"/>
      </w:tblGrid>
      <w:tr w:rsidR="007C748C" w:rsidRPr="0075354E" w:rsidTr="002E303E">
        <w:trPr>
          <w:trHeight w:val="322"/>
        </w:trPr>
        <w:tc>
          <w:tcPr>
            <w:tcW w:w="4928" w:type="dxa"/>
          </w:tcPr>
          <w:p w:rsidR="00F55FA6" w:rsidRPr="0075354E" w:rsidRDefault="00F55FA6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>_____________________________________</w:t>
            </w: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75354E">
              <w:rPr>
                <w:rFonts w:ascii="Times New Roman" w:hAnsi="Times New Roman" w:cs="Times New Roman"/>
                <w:i/>
                <w:iCs/>
              </w:rPr>
              <w:t>v</w:t>
            </w:r>
            <w:r w:rsidRPr="0075354E">
              <w:rPr>
                <w:rFonts w:ascii="Times New Roman" w:hAnsi="Times New Roman" w:cs="Times New Roman"/>
                <w:i/>
                <w:iCs/>
              </w:rPr>
              <w:t xml:space="preserve">ertintojas) </w:t>
            </w:r>
          </w:p>
        </w:tc>
        <w:tc>
          <w:tcPr>
            <w:tcW w:w="3255" w:type="dxa"/>
          </w:tcPr>
          <w:p w:rsidR="00F55FA6" w:rsidRPr="0075354E" w:rsidRDefault="00F55FA6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75354E">
              <w:rPr>
                <w:rFonts w:ascii="Times New Roman" w:hAnsi="Times New Roman" w:cs="Times New Roman"/>
                <w:i/>
                <w:iCs/>
              </w:rPr>
              <w:t>p</w:t>
            </w:r>
            <w:r w:rsidRPr="0075354E">
              <w:rPr>
                <w:rFonts w:ascii="Times New Roman" w:hAnsi="Times New Roman" w:cs="Times New Roman"/>
                <w:i/>
                <w:iCs/>
              </w:rPr>
              <w:t xml:space="preserve">arašas) </w:t>
            </w:r>
          </w:p>
        </w:tc>
        <w:tc>
          <w:tcPr>
            <w:tcW w:w="3257" w:type="dxa"/>
          </w:tcPr>
          <w:p w:rsidR="00F55FA6" w:rsidRPr="0075354E" w:rsidRDefault="00F55FA6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</w:rPr>
            </w:pPr>
            <w:r w:rsidRPr="0075354E">
              <w:rPr>
                <w:rFonts w:ascii="Times New Roman" w:hAnsi="Times New Roman" w:cs="Times New Roman"/>
                <w:i/>
              </w:rPr>
              <w:t>(</w:t>
            </w:r>
            <w:r w:rsidR="00255A79" w:rsidRPr="0075354E">
              <w:rPr>
                <w:rFonts w:ascii="Times New Roman" w:hAnsi="Times New Roman" w:cs="Times New Roman"/>
                <w:i/>
              </w:rPr>
              <w:t>d</w:t>
            </w:r>
            <w:r w:rsidRPr="0075354E">
              <w:rPr>
                <w:rFonts w:ascii="Times New Roman" w:hAnsi="Times New Roman" w:cs="Times New Roman"/>
                <w:i/>
              </w:rPr>
              <w:t xml:space="preserve">ata) </w:t>
            </w:r>
          </w:p>
        </w:tc>
      </w:tr>
      <w:tr w:rsidR="007C748C" w:rsidRPr="0075354E" w:rsidTr="002E303E">
        <w:trPr>
          <w:trHeight w:val="746"/>
        </w:trPr>
        <w:tc>
          <w:tcPr>
            <w:tcW w:w="11440" w:type="dxa"/>
            <w:gridSpan w:val="3"/>
          </w:tcPr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836E5F" w:rsidRPr="0075354E" w:rsidRDefault="00836E5F" w:rsidP="005F5B52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b/>
                <w:bCs/>
              </w:rPr>
              <w:t xml:space="preserve">Patikros peržiūra: </w:t>
            </w: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</w:rPr>
              <w:t xml:space="preserve">□ </w:t>
            </w:r>
            <w:r w:rsidR="00381A00" w:rsidRPr="0075354E">
              <w:rPr>
                <w:rFonts w:ascii="Times New Roman" w:hAnsi="Times New Roman" w:cs="Times New Roman"/>
              </w:rPr>
              <w:t>I</w:t>
            </w:r>
            <w:r w:rsidRPr="0075354E">
              <w:rPr>
                <w:rFonts w:ascii="Times New Roman" w:hAnsi="Times New Roman" w:cs="Times New Roman"/>
              </w:rPr>
              <w:t xml:space="preserve">švadai pritarti </w:t>
            </w: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</w:rPr>
              <w:t xml:space="preserve">□ </w:t>
            </w:r>
            <w:r w:rsidR="00381A00" w:rsidRPr="0075354E">
              <w:rPr>
                <w:rFonts w:ascii="Times New Roman" w:hAnsi="Times New Roman" w:cs="Times New Roman"/>
              </w:rPr>
              <w:t>I</w:t>
            </w:r>
            <w:r w:rsidRPr="0075354E">
              <w:rPr>
                <w:rFonts w:ascii="Times New Roman" w:hAnsi="Times New Roman" w:cs="Times New Roman"/>
              </w:rPr>
              <w:t xml:space="preserve">švadai nepritarti </w:t>
            </w:r>
          </w:p>
          <w:p w:rsidR="00490E40" w:rsidRPr="0075354E" w:rsidRDefault="00490E40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>Pastabos:</w:t>
            </w:r>
            <w:r w:rsidR="00AB1A09" w:rsidRPr="0075354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5354E"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</w:t>
            </w: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7C748C" w:rsidRPr="0075354E" w:rsidTr="002E303E">
        <w:trPr>
          <w:trHeight w:val="323"/>
        </w:trPr>
        <w:tc>
          <w:tcPr>
            <w:tcW w:w="4928" w:type="dxa"/>
          </w:tcPr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>(</w:t>
            </w:r>
            <w:r w:rsidR="00381A00" w:rsidRPr="0075354E">
              <w:rPr>
                <w:rFonts w:ascii="Times New Roman" w:hAnsi="Times New Roman" w:cs="Times New Roman"/>
                <w:i/>
                <w:iCs/>
              </w:rPr>
              <w:t>vadovas</w:t>
            </w:r>
            <w:r w:rsidRPr="0075354E"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</w:tc>
        <w:tc>
          <w:tcPr>
            <w:tcW w:w="3255" w:type="dxa"/>
          </w:tcPr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75354E">
              <w:rPr>
                <w:rFonts w:ascii="Times New Roman" w:hAnsi="Times New Roman" w:cs="Times New Roman"/>
                <w:i/>
                <w:iCs/>
              </w:rPr>
              <w:t>p</w:t>
            </w:r>
            <w:r w:rsidRPr="0075354E">
              <w:rPr>
                <w:rFonts w:ascii="Times New Roman" w:hAnsi="Times New Roman" w:cs="Times New Roman"/>
                <w:i/>
                <w:iCs/>
              </w:rPr>
              <w:t xml:space="preserve">arašas) </w:t>
            </w:r>
          </w:p>
        </w:tc>
        <w:tc>
          <w:tcPr>
            <w:tcW w:w="3257" w:type="dxa"/>
          </w:tcPr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75354E" w:rsidRDefault="007C748C" w:rsidP="005F5B52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75354E">
              <w:rPr>
                <w:rFonts w:ascii="Times New Roman" w:hAnsi="Times New Roman" w:cs="Times New Roman"/>
                <w:i/>
                <w:iCs/>
              </w:rPr>
              <w:t>d</w:t>
            </w:r>
            <w:r w:rsidRPr="0075354E">
              <w:rPr>
                <w:rFonts w:ascii="Times New Roman" w:hAnsi="Times New Roman" w:cs="Times New Roman"/>
                <w:i/>
                <w:iCs/>
              </w:rPr>
              <w:t xml:space="preserve">ata) </w:t>
            </w:r>
          </w:p>
        </w:tc>
      </w:tr>
    </w:tbl>
    <w:p w:rsidR="007C748C" w:rsidRPr="0075354E" w:rsidRDefault="007C748C" w:rsidP="005F5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sectPr w:rsidR="007C748C" w:rsidRPr="0075354E" w:rsidSect="002C69A0">
      <w:headerReference w:type="default" r:id="rId8"/>
      <w:pgSz w:w="16838" w:h="11906" w:orient="landscape"/>
      <w:pgMar w:top="1135" w:right="1080" w:bottom="1276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7CF" w:rsidRDefault="000337CF" w:rsidP="00052D4E">
      <w:pPr>
        <w:spacing w:after="0" w:line="240" w:lineRule="auto"/>
      </w:pPr>
      <w:r>
        <w:separator/>
      </w:r>
    </w:p>
  </w:endnote>
  <w:endnote w:type="continuationSeparator" w:id="0">
    <w:p w:rsidR="000337CF" w:rsidRDefault="000337CF" w:rsidP="000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YInterstate">
    <w:altName w:val="Corbel"/>
    <w:charset w:val="BA"/>
    <w:family w:val="auto"/>
    <w:pitch w:val="variable"/>
    <w:sig w:usb0="A00002AF" w:usb1="5000206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7CF" w:rsidRDefault="000337CF" w:rsidP="00052D4E">
      <w:pPr>
        <w:spacing w:after="0" w:line="240" w:lineRule="auto"/>
      </w:pPr>
      <w:r>
        <w:separator/>
      </w:r>
    </w:p>
  </w:footnote>
  <w:footnote w:type="continuationSeparator" w:id="0">
    <w:p w:rsidR="000337CF" w:rsidRDefault="000337CF" w:rsidP="00052D4E">
      <w:pPr>
        <w:spacing w:after="0" w:line="240" w:lineRule="auto"/>
      </w:pPr>
      <w:r>
        <w:continuationSeparator/>
      </w:r>
    </w:p>
  </w:footnote>
  <w:footnote w:id="1">
    <w:p w:rsidR="00C1420B" w:rsidRPr="00AC77E0" w:rsidRDefault="00C1420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t-LT"/>
        </w:rPr>
        <w:t xml:space="preserve">1999 m. gruodžio 17 d. Tarybos reglamentas (EB) Nr. 104/2000 dėl bendro žuvininkystės ir akvakultūros produktų rinkų organizavimo </w:t>
      </w:r>
      <w:r w:rsidR="009A645A" w:rsidRPr="009A645A">
        <w:rPr>
          <w:lang w:val="lt-LT"/>
        </w:rPr>
        <w:t>(OL 2000 m. specialusis leidimas, 4 skyrius, 4 tomas, p. 198)</w:t>
      </w:r>
      <w:r w:rsidR="008A5EFB">
        <w:rPr>
          <w:lang w:val="lt-LT"/>
        </w:rPr>
        <w:t>.</w:t>
      </w:r>
    </w:p>
  </w:footnote>
  <w:footnote w:id="2">
    <w:p w:rsidR="00CA09C3" w:rsidRPr="00684FD8" w:rsidRDefault="00CA09C3" w:rsidP="00CA09C3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476801">
        <w:rPr>
          <w:lang w:val="de-DE"/>
        </w:rPr>
        <w:t xml:space="preserve"> </w:t>
      </w:r>
      <w:r>
        <w:rPr>
          <w:lang w:val="lt-LT"/>
        </w:rPr>
        <w:t xml:space="preserve">Kaip apibrėžta </w:t>
      </w:r>
      <w:r w:rsidRPr="00684FD8">
        <w:rPr>
          <w:i/>
          <w:lang w:val="lt-LT"/>
        </w:rPr>
        <w:t>de minimis</w:t>
      </w:r>
      <w:r>
        <w:rPr>
          <w:lang w:val="lt-LT"/>
        </w:rPr>
        <w:t xml:space="preserve"> reglamente</w:t>
      </w:r>
      <w:r w:rsidR="008A5EFB">
        <w:rPr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CF5" w:rsidRDefault="003C3CF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65C03" w:rsidRPr="00765C03">
      <w:rPr>
        <w:noProof/>
        <w:lang w:val="lt-LT"/>
      </w:rPr>
      <w:t>2</w:t>
    </w:r>
    <w:r>
      <w:fldChar w:fldCharType="end"/>
    </w:r>
  </w:p>
  <w:p w:rsidR="003C3CF5" w:rsidRDefault="003C3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4305F"/>
    <w:multiLevelType w:val="hybridMultilevel"/>
    <w:tmpl w:val="92C281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A4FE1"/>
    <w:multiLevelType w:val="hybridMultilevel"/>
    <w:tmpl w:val="A0A8BA04"/>
    <w:lvl w:ilvl="0" w:tplc="568802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3D"/>
    <w:rsid w:val="000042DB"/>
    <w:rsid w:val="0001529F"/>
    <w:rsid w:val="000246BA"/>
    <w:rsid w:val="00031B5A"/>
    <w:rsid w:val="000337CF"/>
    <w:rsid w:val="00041103"/>
    <w:rsid w:val="00042DC9"/>
    <w:rsid w:val="00051013"/>
    <w:rsid w:val="00052D4E"/>
    <w:rsid w:val="000548B3"/>
    <w:rsid w:val="00064C38"/>
    <w:rsid w:val="00065BE3"/>
    <w:rsid w:val="000664F1"/>
    <w:rsid w:val="00074188"/>
    <w:rsid w:val="000762F6"/>
    <w:rsid w:val="000B7406"/>
    <w:rsid w:val="000C6A1B"/>
    <w:rsid w:val="000D4755"/>
    <w:rsid w:val="000D7716"/>
    <w:rsid w:val="000E1ECF"/>
    <w:rsid w:val="000F2A88"/>
    <w:rsid w:val="001020A7"/>
    <w:rsid w:val="00103261"/>
    <w:rsid w:val="001069CB"/>
    <w:rsid w:val="00142C63"/>
    <w:rsid w:val="00156C29"/>
    <w:rsid w:val="00166B28"/>
    <w:rsid w:val="00170B3D"/>
    <w:rsid w:val="0017651D"/>
    <w:rsid w:val="00181A96"/>
    <w:rsid w:val="00182CE9"/>
    <w:rsid w:val="00191ACE"/>
    <w:rsid w:val="001A397F"/>
    <w:rsid w:val="001A4749"/>
    <w:rsid w:val="001A79D4"/>
    <w:rsid w:val="001E1524"/>
    <w:rsid w:val="001E58E7"/>
    <w:rsid w:val="001F0203"/>
    <w:rsid w:val="00204F9C"/>
    <w:rsid w:val="00216DF2"/>
    <w:rsid w:val="00232608"/>
    <w:rsid w:val="00242E4F"/>
    <w:rsid w:val="00245520"/>
    <w:rsid w:val="00247DB9"/>
    <w:rsid w:val="00255A79"/>
    <w:rsid w:val="00256A1A"/>
    <w:rsid w:val="00265BBB"/>
    <w:rsid w:val="00291D2B"/>
    <w:rsid w:val="002A78C2"/>
    <w:rsid w:val="002B2203"/>
    <w:rsid w:val="002C69A0"/>
    <w:rsid w:val="002C75FD"/>
    <w:rsid w:val="002D4567"/>
    <w:rsid w:val="002E303E"/>
    <w:rsid w:val="002E358C"/>
    <w:rsid w:val="002E4B66"/>
    <w:rsid w:val="002F2A2A"/>
    <w:rsid w:val="002F7859"/>
    <w:rsid w:val="003026B9"/>
    <w:rsid w:val="003209D6"/>
    <w:rsid w:val="00346E92"/>
    <w:rsid w:val="00364DA4"/>
    <w:rsid w:val="0037015C"/>
    <w:rsid w:val="00381A00"/>
    <w:rsid w:val="0039200C"/>
    <w:rsid w:val="003A63C2"/>
    <w:rsid w:val="003C2474"/>
    <w:rsid w:val="003C3CF5"/>
    <w:rsid w:val="003E043E"/>
    <w:rsid w:val="003F0C5C"/>
    <w:rsid w:val="003F322F"/>
    <w:rsid w:val="003F4D99"/>
    <w:rsid w:val="003F788C"/>
    <w:rsid w:val="00407DAB"/>
    <w:rsid w:val="00411684"/>
    <w:rsid w:val="00431F28"/>
    <w:rsid w:val="0043421C"/>
    <w:rsid w:val="00451709"/>
    <w:rsid w:val="004564F8"/>
    <w:rsid w:val="00462A29"/>
    <w:rsid w:val="00465DB9"/>
    <w:rsid w:val="004664ED"/>
    <w:rsid w:val="004671A2"/>
    <w:rsid w:val="004709DF"/>
    <w:rsid w:val="00476801"/>
    <w:rsid w:val="00480F7E"/>
    <w:rsid w:val="0048758B"/>
    <w:rsid w:val="00490E40"/>
    <w:rsid w:val="00493048"/>
    <w:rsid w:val="004A104A"/>
    <w:rsid w:val="004A58E9"/>
    <w:rsid w:val="004C08B0"/>
    <w:rsid w:val="004C1FB2"/>
    <w:rsid w:val="004D3561"/>
    <w:rsid w:val="004D496C"/>
    <w:rsid w:val="004F2238"/>
    <w:rsid w:val="005015B1"/>
    <w:rsid w:val="00507E8A"/>
    <w:rsid w:val="00510FF2"/>
    <w:rsid w:val="00547EEC"/>
    <w:rsid w:val="00550A02"/>
    <w:rsid w:val="00587C33"/>
    <w:rsid w:val="005C4B19"/>
    <w:rsid w:val="005E53D7"/>
    <w:rsid w:val="005F5B52"/>
    <w:rsid w:val="005F66DE"/>
    <w:rsid w:val="005F7737"/>
    <w:rsid w:val="00601BD4"/>
    <w:rsid w:val="00602A92"/>
    <w:rsid w:val="00607C38"/>
    <w:rsid w:val="0061136F"/>
    <w:rsid w:val="0062014A"/>
    <w:rsid w:val="006222C1"/>
    <w:rsid w:val="006223E7"/>
    <w:rsid w:val="00622E4B"/>
    <w:rsid w:val="00624169"/>
    <w:rsid w:val="00641D16"/>
    <w:rsid w:val="006608B7"/>
    <w:rsid w:val="006800A0"/>
    <w:rsid w:val="00682B53"/>
    <w:rsid w:val="00684FD8"/>
    <w:rsid w:val="00686338"/>
    <w:rsid w:val="0068634A"/>
    <w:rsid w:val="006A6E17"/>
    <w:rsid w:val="006B57DE"/>
    <w:rsid w:val="006B6903"/>
    <w:rsid w:val="006C0FAC"/>
    <w:rsid w:val="006C26BC"/>
    <w:rsid w:val="006C2B80"/>
    <w:rsid w:val="006C4A31"/>
    <w:rsid w:val="006E36DF"/>
    <w:rsid w:val="006F07BE"/>
    <w:rsid w:val="00704684"/>
    <w:rsid w:val="00704891"/>
    <w:rsid w:val="007115AD"/>
    <w:rsid w:val="007224C3"/>
    <w:rsid w:val="007279DB"/>
    <w:rsid w:val="00733B06"/>
    <w:rsid w:val="007407BE"/>
    <w:rsid w:val="0074377D"/>
    <w:rsid w:val="00746B27"/>
    <w:rsid w:val="007501FF"/>
    <w:rsid w:val="0075354E"/>
    <w:rsid w:val="007639B6"/>
    <w:rsid w:val="00763D12"/>
    <w:rsid w:val="00765C03"/>
    <w:rsid w:val="00767320"/>
    <w:rsid w:val="007739CE"/>
    <w:rsid w:val="00776A3C"/>
    <w:rsid w:val="007A3853"/>
    <w:rsid w:val="007A7158"/>
    <w:rsid w:val="007C748C"/>
    <w:rsid w:val="007D105B"/>
    <w:rsid w:val="007E5F51"/>
    <w:rsid w:val="00804861"/>
    <w:rsid w:val="00814744"/>
    <w:rsid w:val="00823E30"/>
    <w:rsid w:val="008252F2"/>
    <w:rsid w:val="00831C55"/>
    <w:rsid w:val="00836E5F"/>
    <w:rsid w:val="00851C1B"/>
    <w:rsid w:val="00852341"/>
    <w:rsid w:val="008615F9"/>
    <w:rsid w:val="0086694F"/>
    <w:rsid w:val="00882CB4"/>
    <w:rsid w:val="008957A0"/>
    <w:rsid w:val="008A2FDE"/>
    <w:rsid w:val="008A5EFB"/>
    <w:rsid w:val="008A6B86"/>
    <w:rsid w:val="008B2D75"/>
    <w:rsid w:val="008E6EAE"/>
    <w:rsid w:val="008F0BBC"/>
    <w:rsid w:val="008F135C"/>
    <w:rsid w:val="00901E6D"/>
    <w:rsid w:val="0090544B"/>
    <w:rsid w:val="00921FBB"/>
    <w:rsid w:val="0094563A"/>
    <w:rsid w:val="0094753A"/>
    <w:rsid w:val="009513C2"/>
    <w:rsid w:val="009617FF"/>
    <w:rsid w:val="00996667"/>
    <w:rsid w:val="009976BC"/>
    <w:rsid w:val="009A18EB"/>
    <w:rsid w:val="009A5525"/>
    <w:rsid w:val="009A645A"/>
    <w:rsid w:val="009B1F7C"/>
    <w:rsid w:val="009B33D7"/>
    <w:rsid w:val="009B5415"/>
    <w:rsid w:val="009C3278"/>
    <w:rsid w:val="009D3935"/>
    <w:rsid w:val="009E2C29"/>
    <w:rsid w:val="009E4D28"/>
    <w:rsid w:val="009E6EC0"/>
    <w:rsid w:val="00A04930"/>
    <w:rsid w:val="00A14252"/>
    <w:rsid w:val="00A16F64"/>
    <w:rsid w:val="00A171DC"/>
    <w:rsid w:val="00A171E7"/>
    <w:rsid w:val="00A22D10"/>
    <w:rsid w:val="00A3532C"/>
    <w:rsid w:val="00A576AF"/>
    <w:rsid w:val="00A6381E"/>
    <w:rsid w:val="00A64CED"/>
    <w:rsid w:val="00A71B23"/>
    <w:rsid w:val="00A72118"/>
    <w:rsid w:val="00AA0AA8"/>
    <w:rsid w:val="00AA157E"/>
    <w:rsid w:val="00AA3BE2"/>
    <w:rsid w:val="00AB1A09"/>
    <w:rsid w:val="00AB2EAA"/>
    <w:rsid w:val="00AB765A"/>
    <w:rsid w:val="00AC0805"/>
    <w:rsid w:val="00AC55AE"/>
    <w:rsid w:val="00AC642D"/>
    <w:rsid w:val="00AC77E0"/>
    <w:rsid w:val="00AD5C3B"/>
    <w:rsid w:val="00AD6883"/>
    <w:rsid w:val="00AD6FDA"/>
    <w:rsid w:val="00AF69DB"/>
    <w:rsid w:val="00B06337"/>
    <w:rsid w:val="00B20DFC"/>
    <w:rsid w:val="00B20EEF"/>
    <w:rsid w:val="00B6490F"/>
    <w:rsid w:val="00B66308"/>
    <w:rsid w:val="00B76560"/>
    <w:rsid w:val="00B76D2C"/>
    <w:rsid w:val="00B76F52"/>
    <w:rsid w:val="00B81D80"/>
    <w:rsid w:val="00B962C2"/>
    <w:rsid w:val="00BB0671"/>
    <w:rsid w:val="00BC31A6"/>
    <w:rsid w:val="00BC375B"/>
    <w:rsid w:val="00BD0F36"/>
    <w:rsid w:val="00BD6415"/>
    <w:rsid w:val="00BF15E0"/>
    <w:rsid w:val="00BF401D"/>
    <w:rsid w:val="00C0027F"/>
    <w:rsid w:val="00C0109D"/>
    <w:rsid w:val="00C03C26"/>
    <w:rsid w:val="00C1420B"/>
    <w:rsid w:val="00C3085A"/>
    <w:rsid w:val="00C4554C"/>
    <w:rsid w:val="00C51860"/>
    <w:rsid w:val="00C529DD"/>
    <w:rsid w:val="00C6404E"/>
    <w:rsid w:val="00C74672"/>
    <w:rsid w:val="00CA09C3"/>
    <w:rsid w:val="00CE363D"/>
    <w:rsid w:val="00CF49EF"/>
    <w:rsid w:val="00CF71C5"/>
    <w:rsid w:val="00CF72CF"/>
    <w:rsid w:val="00CF7A04"/>
    <w:rsid w:val="00D06CAE"/>
    <w:rsid w:val="00D14B56"/>
    <w:rsid w:val="00D175B4"/>
    <w:rsid w:val="00D2272E"/>
    <w:rsid w:val="00D42884"/>
    <w:rsid w:val="00D44C36"/>
    <w:rsid w:val="00D62A91"/>
    <w:rsid w:val="00D65136"/>
    <w:rsid w:val="00D71057"/>
    <w:rsid w:val="00D73522"/>
    <w:rsid w:val="00D869E5"/>
    <w:rsid w:val="00D90151"/>
    <w:rsid w:val="00DA267A"/>
    <w:rsid w:val="00DB0401"/>
    <w:rsid w:val="00DC0095"/>
    <w:rsid w:val="00DC6ABA"/>
    <w:rsid w:val="00DC72D7"/>
    <w:rsid w:val="00DF62F9"/>
    <w:rsid w:val="00DF6E1A"/>
    <w:rsid w:val="00E00606"/>
    <w:rsid w:val="00E04173"/>
    <w:rsid w:val="00E24A16"/>
    <w:rsid w:val="00E309B9"/>
    <w:rsid w:val="00E6038C"/>
    <w:rsid w:val="00E70F3C"/>
    <w:rsid w:val="00E74D67"/>
    <w:rsid w:val="00E827AD"/>
    <w:rsid w:val="00E84AB7"/>
    <w:rsid w:val="00EA2968"/>
    <w:rsid w:val="00EA4939"/>
    <w:rsid w:val="00EA74E6"/>
    <w:rsid w:val="00EB16B2"/>
    <w:rsid w:val="00EF1361"/>
    <w:rsid w:val="00EF2007"/>
    <w:rsid w:val="00EF583F"/>
    <w:rsid w:val="00F0556D"/>
    <w:rsid w:val="00F20D57"/>
    <w:rsid w:val="00F2414A"/>
    <w:rsid w:val="00F26DAB"/>
    <w:rsid w:val="00F26F2C"/>
    <w:rsid w:val="00F27FE2"/>
    <w:rsid w:val="00F372B6"/>
    <w:rsid w:val="00F53BA3"/>
    <w:rsid w:val="00F55FA6"/>
    <w:rsid w:val="00F61AD1"/>
    <w:rsid w:val="00F74404"/>
    <w:rsid w:val="00F74E8A"/>
    <w:rsid w:val="00F952A3"/>
    <w:rsid w:val="00FB3425"/>
    <w:rsid w:val="00FB4D75"/>
    <w:rsid w:val="00FB5E95"/>
    <w:rsid w:val="00FD7E3A"/>
    <w:rsid w:val="00FE701B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1601E-57CB-49DB-81FF-2EC3B7DC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065B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5BE3"/>
    <w:pPr>
      <w:spacing w:line="240" w:lineRule="auto"/>
    </w:pPr>
    <w:rPr>
      <w:rFonts w:cs="Times New Roman"/>
      <w:lang w:eastAsia="x-none"/>
    </w:rPr>
  </w:style>
  <w:style w:type="character" w:customStyle="1" w:styleId="CommentTextChar">
    <w:name w:val="Comment Text Char"/>
    <w:link w:val="CommentText"/>
    <w:rsid w:val="00065BE3"/>
    <w:rPr>
      <w:rFonts w:ascii="Arial" w:eastAsia="Calibri" w:hAnsi="Arial" w:cs="Arial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BE3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ListParagraph">
    <w:name w:val="List Paragraph"/>
    <w:basedOn w:val="Normal"/>
    <w:uiPriority w:val="34"/>
    <w:qFormat/>
    <w:rsid w:val="00F26F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FootnoteTextChar">
    <w:name w:val="Footnote Text Char"/>
    <w:link w:val="FootnoteText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FootnoteReference">
    <w:name w:val="footnote reference"/>
    <w:uiPriority w:val="99"/>
    <w:semiHidden/>
    <w:unhideWhenUsed/>
    <w:rsid w:val="00052D4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414A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semiHidden/>
    <w:rsid w:val="00F2414A"/>
    <w:rPr>
      <w:rFonts w:ascii="Tahoma" w:eastAsia="Calibri" w:hAnsi="Tahoma" w:cs="Tahoma"/>
      <w:sz w:val="16"/>
      <w:szCs w:val="16"/>
      <w:lang w:val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08B7"/>
    <w:rPr>
      <w:rFonts w:cs="Times New Roman"/>
    </w:rPr>
  </w:style>
  <w:style w:type="character" w:customStyle="1" w:styleId="EndnoteTextChar">
    <w:name w:val="Endnote Text Char"/>
    <w:link w:val="EndnoteText"/>
    <w:uiPriority w:val="99"/>
    <w:semiHidden/>
    <w:rsid w:val="006608B7"/>
    <w:rPr>
      <w:rFonts w:ascii="Arial" w:hAnsi="Arial" w:cs="Arial"/>
      <w:lang w:val="pl-PL" w:eastAsia="en-US"/>
    </w:rPr>
  </w:style>
  <w:style w:type="character" w:styleId="EndnoteReference">
    <w:name w:val="endnote reference"/>
    <w:uiPriority w:val="99"/>
    <w:semiHidden/>
    <w:unhideWhenUsed/>
    <w:rsid w:val="006608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3CF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3C3CF5"/>
    <w:rPr>
      <w:rFonts w:ascii="Arial" w:hAnsi="Arial" w:cs="Arial"/>
      <w:lang w:val="pl-PL" w:eastAsia="en-US"/>
    </w:rPr>
  </w:style>
  <w:style w:type="paragraph" w:styleId="Footer">
    <w:name w:val="footer"/>
    <w:basedOn w:val="Normal"/>
    <w:link w:val="FooterChar"/>
    <w:uiPriority w:val="99"/>
    <w:unhideWhenUsed/>
    <w:rsid w:val="003C3CF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3C3CF5"/>
    <w:rPr>
      <w:rFonts w:ascii="Arial" w:hAnsi="Arial" w:cs="Arial"/>
      <w:lang w:val="pl-PL" w:eastAsia="en-US"/>
    </w:rPr>
  </w:style>
  <w:style w:type="paragraph" w:styleId="Revision">
    <w:name w:val="Revision"/>
    <w:hidden/>
    <w:uiPriority w:val="99"/>
    <w:semiHidden/>
    <w:rsid w:val="00AB1A09"/>
    <w:rPr>
      <w:rFonts w:ascii="Arial" w:hAnsi="Arial" w:cs="Arial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09E04-EA4A-4DC6-A27C-865D1F11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4267</Words>
  <Characters>2433</Characters>
  <Application>Microsoft Office Word</Application>
  <DocSecurity>4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LVPA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I.Paukstys</dc:creator>
  <cp:lastModifiedBy>Miglė Aleksonytė</cp:lastModifiedBy>
  <cp:revision>2</cp:revision>
  <cp:lastPrinted>2017-07-28T10:17:00Z</cp:lastPrinted>
  <dcterms:created xsi:type="dcterms:W3CDTF">2017-08-18T08:02:00Z</dcterms:created>
  <dcterms:modified xsi:type="dcterms:W3CDTF">2017-08-18T08:02:00Z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