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1108D" w14:textId="2D9D86C4" w:rsidR="00B168CA" w:rsidRPr="00A80FB2" w:rsidRDefault="00B168CA" w:rsidP="00B168CA">
      <w:pPr>
        <w:spacing w:after="0" w:line="240" w:lineRule="auto"/>
        <w:ind w:left="935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FB2">
        <w:rPr>
          <w:rFonts w:ascii="Times New Roman" w:eastAsia="Calibri" w:hAnsi="Times New Roman" w:cs="Times New Roman"/>
          <w:sz w:val="24"/>
          <w:szCs w:val="24"/>
        </w:rPr>
        <w:t xml:space="preserve">2014–2020 metų Europos Sąjungos fondų investicijų veiksmų programos 9 prioriteto „Visuomenės švietimas ir žmogiškųjų išteklių potencialo didinimas“ 09.4.2-ESFA-K-714 priemonės „Formaliojo ir neformaliojo mokymosi galimybių plėtra“ projektų finansavimo </w:t>
      </w:r>
      <w:r w:rsidR="00C1433C" w:rsidRPr="00A80FB2">
        <w:rPr>
          <w:rFonts w:ascii="Times New Roman" w:eastAsia="Calibri" w:hAnsi="Times New Roman" w:cs="Times New Roman"/>
          <w:sz w:val="24"/>
          <w:szCs w:val="24"/>
        </w:rPr>
        <w:t>sąlygų aprašo Nr. 2</w:t>
      </w:r>
    </w:p>
    <w:p w14:paraId="4714E9DB" w14:textId="77777777" w:rsidR="00B168CA" w:rsidRPr="00A80FB2" w:rsidRDefault="00B168CA" w:rsidP="00B168C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FB2">
        <w:rPr>
          <w:rFonts w:ascii="Times New Roman" w:eastAsia="Calibri" w:hAnsi="Times New Roman" w:cs="Times New Roman"/>
          <w:sz w:val="24"/>
          <w:szCs w:val="24"/>
        </w:rPr>
        <w:t>2</w:t>
      </w:r>
      <w:r w:rsidRPr="00A80FB2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085C617C" w14:textId="77777777" w:rsidR="00B168CA" w:rsidRPr="00A80FB2" w:rsidRDefault="00B168CA" w:rsidP="00B168C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B168CA" w:rsidRPr="00A80FB2" w14:paraId="71040A6F" w14:textId="77777777" w:rsidTr="00F55E48">
        <w:trPr>
          <w:trHeight w:val="20"/>
        </w:trPr>
        <w:tc>
          <w:tcPr>
            <w:tcW w:w="14940" w:type="dxa"/>
            <w:tcBorders>
              <w:top w:val="nil"/>
              <w:left w:val="nil"/>
              <w:right w:val="nil"/>
            </w:tcBorders>
          </w:tcPr>
          <w:p w14:paraId="5B148D3D" w14:textId="77777777" w:rsidR="00B168CA" w:rsidRPr="00A80FB2" w:rsidRDefault="00B168CA" w:rsidP="00B168C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  <w:p w14:paraId="3E7B4A08" w14:textId="77777777" w:rsidR="00B168CA" w:rsidRPr="00A80FB2" w:rsidRDefault="00B168CA" w:rsidP="00B168C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A80FB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Naudos ir kokybės vertinimo LENTELĖ</w:t>
            </w:r>
          </w:p>
          <w:p w14:paraId="1AD3EBD3" w14:textId="77777777" w:rsidR="00B168CA" w:rsidRPr="00A80FB2" w:rsidRDefault="00B168CA" w:rsidP="00906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348"/>
            </w:tblGrid>
            <w:tr w:rsidR="00B168CA" w:rsidRPr="00A80FB2" w14:paraId="29A2E56D" w14:textId="77777777" w:rsidTr="00F55E48">
              <w:tc>
                <w:tcPr>
                  <w:tcW w:w="3856" w:type="dxa"/>
                  <w:shd w:val="clear" w:color="auto" w:fill="auto"/>
                </w:tcPr>
                <w:p w14:paraId="4F0ACC1A" w14:textId="77777777" w:rsidR="00B168CA" w:rsidRPr="00A80FB2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Paraiškos kodas</w:t>
                  </w:r>
                </w:p>
              </w:tc>
              <w:tc>
                <w:tcPr>
                  <w:tcW w:w="10348" w:type="dxa"/>
                  <w:shd w:val="clear" w:color="auto" w:fill="auto"/>
                </w:tcPr>
                <w:p w14:paraId="6C44E21A" w14:textId="77777777" w:rsidR="00B168CA" w:rsidRPr="00A80FB2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168CA" w:rsidRPr="00A80FB2" w14:paraId="67D8ACC3" w14:textId="77777777" w:rsidTr="00F55E48">
              <w:tc>
                <w:tcPr>
                  <w:tcW w:w="3856" w:type="dxa"/>
                  <w:shd w:val="clear" w:color="auto" w:fill="auto"/>
                </w:tcPr>
                <w:p w14:paraId="69484250" w14:textId="77777777" w:rsidR="00B168CA" w:rsidRPr="00A80FB2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Pareiškėjo pavadinimas</w:t>
                  </w:r>
                </w:p>
              </w:tc>
              <w:tc>
                <w:tcPr>
                  <w:tcW w:w="10348" w:type="dxa"/>
                  <w:shd w:val="clear" w:color="auto" w:fill="auto"/>
                </w:tcPr>
                <w:p w14:paraId="1424EE5A" w14:textId="77777777" w:rsidR="00B168CA" w:rsidRPr="00A80FB2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B168CA" w:rsidRPr="00A80FB2" w14:paraId="47BA6C61" w14:textId="77777777" w:rsidTr="00F55E48">
              <w:tc>
                <w:tcPr>
                  <w:tcW w:w="3856" w:type="dxa"/>
                  <w:shd w:val="clear" w:color="auto" w:fill="auto"/>
                </w:tcPr>
                <w:p w14:paraId="7E68AC46" w14:textId="77777777" w:rsidR="00B168CA" w:rsidRPr="00A80FB2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Projekto pavadinimas</w:t>
                  </w:r>
                </w:p>
              </w:tc>
              <w:tc>
                <w:tcPr>
                  <w:tcW w:w="10348" w:type="dxa"/>
                  <w:shd w:val="clear" w:color="auto" w:fill="auto"/>
                </w:tcPr>
                <w:p w14:paraId="10A5E7CD" w14:textId="77777777" w:rsidR="00B168CA" w:rsidRPr="00A80FB2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168CA" w:rsidRPr="00A80FB2" w14:paraId="0E496057" w14:textId="77777777" w:rsidTr="00F55E48">
              <w:tc>
                <w:tcPr>
                  <w:tcW w:w="14204" w:type="dxa"/>
                  <w:gridSpan w:val="2"/>
                  <w:shd w:val="clear" w:color="auto" w:fill="auto"/>
                </w:tcPr>
                <w:p w14:paraId="55DC94F6" w14:textId="77777777" w:rsidR="00B168CA" w:rsidRPr="00A80FB2" w:rsidRDefault="00B168CA" w:rsidP="00B168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Projektą planuojama įgyvendinti:</w:t>
                  </w:r>
                </w:p>
                <w:p w14:paraId="0A4B8566" w14:textId="77777777" w:rsidR="00B168CA" w:rsidRPr="00A80FB2" w:rsidRDefault="00B168CA" w:rsidP="00B168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 su partneriu (-iais)              </w:t>
                  </w: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 be partnerio (-ių)</w:t>
                  </w:r>
                </w:p>
              </w:tc>
            </w:tr>
            <w:tr w:rsidR="00B168CA" w:rsidRPr="00A80FB2" w14:paraId="7D117C58" w14:textId="77777777" w:rsidTr="00F55E48">
              <w:tc>
                <w:tcPr>
                  <w:tcW w:w="14204" w:type="dxa"/>
                  <w:gridSpan w:val="2"/>
                  <w:shd w:val="clear" w:color="auto" w:fill="auto"/>
                </w:tcPr>
                <w:p w14:paraId="3001AB9E" w14:textId="77777777" w:rsidR="00B168CA" w:rsidRPr="00A80FB2" w:rsidRDefault="00B168CA" w:rsidP="00B168CA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4B21A736" w14:textId="77777777" w:rsidR="00B168CA" w:rsidRPr="00A80FB2" w:rsidRDefault="00B168CA" w:rsidP="00B168CA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 PIRMINĖ               </w:t>
                  </w: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PATIKSLINTA</w:t>
                  </w:r>
                </w:p>
                <w:p w14:paraId="6518A226" w14:textId="77777777" w:rsidR="00B168CA" w:rsidRPr="00A80FB2" w:rsidRDefault="00B168CA" w:rsidP="00B16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2DC356E" w14:textId="77777777" w:rsidR="00B168CA" w:rsidRPr="00A80FB2" w:rsidRDefault="00B168CA" w:rsidP="00B168C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i/>
                <w:cap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1"/>
              <w:gridCol w:w="4678"/>
              <w:gridCol w:w="1843"/>
              <w:gridCol w:w="1701"/>
              <w:gridCol w:w="236"/>
              <w:gridCol w:w="2599"/>
            </w:tblGrid>
            <w:tr w:rsidR="00741498" w:rsidRPr="00A80FB2" w14:paraId="5A2F690C" w14:textId="77777777" w:rsidTr="004B20F4">
              <w:tc>
                <w:tcPr>
                  <w:tcW w:w="3181" w:type="dxa"/>
                  <w:shd w:val="clear" w:color="auto" w:fill="auto"/>
                </w:tcPr>
                <w:p w14:paraId="74FA815E" w14:textId="77777777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Prioritetinis projektų atrankos kriterijus (toliau – kriterijus)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4941ED22" w14:textId="3009F8E6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Kriterijaus </w:t>
                  </w: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vertinimo aspektai ir paaiškinimai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133001B" w14:textId="77777777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Maksimalus galimas kriterijaus vertinimo balas</w:t>
                  </w:r>
                </w:p>
              </w:tc>
              <w:tc>
                <w:tcPr>
                  <w:tcW w:w="1701" w:type="dxa"/>
                </w:tcPr>
                <w:p w14:paraId="247CDB63" w14:textId="686B1A86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Vertinimo metu suteiktų balų skaičius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14:paraId="04054B89" w14:textId="5CBD2DAF" w:rsidR="00741498" w:rsidRPr="00A80FB2" w:rsidRDefault="00741498" w:rsidP="007C1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Komentarai </w:t>
                  </w:r>
                </w:p>
              </w:tc>
            </w:tr>
            <w:tr w:rsidR="00D218BC" w:rsidRPr="00A80FB2" w14:paraId="2B43AB36" w14:textId="77777777" w:rsidTr="004B20F4">
              <w:tc>
                <w:tcPr>
                  <w:tcW w:w="3181" w:type="dxa"/>
                  <w:shd w:val="clear" w:color="auto" w:fill="auto"/>
                </w:tcPr>
                <w:p w14:paraId="746755A6" w14:textId="77777777" w:rsidR="00D218BC" w:rsidRDefault="00D218BC" w:rsidP="00EF1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1.Planuojamų mokyti </w:t>
                  </w:r>
                  <w:bookmarkStart w:id="0" w:name="_GoBack"/>
                  <w:bookmarkEnd w:id="0"/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mokykline profesinio mokymo forma ir (arba) pameistrystės</w:t>
                  </w:r>
                  <w:r w:rsidR="00FA4F93"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profesinio</w:t>
                  </w: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mokymo forma, suaugusių</w:t>
                  </w:r>
                  <w:r w:rsidR="00C81703"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asmenų</w:t>
                  </w: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skaičius</w:t>
                  </w:r>
                </w:p>
                <w:p w14:paraId="728B2192" w14:textId="59D44203" w:rsidR="00FD1B96" w:rsidRPr="00A80FB2" w:rsidRDefault="00FD1B96" w:rsidP="00EF1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113A4D6" w14:textId="54C9269A" w:rsidR="00D218BC" w:rsidRPr="00A80FB2" w:rsidRDefault="00D218BC" w:rsidP="0074773C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Balai suteikiami projektams, kuriuose sudaroma galimybė didesniam</w:t>
                  </w:r>
                  <w:r w:rsidR="00585629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suaugusių</w:t>
                  </w:r>
                  <w:r w:rsidR="00D97DD8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asmenų</w:t>
                  </w:r>
                  <w:r w:rsidR="00D97D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D97DD8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nebaigusių bendrojo ugdymo programos</w:t>
                  </w:r>
                  <w:r w:rsidR="00D97D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D97DD8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85629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skaičiui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projekto metu baigti bendrojo ugdymo programą kartu su profesine kvalifikacija, mokantis mokykline profesinio mokymo forma</w:t>
                  </w:r>
                  <w:r w:rsidR="00FA4F93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(arba) pameistrystės profesinio mokymo forma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14:paraId="5F227A91" w14:textId="26B3FFBF" w:rsidR="0074773C" w:rsidRPr="00A80FB2" w:rsidRDefault="00D218BC" w:rsidP="00181D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Didesnį balą gauna </w:t>
                  </w: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projektai, kuriuose sudaroma galimybė didesniam</w:t>
                  </w:r>
                  <w:r w:rsidR="00C81703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suaugusių </w:t>
                  </w:r>
                  <w:r w:rsidR="00C81703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asmenų skaičiui 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projekto metu baigti bendrojo ugdymo programą kartu įgyjant profesinę kvalifikaciją, mokantis pameistrystės </w:t>
                  </w:r>
                  <w:r w:rsidR="00FA4F93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profesinio 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mokymo forma.</w:t>
                  </w:r>
                  <w:r w:rsidR="000F178E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Projektams suteikiami balai atskirai pagal abi profesinio mokymo formas (mokyklinę ir pameistrystę) susumuojami.</w:t>
                  </w:r>
                </w:p>
                <w:p w14:paraId="655D3AD3" w14:textId="1D537969" w:rsidR="00FA4F93" w:rsidRPr="00A80FB2" w:rsidRDefault="00FA4F93" w:rsidP="00181D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Mokant mokykline profesinio mokym</w:t>
                  </w:r>
                  <w:r w:rsidR="00A41052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o forma už kiekvieną</w:t>
                  </w:r>
                  <w:r w:rsidR="006815B5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81703" w:rsidRPr="00A80FB2">
                    <w:rPr>
                      <w:rFonts w:ascii="Times New Roman" w:hAnsi="Times New Roman"/>
                      <w:sz w:val="24"/>
                      <w:szCs w:val="24"/>
                    </w:rPr>
                    <w:t>suaugusį</w:t>
                  </w:r>
                  <w:r w:rsidR="00C81703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815B5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asmenį</w:t>
                  </w:r>
                  <w:r w:rsidR="003D1E77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suteikiamas</w:t>
                  </w:r>
                  <w:r w:rsidR="00C81703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- 1 balas;</w:t>
                  </w:r>
                </w:p>
                <w:p w14:paraId="44A698CD" w14:textId="3E2BC473" w:rsidR="00FA4F93" w:rsidRPr="00A80FB2" w:rsidRDefault="00FA4F93" w:rsidP="00181D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Mokant pameistrystės profesinio mokym</w:t>
                  </w:r>
                  <w:r w:rsidR="00A41052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o forma už kiekvieną</w:t>
                  </w:r>
                  <w:r w:rsidR="006815B5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81703" w:rsidRPr="00A80FB2">
                    <w:rPr>
                      <w:rFonts w:ascii="Times New Roman" w:hAnsi="Times New Roman"/>
                      <w:sz w:val="24"/>
                      <w:szCs w:val="24"/>
                    </w:rPr>
                    <w:t>suaugusį</w:t>
                  </w:r>
                  <w:r w:rsidR="00C81703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815B5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asmenį</w:t>
                  </w:r>
                  <w:r w:rsidR="006570F0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suteikiami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2 balai</w:t>
                  </w:r>
                  <w:r w:rsidR="007070F4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8C4F773" w14:textId="679D625B" w:rsidR="0074773C" w:rsidRPr="00A80FB2" w:rsidRDefault="0001175B" w:rsidP="00181D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Projektai suranguojami nuo daugiausiai </w:t>
                  </w:r>
                  <w:r w:rsidR="00C75AF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balų surinkusių</w:t>
                  </w:r>
                  <w:r w:rsidR="006410B7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projekt</w:t>
                  </w:r>
                  <w:r w:rsidR="006570F0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ų</w:t>
                  </w: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iki mažiausiai </w:t>
                  </w:r>
                  <w:r w:rsidR="00C75AF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balų</w:t>
                  </w:r>
                  <w:r w:rsidR="00C46159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C75AF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surinkusių</w:t>
                  </w:r>
                  <w:r w:rsidR="006410B7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projekt</w:t>
                  </w:r>
                  <w:r w:rsidR="006570F0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ų</w:t>
                  </w:r>
                  <w:r w:rsidR="006410B7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14:paraId="5E93DFF7" w14:textId="07A85A3B" w:rsidR="0001175B" w:rsidRPr="00A80FB2" w:rsidRDefault="00C75AFE" w:rsidP="00237C3C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Daugiausiai balų surinkę projektai </w:t>
                  </w:r>
                  <w:r w:rsidR="0001175B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10 procentų (apvalinama iki sveiko skaičiaus, gavus rezultatą su skaičiumi „5“ po kablelio, apvalinama iki didesnio sveiko skaičiaus)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gauna</w:t>
                  </w:r>
                  <w:r w:rsidR="0001175B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D95E09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40</w:t>
                  </w:r>
                  <w:r w:rsidR="0001175B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balų. Į kiekvieną kitą 10 procentų intervalą patenkantys mažiau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balų surinkę</w:t>
                  </w:r>
                  <w:r w:rsidR="00C46159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C46159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projektai vertinami suteikiant 3</w:t>
                  </w:r>
                  <w:r w:rsidR="0001175B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balais mažesnį balą. Jei daugiau nei 10 procentų projektų konkurse dalyvauja su</w:t>
                  </w:r>
                  <w:r w:rsidR="00C46159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vienodu</w:t>
                  </w:r>
                  <w:r w:rsidR="0001175B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balų</w:t>
                  </w:r>
                  <w:r w:rsidR="0001175B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skaičiumi, visiems šio intervalo projektams skiriamas vienodas maksimalus šio intervalo balas.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A03DF5E" w14:textId="30B14D28" w:rsidR="00D218BC" w:rsidRPr="00A80FB2" w:rsidRDefault="00D95E09" w:rsidP="00D95E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40</w:t>
                  </w:r>
                </w:p>
              </w:tc>
              <w:tc>
                <w:tcPr>
                  <w:tcW w:w="1701" w:type="dxa"/>
                </w:tcPr>
                <w:p w14:paraId="319D14C8" w14:textId="77777777" w:rsidR="00D218BC" w:rsidRPr="00A80FB2" w:rsidRDefault="00D218BC" w:rsidP="00EF1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14:paraId="72330B41" w14:textId="77777777" w:rsidR="00D218BC" w:rsidRPr="00A80FB2" w:rsidRDefault="00D218BC" w:rsidP="00EF1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41498" w:rsidRPr="00A80FB2" w14:paraId="70BA50B5" w14:textId="77777777" w:rsidTr="004B20F4">
              <w:tc>
                <w:tcPr>
                  <w:tcW w:w="3181" w:type="dxa"/>
                  <w:shd w:val="clear" w:color="auto" w:fill="auto"/>
                </w:tcPr>
                <w:p w14:paraId="3EF540B6" w14:textId="77777777" w:rsidR="00741498" w:rsidRDefault="00D218BC" w:rsidP="00296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2</w:t>
                  </w:r>
                  <w:r w:rsidR="00741498" w:rsidRPr="00A80FB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 xml:space="preserve">. </w:t>
                  </w:r>
                  <w:r w:rsidR="00741498"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Planuojamų mokyti pagal formaliojo švietimo programas suaugusių </w:t>
                  </w:r>
                  <w:r w:rsidR="00C81703"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asmenų </w:t>
                  </w:r>
                  <w:r w:rsidR="00741498"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skaičius</w:t>
                  </w:r>
                </w:p>
                <w:p w14:paraId="67DDE23D" w14:textId="7121B61A" w:rsidR="00FD1B96" w:rsidRPr="00A80FB2" w:rsidRDefault="00FD1B96" w:rsidP="00296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FCEE884" w14:textId="3D4939E8" w:rsidR="00741498" w:rsidRPr="00A80FB2" w:rsidRDefault="00741498" w:rsidP="00181D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Didesnį balą gauna projektai, kurių pareiškėjai ir (ar) partneriai įsipareigoja pagal formaliojo švietimo programas mokyti didesnį suaugusių</w:t>
                  </w:r>
                  <w:r w:rsidR="00C81703"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asmenų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nebaigusių bendrojo ugdymo programos ir norinčių ją baigti (atskirai arba kartu su profesine kvalifikacija), skaičių.</w:t>
                  </w:r>
                </w:p>
                <w:p w14:paraId="6A848FE1" w14:textId="2310FB3A" w:rsidR="00741498" w:rsidRPr="00A80FB2" w:rsidRDefault="00741498" w:rsidP="00181D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lastRenderedPageBreak/>
                    <w:t xml:space="preserve">Projektai suranguojami nuo daugiausiai suaugusių </w:t>
                  </w:r>
                  <w:r w:rsidR="00C81703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asmenų </w:t>
                  </w: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įsipareig</w:t>
                  </w:r>
                  <w:r w:rsidR="00FA52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ojusiųjų </w:t>
                  </w: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mokyti pagal formaliojo švietimo programas projekt</w:t>
                  </w:r>
                  <w:r w:rsidR="00FE27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ų </w:t>
                  </w: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iki mažiausiai suaugusių </w:t>
                  </w:r>
                  <w:r w:rsidR="00C81703"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asmenų </w:t>
                  </w: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įsipareigoj</w:t>
                  </w:r>
                  <w:r w:rsidR="00FA52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usiųjų </w:t>
                  </w: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mokyti pagal formaliojo švietimo programas projekt</w:t>
                  </w:r>
                  <w:r w:rsidR="00FE27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ų</w:t>
                  </w:r>
                  <w:r w:rsidRPr="00A80FB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.</w:t>
                  </w: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463D1D78" w14:textId="4D1AEFEA" w:rsidR="00741498" w:rsidRPr="00A80FB2" w:rsidRDefault="00741498" w:rsidP="00D95E09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procentų (apvalinama iki sveiko skaičiaus, gavus rezultatą su skaičiumi „5“ po kablelio, apvalinama iki didesnio sveiko skaičiaus) daugiausiai suaugusių</w:t>
                  </w:r>
                  <w:r w:rsidR="00C81703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asmenų</w:t>
                  </w:r>
                  <w:r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įsipareigoję mokyti pagal formaliojo švietimo programas</w:t>
                  </w:r>
                  <w:r w:rsidRPr="00A80F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projektai vertinami </w:t>
                  </w:r>
                  <w:r w:rsidR="00D95E09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30 </w:t>
                  </w:r>
                  <w:r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balų. Į kiekvieną kitą 10 procentų intervalą patenkantys mažiau suaugusių</w:t>
                  </w:r>
                  <w:r w:rsidR="00C81703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asmenų</w:t>
                  </w:r>
                  <w:r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įsipareigoję mokyti pagal formaliojo švietimo programas projektai vertinami suteikiant </w:t>
                  </w:r>
                  <w:r w:rsidR="006410B7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balais mažesnį balą. Jei daugiau nei 10 procentų projektų konkurse dalyvauja su </w:t>
                  </w:r>
                  <w:r w:rsidR="0074773C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vienodu </w:t>
                  </w:r>
                  <w:r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suaugusių</w:t>
                  </w:r>
                  <w:r w:rsidR="00C81703"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asmenų</w:t>
                  </w:r>
                  <w:r w:rsidRPr="00A80FB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skaičiumi, visiems šio intervalo projektams skiriamas vienodas maksimalus šio intervalo balas.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1A0603B" w14:textId="1CE9C9F4" w:rsidR="00741498" w:rsidRPr="00A80FB2" w:rsidRDefault="00D95E09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lastRenderedPageBreak/>
                    <w:t>30</w:t>
                  </w:r>
                </w:p>
              </w:tc>
              <w:tc>
                <w:tcPr>
                  <w:tcW w:w="1701" w:type="dxa"/>
                </w:tcPr>
                <w:p w14:paraId="4758C89D" w14:textId="77777777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14:paraId="28E19267" w14:textId="77777777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41498" w:rsidRPr="00A80FB2" w14:paraId="53A2AAA0" w14:textId="77777777" w:rsidTr="004B20F4">
              <w:tc>
                <w:tcPr>
                  <w:tcW w:w="3181" w:type="dxa"/>
                  <w:shd w:val="clear" w:color="auto" w:fill="auto"/>
                </w:tcPr>
                <w:p w14:paraId="53D5686F" w14:textId="1D72B130" w:rsidR="00741498" w:rsidRPr="00A80FB2" w:rsidRDefault="00741498" w:rsidP="00296D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3. </w:t>
                  </w:r>
                  <w:r w:rsidRPr="00A80FB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Projekto veiklos orientuotos  į suaugusių</w:t>
                  </w:r>
                  <w:r w:rsidR="00C81703" w:rsidRPr="00A80FB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asmenų</w:t>
                  </w:r>
                  <w:r w:rsidRPr="00A80FB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 turinčių žemesnį išsilavinimą, pritraukimą mokytis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3E9EA175" w14:textId="5404355C" w:rsidR="00BD6A3B" w:rsidRPr="00A80FB2" w:rsidRDefault="00741498" w:rsidP="00181D39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0FB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Didesnį balą gauna projektai, kuriuose planuojama mokyti žemesnį išsilavinimą turinčius suaugusiu</w:t>
                  </w:r>
                  <w:r w:rsidR="006570F0" w:rsidRPr="00A80FB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 asmenis</w:t>
                  </w:r>
                  <w:r w:rsidRPr="00A80FB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(pavyzdžiui,</w:t>
                  </w: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projektas, kurio veiklose numatytas </w:t>
                  </w:r>
                  <w:r w:rsidR="006570F0" w:rsidRPr="00A80FB2">
                    <w:rPr>
                      <w:rFonts w:ascii="Times New Roman" w:hAnsi="Times New Roman"/>
                      <w:sz w:val="24"/>
                      <w:szCs w:val="24"/>
                    </w:rPr>
                    <w:t xml:space="preserve">suaugusių </w:t>
                  </w: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>asmenų mokymas pagal pagrindinio ugdymo programą (nuo 5 iki 10 klasės) gauna didesnį balą, nei projektas, kurio veiklose numatytas asmenų mokymas pagal vidurinio ugdymo programą (nuo 11 iki 12 klasės).</w:t>
                  </w:r>
                </w:p>
                <w:p w14:paraId="5604EE4B" w14:textId="77777777" w:rsidR="00D35345" w:rsidRDefault="006815B5" w:rsidP="00181D39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>Mokant pagal pradinio ugdymo programą</w:t>
                  </w:r>
                  <w:r w:rsidR="00EF02DE" w:rsidRPr="00A80FB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1F17C2" w:rsidRPr="00A80FB2">
                    <w:rPr>
                      <w:rFonts w:ascii="Times New Roman" w:hAnsi="Times New Roman"/>
                      <w:sz w:val="24"/>
                      <w:szCs w:val="24"/>
                    </w:rPr>
                    <w:t xml:space="preserve">nuo 1 iki </w:t>
                  </w: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>4 klasės)</w:t>
                  </w:r>
                  <w:r w:rsidR="00D35345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7E846EF6" w14:textId="1864F76A" w:rsidR="00D35345" w:rsidRDefault="00D35345" w:rsidP="00525E9A">
                  <w:pPr>
                    <w:pStyle w:val="Komentaroteksta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Kai apmok</w:t>
                  </w:r>
                  <w:r w:rsidR="0026159D">
                    <w:rPr>
                      <w:rFonts w:ascii="Times New Roman" w:hAnsi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 nuo 1-10 suaugusių asmenų – 5 balai;</w:t>
                  </w:r>
                </w:p>
                <w:p w14:paraId="11759EB7" w14:textId="74746596" w:rsidR="00D35345" w:rsidRDefault="00D35345" w:rsidP="00525E9A">
                  <w:pPr>
                    <w:pStyle w:val="Komentaroteksta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Kai apmok</w:t>
                  </w:r>
                  <w:r w:rsidR="0026159D">
                    <w:rPr>
                      <w:rFonts w:ascii="Times New Roman" w:hAnsi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 nuo 11-20 suaugusių asmenų – 10 balų;</w:t>
                  </w:r>
                </w:p>
                <w:p w14:paraId="524274A6" w14:textId="306A21A8" w:rsidR="00D35345" w:rsidRDefault="00D35345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Kai apmok</w:t>
                  </w:r>
                  <w:r w:rsidR="0026159D">
                    <w:rPr>
                      <w:rFonts w:ascii="Times New Roman" w:hAnsi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 daugiau nei 20 suaugusių asmenų – 15 balų.</w:t>
                  </w:r>
                </w:p>
                <w:p w14:paraId="538C6190" w14:textId="3560396F" w:rsidR="00D35345" w:rsidRDefault="006815B5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>Mokant pagal pagrindinio ugdymo programą (</w:t>
                  </w:r>
                  <w:r w:rsidR="001F17C2" w:rsidRPr="00A80FB2">
                    <w:rPr>
                      <w:rFonts w:ascii="Times New Roman" w:hAnsi="Times New Roman"/>
                      <w:sz w:val="24"/>
                      <w:szCs w:val="24"/>
                    </w:rPr>
                    <w:t>nuo 5 iki</w:t>
                  </w:r>
                  <w:r w:rsidR="00EF02DE" w:rsidRPr="00A80FB2">
                    <w:rPr>
                      <w:rFonts w:ascii="Times New Roman" w:hAnsi="Times New Roman"/>
                      <w:sz w:val="24"/>
                      <w:szCs w:val="24"/>
                    </w:rPr>
                    <w:t xml:space="preserve"> 10 (I – II </w:t>
                  </w: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>gimnazijos) klasės)</w:t>
                  </w:r>
                  <w:r w:rsidR="00D35345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3484ADBC" w14:textId="7299EEBD" w:rsidR="00D35345" w:rsidRDefault="00D35345" w:rsidP="00525E9A">
                  <w:pPr>
                    <w:pStyle w:val="Komentaroteksta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Kai apmok</w:t>
                  </w:r>
                  <w:r w:rsidR="0026159D">
                    <w:rPr>
                      <w:rFonts w:ascii="Times New Roman" w:hAnsi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 nuo 1-10 suaugusių asmenų – 5 balai;</w:t>
                  </w:r>
                </w:p>
                <w:p w14:paraId="6109C210" w14:textId="1668B828" w:rsidR="00D35345" w:rsidRDefault="00D35345" w:rsidP="00525E9A">
                  <w:pPr>
                    <w:pStyle w:val="Komentaroteksta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Kai apmok</w:t>
                  </w:r>
                  <w:r w:rsidR="0026159D">
                    <w:rPr>
                      <w:rFonts w:ascii="Times New Roman" w:hAnsi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 nuo 11-20 suaugusių asmenų – 7 balai;</w:t>
                  </w:r>
                </w:p>
                <w:p w14:paraId="023BE324" w14:textId="4A6D94CC" w:rsidR="00D35345" w:rsidRDefault="00D35345" w:rsidP="00525E9A">
                  <w:pPr>
                    <w:pStyle w:val="Komentaroteksta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Kai apmok</w:t>
                  </w:r>
                  <w:r w:rsidR="0026159D">
                    <w:rPr>
                      <w:rFonts w:ascii="Times New Roman" w:hAnsi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 daugiau nei 20 suaugusių asmenų – 10 balų.</w:t>
                  </w:r>
                </w:p>
                <w:p w14:paraId="28916F34" w14:textId="5083ACE0" w:rsidR="00BD6A3B" w:rsidRDefault="006815B5" w:rsidP="00525E9A">
                  <w:pPr>
                    <w:pStyle w:val="Komentaroteksta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>Mokant pagal vidurinio ugdymo programą</w:t>
                  </w:r>
                  <w:r w:rsidR="00EF02DE" w:rsidRPr="00A80FB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="001F17C2" w:rsidRPr="00A80FB2">
                    <w:rPr>
                      <w:rFonts w:ascii="Times New Roman" w:hAnsi="Times New Roman"/>
                      <w:sz w:val="24"/>
                      <w:szCs w:val="24"/>
                    </w:rPr>
                    <w:t>nuo 11 iki</w:t>
                  </w:r>
                  <w:r w:rsidR="003D1E77" w:rsidRPr="00A80FB2">
                    <w:rPr>
                      <w:rFonts w:ascii="Times New Roman" w:hAnsi="Times New Roman"/>
                      <w:sz w:val="24"/>
                      <w:szCs w:val="24"/>
                    </w:rPr>
                    <w:t xml:space="preserve"> 12 (III – IV gimnazijos) klasės</w:t>
                  </w:r>
                  <w:r w:rsidRPr="00A80FB2">
                    <w:rPr>
                      <w:rFonts w:ascii="Times New Roman" w:hAnsi="Times New Roman"/>
                      <w:sz w:val="24"/>
                      <w:szCs w:val="24"/>
                    </w:rPr>
                    <w:t xml:space="preserve">)) </w:t>
                  </w:r>
                </w:p>
                <w:p w14:paraId="5D2470DA" w14:textId="68F22DC6" w:rsidR="00D35345" w:rsidRDefault="00D35345" w:rsidP="00525E9A">
                  <w:pPr>
                    <w:pStyle w:val="Komentaroteksta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Kai apmok</w:t>
                  </w:r>
                  <w:r w:rsidR="0026159D">
                    <w:rPr>
                      <w:rFonts w:ascii="Times New Roman" w:hAnsi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 nuo 1-10 suaugusių asmenų –2 balai;</w:t>
                  </w:r>
                </w:p>
                <w:p w14:paraId="5A0A49B7" w14:textId="2DD2F2B3" w:rsidR="00D35345" w:rsidRDefault="00D35345" w:rsidP="00525E9A">
                  <w:pPr>
                    <w:pStyle w:val="Komentarotekstas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Kai apmok</w:t>
                  </w:r>
                  <w:r w:rsidR="0026159D">
                    <w:rPr>
                      <w:rFonts w:ascii="Times New Roman" w:hAnsi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 nuo 11-20 suaugusių asmenų – 3 balai;</w:t>
                  </w:r>
                </w:p>
                <w:p w14:paraId="55AFDF8C" w14:textId="10B59AD7" w:rsidR="00D35345" w:rsidRDefault="00D35345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Kai apmok</w:t>
                  </w:r>
                  <w:r w:rsidR="0026159D">
                    <w:rPr>
                      <w:rFonts w:ascii="Times New Roman" w:hAnsi="Times New Roman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 daugiau nei 20 suaugusių asmenų –5 balai.</w:t>
                  </w:r>
                </w:p>
                <w:p w14:paraId="0FF0CAB9" w14:textId="77777777" w:rsidR="00237C3C" w:rsidRDefault="00237C3C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71FCF9B" w14:textId="5D82A23B" w:rsidR="00D35345" w:rsidRDefault="00237C3C" w:rsidP="00181D39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Balai susumuojami pagal visas tris ugdymo programas, t.</w:t>
                  </w:r>
                  <w:r w:rsidR="00FE27D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y. pagal pradinio, pagrindinio ir vidurinio ugdymo programas. </w:t>
                  </w:r>
                </w:p>
                <w:p w14:paraId="60E08A4C" w14:textId="77777777" w:rsidR="001635D8" w:rsidRDefault="001635D8" w:rsidP="00181D39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D144BCE" w14:textId="5DCF960C" w:rsidR="005A34C4" w:rsidRPr="00A80FB2" w:rsidRDefault="001635D8" w:rsidP="00FE27D4">
                  <w:pPr>
                    <w:pStyle w:val="Paprastasistekstas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B9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PASTABA.</w:t>
                  </w:r>
                  <w:r w:rsidR="009305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Išsilavinimo prilyginimą reglamentuoja </w:t>
                  </w:r>
                  <w:r w:rsidR="00930537" w:rsidRPr="0027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2005 m. balandžio 20 d. </w:t>
                  </w:r>
                  <w:r w:rsidR="009305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Respublikos </w:t>
                  </w:r>
                  <w:r w:rsidR="00930537" w:rsidRPr="0027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švietimo ir mokslo ministro įsakymas </w:t>
                  </w:r>
                  <w:r w:rsidR="0093053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Nr. </w:t>
                  </w:r>
                  <w:r w:rsidR="00930537" w:rsidRPr="0027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ISAK-661 </w:t>
                  </w:r>
                  <w:r w:rsidR="009305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„</w:t>
                  </w:r>
                  <w:r w:rsidR="00930537" w:rsidRPr="002721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Dėl išsilavinimo prilyginimo</w:t>
                  </w:r>
                  <w:r w:rsidR="009305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93053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EAD03BD" w14:textId="4FF567FC" w:rsidR="00741498" w:rsidRPr="00A80FB2" w:rsidRDefault="00D95E09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lastRenderedPageBreak/>
                    <w:t>30</w:t>
                  </w:r>
                </w:p>
              </w:tc>
              <w:tc>
                <w:tcPr>
                  <w:tcW w:w="1701" w:type="dxa"/>
                </w:tcPr>
                <w:p w14:paraId="4851CAD0" w14:textId="77777777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14:paraId="53D9551A" w14:textId="77777777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41498" w:rsidRPr="00A80FB2" w14:paraId="3A5E05AD" w14:textId="77777777" w:rsidTr="004B20F4">
              <w:tc>
                <w:tcPr>
                  <w:tcW w:w="7859" w:type="dxa"/>
                  <w:gridSpan w:val="2"/>
                  <w:shd w:val="clear" w:color="auto" w:fill="auto"/>
                </w:tcPr>
                <w:p w14:paraId="22789059" w14:textId="163684FF" w:rsidR="00741498" w:rsidRPr="00A80FB2" w:rsidRDefault="00741498" w:rsidP="00B168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Suma</w:t>
                  </w: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: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646601B" w14:textId="77777777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14:paraId="65315511" w14:textId="77777777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auto" w:fill="D9D9D9"/>
                </w:tcPr>
                <w:p w14:paraId="6EEAA237" w14:textId="77777777" w:rsidR="00741498" w:rsidRPr="00A80FB2" w:rsidRDefault="00741498" w:rsidP="00B168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4B20F4" w:rsidRPr="00A80FB2" w14:paraId="7B41105B" w14:textId="77777777" w:rsidTr="00EF1212">
              <w:tc>
                <w:tcPr>
                  <w:tcW w:w="7859" w:type="dxa"/>
                  <w:gridSpan w:val="2"/>
                  <w:shd w:val="clear" w:color="auto" w:fill="auto"/>
                </w:tcPr>
                <w:p w14:paraId="610E9A0B" w14:textId="77777777" w:rsidR="004B20F4" w:rsidRPr="00A80FB2" w:rsidRDefault="004B20F4" w:rsidP="004B2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  <w:t>Minimali privaloma surinkti balų suma: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83886BE" w14:textId="4CAD59E7" w:rsidR="004B20F4" w:rsidRPr="00A80FB2" w:rsidRDefault="009D4269" w:rsidP="004B2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eastAsia="en-US"/>
                    </w:rPr>
                  </w:pPr>
                  <w:r w:rsidRPr="00A80FB2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eastAsia="en-US"/>
                    </w:rPr>
                    <w:t>45</w:t>
                  </w:r>
                </w:p>
              </w:tc>
              <w:tc>
                <w:tcPr>
                  <w:tcW w:w="1701" w:type="dxa"/>
                </w:tcPr>
                <w:p w14:paraId="7B95EC54" w14:textId="77777777" w:rsidR="004B20F4" w:rsidRPr="00A80FB2" w:rsidRDefault="004B20F4" w:rsidP="004B2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1985364" w14:textId="77777777" w:rsidR="004B20F4" w:rsidRPr="00A80FB2" w:rsidRDefault="004B20F4" w:rsidP="004B2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eastAsia="en-US"/>
                    </w:rPr>
                  </w:pPr>
                </w:p>
              </w:tc>
              <w:tc>
                <w:tcPr>
                  <w:tcW w:w="2599" w:type="dxa"/>
                  <w:shd w:val="clear" w:color="auto" w:fill="D9D9D9"/>
                </w:tcPr>
                <w:p w14:paraId="0BC40D5B" w14:textId="77777777" w:rsidR="004B20F4" w:rsidRPr="00A80FB2" w:rsidRDefault="004B20F4" w:rsidP="004B2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eastAsia="en-US"/>
                    </w:rPr>
                  </w:pPr>
                </w:p>
              </w:tc>
            </w:tr>
          </w:tbl>
          <w:p w14:paraId="440C94B1" w14:textId="77777777" w:rsidR="00B168CA" w:rsidRPr="00A80FB2" w:rsidRDefault="00B168CA" w:rsidP="00B168C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</w:p>
          <w:p w14:paraId="31B111C9" w14:textId="77777777" w:rsidR="00B168CA" w:rsidRPr="00A80FB2" w:rsidRDefault="00B168CA" w:rsidP="00B168C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  <w:r w:rsidRPr="00A80F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31129ED" w14:textId="77777777" w:rsidR="00B168CA" w:rsidRPr="00A80FB2" w:rsidRDefault="00B168CA" w:rsidP="00B168CA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4824EA1" w14:textId="77777777" w:rsidR="00B168CA" w:rsidRPr="00A80FB2" w:rsidRDefault="00B168CA" w:rsidP="00B168C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F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                                     ______________________</w:t>
      </w:r>
      <w:r w:rsidRPr="00A80F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___________________________</w:t>
      </w:r>
    </w:p>
    <w:p w14:paraId="160F2EB0" w14:textId="77777777" w:rsidR="00B168CA" w:rsidRPr="00A80FB2" w:rsidRDefault="00B168CA" w:rsidP="00B168CA">
      <w:pPr>
        <w:tabs>
          <w:tab w:val="center" w:pos="108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F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(paraiškos vertinimą atlikusios institucijos atsakingo </w:t>
      </w:r>
    </w:p>
    <w:p w14:paraId="5F7ED241" w14:textId="77777777" w:rsidR="00B168CA" w:rsidRPr="00A80FB2" w:rsidRDefault="00B168CA" w:rsidP="00B168CA">
      <w:pPr>
        <w:tabs>
          <w:tab w:val="center" w:pos="10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F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asmens pareigų pavadinimas)                                                                     (data) </w:t>
      </w:r>
      <w:r w:rsidRPr="00A80FB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(vardas ir pavardė, parašas</w:t>
      </w:r>
      <w:r w:rsidRPr="00A80F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*</w:t>
      </w:r>
      <w:r w:rsidRPr="00A80FB2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14:paraId="1F54E9EC" w14:textId="77777777" w:rsidR="00B168CA" w:rsidRPr="00A80FB2" w:rsidRDefault="00B168CA" w:rsidP="00B168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79EC234" w14:textId="77777777" w:rsidR="00B168CA" w:rsidRPr="00B168CA" w:rsidRDefault="00B168CA" w:rsidP="00B168C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A80FB2">
        <w:rPr>
          <w:rFonts w:ascii="Times New Roman" w:eastAsia="Times New Roman" w:hAnsi="Times New Roman" w:cs="Times New Roman"/>
          <w:sz w:val="18"/>
          <w:szCs w:val="18"/>
          <w:lang w:val="en-US" w:eastAsia="en-US"/>
        </w:rPr>
        <w:t xml:space="preserve">* </w:t>
      </w:r>
      <w:r w:rsidRPr="00A80FB2">
        <w:rPr>
          <w:rFonts w:ascii="Times New Roman" w:eastAsia="Times New Roman" w:hAnsi="Times New Roman" w:cs="Times New Roman"/>
          <w:sz w:val="18"/>
          <w:szCs w:val="18"/>
          <w:lang w:eastAsia="en-US"/>
        </w:rPr>
        <w:t>Jei pildoma popierinė versija</w:t>
      </w:r>
    </w:p>
    <w:p w14:paraId="408CF299" w14:textId="77777777" w:rsidR="00B168CA" w:rsidRDefault="00B168CA" w:rsidP="00B168CA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3A9C6" w14:textId="77969A2E" w:rsidR="00FE27D4" w:rsidRDefault="00FE27D4" w:rsidP="00B168CA">
      <w:pPr>
        <w:jc w:val="right"/>
      </w:pPr>
    </w:p>
    <w:p w14:paraId="6BF3DC30" w14:textId="77777777" w:rsidR="00FE27D4" w:rsidRPr="00FE27D4" w:rsidRDefault="00FE27D4" w:rsidP="00FE27D4"/>
    <w:p w14:paraId="5C609F78" w14:textId="77777777" w:rsidR="00FE27D4" w:rsidRPr="00FE27D4" w:rsidRDefault="00FE27D4" w:rsidP="00FE27D4"/>
    <w:p w14:paraId="07204CA6" w14:textId="77777777" w:rsidR="00FE27D4" w:rsidRPr="00FE27D4" w:rsidRDefault="00FE27D4" w:rsidP="00FE27D4"/>
    <w:p w14:paraId="2D6073C0" w14:textId="77777777" w:rsidR="00FE27D4" w:rsidRPr="00FE27D4" w:rsidRDefault="00FE27D4" w:rsidP="00FE27D4"/>
    <w:p w14:paraId="46642439" w14:textId="77777777" w:rsidR="00FE27D4" w:rsidRPr="00FE27D4" w:rsidRDefault="00FE27D4" w:rsidP="00FE27D4"/>
    <w:p w14:paraId="67A5D45D" w14:textId="0ACE6A9D" w:rsidR="000A7C9E" w:rsidRPr="00FE27D4" w:rsidRDefault="00FE27D4" w:rsidP="00FE27D4">
      <w:pPr>
        <w:jc w:val="center"/>
      </w:pPr>
      <w:r>
        <w:t>________________________________________________</w:t>
      </w:r>
    </w:p>
    <w:sectPr w:rsidR="000A7C9E" w:rsidRPr="00FE27D4" w:rsidSect="00FE27D4">
      <w:headerReference w:type="default" r:id="rId8"/>
      <w:pgSz w:w="16838" w:h="11906" w:orient="landscape"/>
      <w:pgMar w:top="1134" w:right="1134" w:bottom="1134" w:left="1134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E2EBAE" w16cid:durableId="1CF61AB4"/>
  <w16cid:commentId w16cid:paraId="6CDE737A" w16cid:durableId="1D0E0171"/>
  <w16cid:commentId w16cid:paraId="54AC4DBC" w16cid:durableId="1CF61922"/>
  <w16cid:commentId w16cid:paraId="0D8E9ADB" w16cid:durableId="1D0E035E"/>
  <w16cid:commentId w16cid:paraId="492189FA" w16cid:durableId="1CF619DB"/>
  <w16cid:commentId w16cid:paraId="1E799AF1" w16cid:durableId="1D0E0323"/>
  <w16cid:commentId w16cid:paraId="3F3F6049" w16cid:durableId="1CF60589"/>
  <w16cid:commentId w16cid:paraId="7D54B84E" w16cid:durableId="1CF6058A"/>
  <w16cid:commentId w16cid:paraId="65C04699" w16cid:durableId="1D0E03E3"/>
  <w16cid:commentId w16cid:paraId="4280C4BD" w16cid:durableId="1CF6058B"/>
  <w16cid:commentId w16cid:paraId="2A525974" w16cid:durableId="1D0E05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D7839" w14:textId="77777777" w:rsidR="008123A5" w:rsidRDefault="008123A5" w:rsidP="00FE27D4">
      <w:pPr>
        <w:spacing w:after="0" w:line="240" w:lineRule="auto"/>
      </w:pPr>
      <w:r>
        <w:separator/>
      </w:r>
    </w:p>
  </w:endnote>
  <w:endnote w:type="continuationSeparator" w:id="0">
    <w:p w14:paraId="45538B3A" w14:textId="77777777" w:rsidR="008123A5" w:rsidRDefault="008123A5" w:rsidP="00FE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D8153" w14:textId="77777777" w:rsidR="008123A5" w:rsidRDefault="008123A5" w:rsidP="00FE27D4">
      <w:pPr>
        <w:spacing w:after="0" w:line="240" w:lineRule="auto"/>
      </w:pPr>
      <w:r>
        <w:separator/>
      </w:r>
    </w:p>
  </w:footnote>
  <w:footnote w:type="continuationSeparator" w:id="0">
    <w:p w14:paraId="2D8D529B" w14:textId="77777777" w:rsidR="008123A5" w:rsidRDefault="008123A5" w:rsidP="00FE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620894"/>
      <w:docPartObj>
        <w:docPartGallery w:val="Page Numbers (Top of Page)"/>
        <w:docPartUnique/>
      </w:docPartObj>
    </w:sdtPr>
    <w:sdtContent>
      <w:p w14:paraId="77F3CA56" w14:textId="29DD2E18" w:rsidR="00FE27D4" w:rsidRDefault="00FE27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B3F">
          <w:rPr>
            <w:noProof/>
          </w:rPr>
          <w:t>5</w:t>
        </w:r>
        <w:r>
          <w:fldChar w:fldCharType="end"/>
        </w:r>
      </w:p>
    </w:sdtContent>
  </w:sdt>
  <w:p w14:paraId="61BDA854" w14:textId="77777777" w:rsidR="00FE27D4" w:rsidRDefault="00FE27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171C1"/>
    <w:multiLevelType w:val="hybridMultilevel"/>
    <w:tmpl w:val="FDA2E7CA"/>
    <w:lvl w:ilvl="0" w:tplc="0B2A9E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E6156"/>
    <w:multiLevelType w:val="hybridMultilevel"/>
    <w:tmpl w:val="B6D0D9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C32AD"/>
    <w:multiLevelType w:val="hybridMultilevel"/>
    <w:tmpl w:val="F73C8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4E1A"/>
    <w:multiLevelType w:val="hybridMultilevel"/>
    <w:tmpl w:val="6266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05E3C"/>
    <w:multiLevelType w:val="hybridMultilevel"/>
    <w:tmpl w:val="377E5C8E"/>
    <w:lvl w:ilvl="0" w:tplc="A4C0F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33ED5"/>
    <w:multiLevelType w:val="hybridMultilevel"/>
    <w:tmpl w:val="C03EC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CA"/>
    <w:rsid w:val="0001175B"/>
    <w:rsid w:val="000371F5"/>
    <w:rsid w:val="00077426"/>
    <w:rsid w:val="000A7C9E"/>
    <w:rsid w:val="000D421B"/>
    <w:rsid w:val="000F0FCB"/>
    <w:rsid w:val="000F178E"/>
    <w:rsid w:val="000F3879"/>
    <w:rsid w:val="00126BF6"/>
    <w:rsid w:val="001635D8"/>
    <w:rsid w:val="0017397E"/>
    <w:rsid w:val="00181D39"/>
    <w:rsid w:val="001B307E"/>
    <w:rsid w:val="001B6D28"/>
    <w:rsid w:val="001F17C2"/>
    <w:rsid w:val="00237C3C"/>
    <w:rsid w:val="002451EE"/>
    <w:rsid w:val="0026159D"/>
    <w:rsid w:val="00296D72"/>
    <w:rsid w:val="002B54C7"/>
    <w:rsid w:val="00300A8C"/>
    <w:rsid w:val="00341E09"/>
    <w:rsid w:val="003C57B3"/>
    <w:rsid w:val="003D1E77"/>
    <w:rsid w:val="0040005F"/>
    <w:rsid w:val="004278FC"/>
    <w:rsid w:val="00440832"/>
    <w:rsid w:val="00455831"/>
    <w:rsid w:val="00475023"/>
    <w:rsid w:val="004907EB"/>
    <w:rsid w:val="00490883"/>
    <w:rsid w:val="004B20F4"/>
    <w:rsid w:val="004D7BC8"/>
    <w:rsid w:val="004E753D"/>
    <w:rsid w:val="00525E9A"/>
    <w:rsid w:val="00574A8C"/>
    <w:rsid w:val="00585629"/>
    <w:rsid w:val="005A126D"/>
    <w:rsid w:val="005A1502"/>
    <w:rsid w:val="005A34C4"/>
    <w:rsid w:val="005B66DA"/>
    <w:rsid w:val="006138B6"/>
    <w:rsid w:val="006410B7"/>
    <w:rsid w:val="0065192F"/>
    <w:rsid w:val="006570F0"/>
    <w:rsid w:val="00676F14"/>
    <w:rsid w:val="006815B5"/>
    <w:rsid w:val="006A113C"/>
    <w:rsid w:val="006A1277"/>
    <w:rsid w:val="006B3DD3"/>
    <w:rsid w:val="006B691A"/>
    <w:rsid w:val="006F150A"/>
    <w:rsid w:val="007070F4"/>
    <w:rsid w:val="00741498"/>
    <w:rsid w:val="0074773C"/>
    <w:rsid w:val="00776D99"/>
    <w:rsid w:val="00796E74"/>
    <w:rsid w:val="007C16BF"/>
    <w:rsid w:val="007C22BB"/>
    <w:rsid w:val="008123A5"/>
    <w:rsid w:val="0081284C"/>
    <w:rsid w:val="00846541"/>
    <w:rsid w:val="00906AE8"/>
    <w:rsid w:val="009210D9"/>
    <w:rsid w:val="00930537"/>
    <w:rsid w:val="009348C5"/>
    <w:rsid w:val="00954205"/>
    <w:rsid w:val="009562A9"/>
    <w:rsid w:val="00961654"/>
    <w:rsid w:val="009B75D5"/>
    <w:rsid w:val="009D4269"/>
    <w:rsid w:val="009E7BCA"/>
    <w:rsid w:val="00A27891"/>
    <w:rsid w:val="00A318C9"/>
    <w:rsid w:val="00A41052"/>
    <w:rsid w:val="00A501AA"/>
    <w:rsid w:val="00A80FB2"/>
    <w:rsid w:val="00AA0AB1"/>
    <w:rsid w:val="00AA2D90"/>
    <w:rsid w:val="00AA3FDC"/>
    <w:rsid w:val="00AC1A5C"/>
    <w:rsid w:val="00B168CA"/>
    <w:rsid w:val="00B37F1F"/>
    <w:rsid w:val="00B86AF5"/>
    <w:rsid w:val="00BA30BC"/>
    <w:rsid w:val="00BA5350"/>
    <w:rsid w:val="00BD6A3B"/>
    <w:rsid w:val="00BF249A"/>
    <w:rsid w:val="00C052BB"/>
    <w:rsid w:val="00C1433C"/>
    <w:rsid w:val="00C21302"/>
    <w:rsid w:val="00C22B3F"/>
    <w:rsid w:val="00C46159"/>
    <w:rsid w:val="00C61EA1"/>
    <w:rsid w:val="00C75AFE"/>
    <w:rsid w:val="00C81703"/>
    <w:rsid w:val="00C92106"/>
    <w:rsid w:val="00CA2BA4"/>
    <w:rsid w:val="00CB6D7E"/>
    <w:rsid w:val="00CC3335"/>
    <w:rsid w:val="00CE7893"/>
    <w:rsid w:val="00D01AB7"/>
    <w:rsid w:val="00D0517E"/>
    <w:rsid w:val="00D218BC"/>
    <w:rsid w:val="00D35345"/>
    <w:rsid w:val="00D52B34"/>
    <w:rsid w:val="00D95E09"/>
    <w:rsid w:val="00D97DD8"/>
    <w:rsid w:val="00DA3475"/>
    <w:rsid w:val="00DD4CCC"/>
    <w:rsid w:val="00DF0503"/>
    <w:rsid w:val="00E5315C"/>
    <w:rsid w:val="00EA2F35"/>
    <w:rsid w:val="00EA46BF"/>
    <w:rsid w:val="00ED1372"/>
    <w:rsid w:val="00EF02DE"/>
    <w:rsid w:val="00EF1212"/>
    <w:rsid w:val="00F045F6"/>
    <w:rsid w:val="00F21699"/>
    <w:rsid w:val="00F80189"/>
    <w:rsid w:val="00F92067"/>
    <w:rsid w:val="00FA4F93"/>
    <w:rsid w:val="00FA5200"/>
    <w:rsid w:val="00FB4E13"/>
    <w:rsid w:val="00FD1B96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2EEE"/>
  <w15:chartTrackingRefBased/>
  <w15:docId w15:val="{6FBEA808-2345-4710-BEBD-31F21485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06A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6A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6A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6A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6A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6AE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A126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D97DD8"/>
  </w:style>
  <w:style w:type="paragraph" w:styleId="Paprastasistekstas">
    <w:name w:val="Plain Text"/>
    <w:basedOn w:val="prastasis"/>
    <w:link w:val="PaprastasistekstasDiagrama"/>
    <w:uiPriority w:val="99"/>
    <w:unhideWhenUsed/>
    <w:rsid w:val="001635D8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635D8"/>
    <w:rPr>
      <w:rFonts w:ascii="Calibri" w:hAnsi="Calibri"/>
      <w:szCs w:val="21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E2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27D4"/>
  </w:style>
  <w:style w:type="paragraph" w:styleId="Porat">
    <w:name w:val="footer"/>
    <w:basedOn w:val="prastasis"/>
    <w:link w:val="PoratDiagrama"/>
    <w:uiPriority w:val="99"/>
    <w:unhideWhenUsed/>
    <w:rsid w:val="00FE2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EFDC-8F83-4FCD-B3DE-33788E29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3459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Banuškevičiūtė Giedrė</dc:creator>
  <cp:keywords/>
  <dc:description/>
  <cp:lastModifiedBy>Kuodytė Kazielienė Rasa</cp:lastModifiedBy>
  <cp:revision>2</cp:revision>
  <cp:lastPrinted>2017-08-22T11:16:00Z</cp:lastPrinted>
  <dcterms:created xsi:type="dcterms:W3CDTF">2017-08-22T11:46:00Z</dcterms:created>
  <dcterms:modified xsi:type="dcterms:W3CDTF">2017-08-22T11:46:00Z</dcterms:modified>
</cp:coreProperties>
</file>