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655B4F" w14:paraId="6635866F" w14:textId="77777777" w:rsidTr="00D90F0B">
        <w:tc>
          <w:tcPr>
            <w:tcW w:w="9354" w:type="dxa"/>
          </w:tcPr>
          <w:p w14:paraId="6AD771CC" w14:textId="2266B1F7" w:rsidR="000E78ED" w:rsidRPr="00655B4F" w:rsidRDefault="006C2179" w:rsidP="008D4C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1D1254"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7-0</w:t>
            </w:r>
            <w:r w:rsidR="008D4C6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D5068"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D4C6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0E78ED" w:rsidRPr="00655B4F" w14:paraId="5222D071" w14:textId="77777777" w:rsidTr="00D90F0B">
        <w:tc>
          <w:tcPr>
            <w:tcW w:w="9354" w:type="dxa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655B4F" w14:paraId="21E990B5" w14:textId="77777777" w:rsidTr="00885EDF">
              <w:trPr>
                <w:trHeight w:val="3557"/>
              </w:trPr>
              <w:tc>
                <w:tcPr>
                  <w:tcW w:w="9351" w:type="dxa"/>
                  <w:gridSpan w:val="2"/>
                  <w:vAlign w:val="center"/>
                </w:tcPr>
                <w:p w14:paraId="2E733CBF" w14:textId="77777777" w:rsidR="000E78ED" w:rsidRPr="00655B4F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15EE3EDC" w14:textId="77777777" w:rsidR="000E78ED" w:rsidRPr="00655B4F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i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CE9585A" wp14:editId="5EEF3E46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EE3EBB" w14:textId="77777777" w:rsidR="00D0100B" w:rsidRPr="00655B4F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C9A" w:rsidRPr="00655B4F" w14:paraId="39951DC8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18E09C9F" w14:textId="39C34191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Kvietimas teikti paraiškas finansuoti projektus pagal priemonę</w:t>
                  </w:r>
                </w:p>
                <w:p w14:paraId="5D5B207A" w14:textId="0D7E066E" w:rsidR="00956C9A" w:rsidRDefault="008D4C6D" w:rsidP="008D4C6D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04.3.2-</w:t>
                  </w:r>
                  <w:r w:rsidR="001366D2"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LVPA-K</w:t>
                  </w:r>
                  <w:r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-102 „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Š</w:t>
                  </w:r>
                  <w:r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ilumos tiekimo tinklų modernizavimas ir plėtra“ </w:t>
                  </w:r>
                </w:p>
                <w:p w14:paraId="63406CA7" w14:textId="468264C7" w:rsidR="00C8733B" w:rsidRPr="00655B4F" w:rsidRDefault="00C8733B" w:rsidP="008A0D48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="008A0D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956C9A" w:rsidRPr="00655B4F" w14:paraId="439EF116" w14:textId="77777777" w:rsidTr="000621D0">
              <w:tc>
                <w:tcPr>
                  <w:tcW w:w="9351" w:type="dxa"/>
                  <w:gridSpan w:val="2"/>
                </w:tcPr>
                <w:p w14:paraId="24782AFD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E4C76B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A456B4" w14:textId="254754C9" w:rsidR="00956C9A" w:rsidRPr="00655B4F" w:rsidRDefault="00956C9A" w:rsidP="001366D2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Lietuvos Respublikos 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>energetikos</w:t>
                  </w: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ministerija ir viešoji įstaiga Lietuvos verslo paramos agentūra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 xml:space="preserve"> (toliau – LVPA)</w:t>
                  </w: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kviečia teikti paraiškas finansuoti projektus pagal 2014–2020 m. Europos Sąjungos fondų investicijų veiksmų programos priemonę </w:t>
                  </w:r>
                  <w:r w:rsidR="001366D2" w:rsidRPr="001366D2">
                    <w:rPr>
                      <w:rFonts w:ascii="Times New Roman" w:hAnsi="Times New Roman"/>
                      <w:sz w:val="24"/>
                      <w:szCs w:val="24"/>
                    </w:rPr>
                    <w:t>04.3.2-LVPA-K-102 priemonės „Šilumos tiekimo tinklų modernizavimas ir plėtra“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56C9A" w:rsidRPr="00655B4F" w14:paraId="1377301B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4393AD96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26021DC4" w14:textId="77777777" w:rsidTr="000621D0">
              <w:tc>
                <w:tcPr>
                  <w:tcW w:w="9351" w:type="dxa"/>
                  <w:gridSpan w:val="2"/>
                </w:tcPr>
                <w:p w14:paraId="06773392" w14:textId="30191FC6" w:rsidR="00956C9A" w:rsidRPr="00655B4F" w:rsidRDefault="00956C9A" w:rsidP="00956C9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C9A" w:rsidRPr="00655B4F" w14:paraId="4389043C" w14:textId="77777777" w:rsidTr="008D7D57">
              <w:trPr>
                <w:trHeight w:val="305"/>
              </w:trPr>
              <w:tc>
                <w:tcPr>
                  <w:tcW w:w="9351" w:type="dxa"/>
                  <w:gridSpan w:val="2"/>
                </w:tcPr>
                <w:p w14:paraId="3A3CA4BF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3EB6D8D1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44B42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 tikslas:</w:t>
                  </w:r>
                </w:p>
                <w:p w14:paraId="5A781E88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2FB10" w14:textId="0EAFA0F8" w:rsidR="008D7D57" w:rsidRPr="008D7D57" w:rsidRDefault="008D7D57" w:rsidP="008D7D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7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Didinti šilumos perdavimo efektyvumą bei paskatinti didesnį atsinaujinančių energijos išteklių naudojimą šilumos ūkio sektoriuje.</w:t>
                  </w:r>
                </w:p>
                <w:p w14:paraId="00685CA5" w14:textId="77777777" w:rsidR="008D7D57" w:rsidRPr="00655B4F" w:rsidRDefault="008D7D57" w:rsidP="008D7D57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5C11E0BE" w14:textId="77777777" w:rsidTr="00577B34">
              <w:trPr>
                <w:trHeight w:val="2148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B095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Finansuojamos veiklos:</w:t>
                  </w:r>
                </w:p>
                <w:p w14:paraId="6D8B0025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8C1C" w14:textId="38072D53" w:rsidR="00956C9A" w:rsidRPr="00655B4F" w:rsidRDefault="008D7D57" w:rsidP="00956C9A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Š</w:t>
                  </w:r>
                  <w:r w:rsidRPr="004A4BAD">
                    <w:rPr>
                      <w:rFonts w:ascii="Times New Roman" w:hAnsi="Times New Roman"/>
                    </w:rPr>
                    <w:t>ilumos tiekimo tinklų modernizavimas, didinant šilumos tiekimo patikimumą ir mažinant šilumos nuostolius. Remiama veikla apima šiuos šilumos tiekimo tinklų rekonstravimo ir (ar) remonto darbus: atskirų vamzdynų ruožų keitimą, nekeičiant vamzdyno trasos ašies arba ją keičiant, ir šilumos tiekimo tinklų įvadų į pastatus keitimą, nekeičiant jų trasos arba ją keičiant</w:t>
                  </w:r>
                  <w:r w:rsidRPr="00F543BE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956C9A" w:rsidRPr="00655B4F" w14:paraId="463A535B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7B94F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38BCCED6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B7FE" w14:textId="45785A30" w:rsidR="00AB2EA1" w:rsidRPr="00655B4F" w:rsidRDefault="007C2E64" w:rsidP="007C2E64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Šilumos tiekėjai.</w:t>
                  </w:r>
                </w:p>
              </w:tc>
            </w:tr>
            <w:tr w:rsidR="00956C9A" w:rsidRPr="00655B4F" w14:paraId="79909D1C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C99DB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7518F" w14:textId="7D35948B" w:rsidR="00956C9A" w:rsidRPr="00655B4F" w:rsidRDefault="00AB2EA1" w:rsidP="007C2E6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956C9A"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rojektų konkursas vienu etapu.</w:t>
                  </w:r>
                </w:p>
              </w:tc>
            </w:tr>
            <w:tr w:rsidR="000D74E5" w:rsidRPr="00655B4F" w14:paraId="2E47082C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23EC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3B6F790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43F8E" w14:textId="66133BB6" w:rsidR="000D74E5" w:rsidRPr="00655B4F" w:rsidRDefault="006D0D8D" w:rsidP="000D74E5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0D74E5"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000 000</w:t>
                  </w:r>
                </w:p>
              </w:tc>
            </w:tr>
            <w:tr w:rsidR="000D74E5" w:rsidRPr="00655B4F" w14:paraId="42A3B702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154CD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Planuojama kvietimo finansavimo suma, </w:t>
                  </w:r>
                  <w:proofErr w:type="spellStart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423F2" w14:textId="5C3B4AD8" w:rsidR="000D74E5" w:rsidRPr="00655B4F" w:rsidRDefault="006D0D8D" w:rsidP="000D74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="000D74E5"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000 000</w:t>
                  </w:r>
                </w:p>
              </w:tc>
            </w:tr>
            <w:tr w:rsidR="000D74E5" w:rsidRPr="00655B4F" w14:paraId="6B51CADE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9521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5DED1" w14:textId="06D50721" w:rsidR="000D74E5" w:rsidRPr="00655B4F" w:rsidDel="00011C71" w:rsidRDefault="000D74E5" w:rsidP="006D0D8D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064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D0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-09</w:t>
                  </w: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6D0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9:00</w:t>
                  </w:r>
                </w:p>
              </w:tc>
            </w:tr>
            <w:tr w:rsidR="000D74E5" w:rsidRPr="00655B4F" w14:paraId="3FCC6184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A9C6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DE5F9" w14:textId="1BE94198" w:rsidR="000D74E5" w:rsidRPr="00655B4F" w:rsidRDefault="000640D8" w:rsidP="006D0D8D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2017</w:t>
                  </w:r>
                  <w:r w:rsidR="006D0D8D">
                    <w:rPr>
                      <w:rFonts w:ascii="Times New Roman" w:eastAsia="Calibri" w:hAnsi="Times New Roman"/>
                      <w:sz w:val="24"/>
                      <w:szCs w:val="24"/>
                    </w:rPr>
                    <w:t>-11-20, 2</w:t>
                  </w:r>
                  <w:r w:rsidR="001D3675"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  <w:r w:rsidR="006D0D8D">
                    <w:rPr>
                      <w:rFonts w:ascii="Times New Roman" w:eastAsia="Calibri" w:hAnsi="Times New Roman"/>
                      <w:sz w:val="24"/>
                      <w:szCs w:val="24"/>
                    </w:rPr>
                    <w:t>:00</w:t>
                  </w:r>
                </w:p>
              </w:tc>
            </w:tr>
            <w:tr w:rsidR="000D74E5" w:rsidRPr="00655B4F" w14:paraId="572BFF7C" w14:textId="77777777" w:rsidTr="000323D7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5D98D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2737AC79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9618" w14:textId="7CAABF85" w:rsidR="00EF05CF" w:rsidRDefault="00EF05CF" w:rsidP="00EF05CF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044013">
                    <w:rPr>
                      <w:rFonts w:ascii="Times New Roman" w:hAnsi="Times New Roman"/>
                    </w:rPr>
                    <w:t xml:space="preserve">Pareiškėjas iki paraiškos pateikimo turi būti parengęs investicijų projektą su sąnaudų ir naudos analizės rezultatų skaičiuokle pagal Investicijų </w:t>
                  </w:r>
                  <w:r w:rsidRPr="00044013">
                    <w:rPr>
                      <w:rFonts w:ascii="Times New Roman" w:hAnsi="Times New Roman"/>
                    </w:rPr>
                    <w:lastRenderedPageBreak/>
                    <w:t>projektų, kuriems siekiama gauti finansavimą iš Europos Sąjungos struktūrinės paramos ir / ar valstybės biudžeto lėšų, rengimo metodiką, patvirtintą viešosios įstaigos Centrinės projektų valdymo agentūros direktoriaus 2014 m. gruodžio 31 d. įsakymu Nr. 2014/8-337 (toliau – Investicijų projektų metodika). Sąnaudų ir naudos analizės rezultatų skaičiuoklės darbalaukyje(-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iuose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>) „Pri</w:t>
                  </w:r>
                  <w:r>
                    <w:rPr>
                      <w:rFonts w:ascii="Times New Roman" w:hAnsi="Times New Roman"/>
                    </w:rPr>
                    <w:t>elaidos“, vadovaujantis Aprašo 44 ir 46</w:t>
                  </w:r>
                  <w:r w:rsidRPr="00044013">
                    <w:rPr>
                      <w:rFonts w:ascii="Times New Roman" w:hAnsi="Times New Roman"/>
                    </w:rPr>
                    <w:t xml:space="preserve"> punktais, turi būti išskirtos tinkamos ir netinkamos finansuoti išlaidos. Sąnaudų ir naudos analizės rezultatų skaičiuoklė ir Investicijų projektų metodika skelbiamos Europos Sąjungos struktūrinių fondų svetainėje </w:t>
                  </w:r>
                  <w:hyperlink r:id="rId9" w:history="1">
                    <w:r w:rsidR="00BB4E65" w:rsidRPr="00A01E62">
                      <w:rPr>
                        <w:rStyle w:val="Hipersaitas"/>
                        <w:rFonts w:ascii="Times New Roman" w:hAnsi="Times New Roman"/>
                      </w:rPr>
                      <w:t>www.esinvesticijos.lt</w:t>
                    </w:r>
                  </w:hyperlink>
                  <w:r w:rsidR="00BB4E65">
                    <w:rPr>
                      <w:rFonts w:ascii="Times New Roman" w:hAnsi="Times New Roman"/>
                    </w:rPr>
                    <w:t xml:space="preserve"> </w:t>
                  </w:r>
                  <w:r w:rsidRPr="00044013">
                    <w:rPr>
                      <w:rFonts w:ascii="Times New Roman" w:hAnsi="Times New Roman"/>
                    </w:rPr>
                    <w:t xml:space="preserve">ir </w:t>
                  </w:r>
                  <w:hyperlink r:id="rId10" w:history="1">
                    <w:r w:rsidR="00BB4E65" w:rsidRPr="00A01E62">
                      <w:rPr>
                        <w:rStyle w:val="Hipersaitas"/>
                        <w:rFonts w:ascii="Times New Roman" w:hAnsi="Times New Roman"/>
                      </w:rPr>
                      <w:t>www.ppplietuva.lt</w:t>
                    </w:r>
                  </w:hyperlink>
                  <w:r w:rsidRPr="00044013">
                    <w:rPr>
                      <w:rFonts w:ascii="Times New Roman" w:hAnsi="Times New Roman"/>
                    </w:rPr>
                    <w:t>.</w:t>
                  </w:r>
                  <w:r w:rsidR="00BB4E65">
                    <w:rPr>
                      <w:rFonts w:ascii="Times New Roman" w:hAnsi="Times New Roman"/>
                    </w:rPr>
                    <w:t xml:space="preserve"> </w:t>
                  </w:r>
                  <w:r w:rsidRPr="00044013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76A4C0E6" w14:textId="77777777" w:rsidR="00EF05CF" w:rsidRDefault="00EF05CF" w:rsidP="00EF05CF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  <w:p w14:paraId="11B0EDD8" w14:textId="77777777" w:rsidR="000D74E5" w:rsidRDefault="00EF05CF" w:rsidP="00EF05C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</w:rPr>
                  </w:pPr>
                  <w:r w:rsidRPr="00044013">
                    <w:rPr>
                      <w:rFonts w:ascii="Times New Roman" w:hAnsi="Times New Roman"/>
                    </w:rPr>
                    <w:t xml:space="preserve">Vadovaujantis Projektų administravimo ir finansavimo taisyklėmis, patvirtintomis Lietuvos Respublikos finansų ministro 2014 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poprojektiniu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laikotarpiu privalo naudotis Iš Europos Sąjungos struktūrinių fondų lėšų bendrai finansuojamų projektų duomenų mainų svetaine (toliau –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), išskyrus Taisyklėse nustatytas išimtis.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naudojimosi tvarka nustatyta Duomenų teikimo per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tvarkos apraše (Taisyklių 1 priedas). Jeigu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raštu.</w:t>
                  </w:r>
                </w:p>
                <w:p w14:paraId="5367FB99" w14:textId="298941E0" w:rsidR="00EF05CF" w:rsidRPr="00655B4F" w:rsidRDefault="00EF05CF" w:rsidP="00EF05C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52F42" w14:textId="77777777" w:rsidR="000E78ED" w:rsidRPr="00655B4F" w:rsidRDefault="000E78ED" w:rsidP="000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3543F" w14:textId="77777777" w:rsidR="00296D70" w:rsidRPr="00655B4F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E3BC85" w14:textId="77777777" w:rsidR="00912E4F" w:rsidRPr="00655B4F" w:rsidRDefault="00912E4F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B4F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655B4F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7BC406AA" w14:textId="77777777" w:rsidR="00296D70" w:rsidRPr="00655B4F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655B4F" w14:paraId="1C163BA1" w14:textId="77777777" w:rsidTr="00DD0465">
        <w:trPr>
          <w:trHeight w:val="271"/>
        </w:trPr>
        <w:tc>
          <w:tcPr>
            <w:tcW w:w="4535" w:type="dxa"/>
          </w:tcPr>
          <w:p w14:paraId="2A40AB7C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6BF41FB9" w14:textId="77777777" w:rsidR="003878B4" w:rsidRPr="00B25EA9" w:rsidRDefault="003878B4" w:rsidP="003878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Pareiškėjas pildo paraišką ir kartu su Aprašo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</w:t>
            </w: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punkte nurodytais priedais iki kvietimo teikti paraiškas skelbime nustatyto termino paskutinės dienos teikia ją per </w:t>
            </w:r>
            <w:proofErr w:type="spellStart"/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DMS</w:t>
            </w:r>
            <w:proofErr w:type="spellEnd"/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(Taisyklių 12 skirsnis).</w:t>
            </w: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br/>
            </w:r>
          </w:p>
          <w:p w14:paraId="0F71FEA9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Pareiškėjas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prieš pateikdamas paraišką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užsiregistruoja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naudotoju šių Taisyklių 1 priede „Duomenų teikimo per duomenų mainų svetainę aprašas“ nustatyta tvarka, jei iki paraiškos pateikimo nėra registruotas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naudotoju.</w:t>
            </w:r>
          </w:p>
          <w:p w14:paraId="23435603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88E7" w14:textId="55690331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Paraiškos teikiamos LVPA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šių Taisyklių 2 skirsnyje nustatyta tvarka. Kitais būdais išsiųstos ar pristatytos arba vėliau kaip iki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F1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d. 24:00 val</w:t>
            </w:r>
            <w:r w:rsidRPr="00F1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pateiktos </w:t>
            </w:r>
          </w:p>
          <w:p w14:paraId="785C019F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paraiškos atmetamos.</w:t>
            </w:r>
          </w:p>
          <w:p w14:paraId="7CB72CB1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6CED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Jei laikinai bus neužtikrinamos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 7 dienų laikotarpiui ir (arba) sudarys galimybę paraiškas ar jų priedus pateikti kitu būdu ir apie tai paskelbs svetainėje </w:t>
            </w:r>
            <w:hyperlink r:id="rId11" w:history="1">
              <w:r w:rsidRPr="00841CB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7185DB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0084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Kartu su paraiška pareiškėjas turi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arba, kai negalima pateikti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, šių Taisyklių 15 ir 16 punktuose nurodytais būdais (iki paraiškai teikti nustatyto termino paskutinės dienos) pateikti projektų finansavimo sąlygų apraše nustatytus paraiškos priedus.</w:t>
            </w:r>
          </w:p>
          <w:p w14:paraId="6405BF9D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154D" w14:textId="605902F0" w:rsidR="00EF05CF" w:rsidRDefault="003878B4" w:rsidP="00EF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 m. lapkričio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>d. 24:00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F741D" w14:textId="2F076720" w:rsidR="00EF05CF" w:rsidRPr="00655B4F" w:rsidRDefault="00EF05CF" w:rsidP="00EF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655B4F" w14:paraId="49051C57" w14:textId="77777777" w:rsidTr="00DD0465">
        <w:trPr>
          <w:trHeight w:val="271"/>
        </w:trPr>
        <w:tc>
          <w:tcPr>
            <w:tcW w:w="4535" w:type="dxa"/>
          </w:tcPr>
          <w:p w14:paraId="6A919348" w14:textId="296C810A" w:rsidR="0060398F" w:rsidRPr="00655B4F" w:rsidRDefault="0060398F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816" w:type="dxa"/>
          </w:tcPr>
          <w:p w14:paraId="6DCC1316" w14:textId="477B58E4" w:rsidR="0060398F" w:rsidRPr="00655B4F" w:rsidRDefault="00EF05C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60398F" w:rsidRPr="00655B4F" w14:paraId="25644162" w14:textId="77777777" w:rsidTr="00DD0465">
        <w:trPr>
          <w:trHeight w:val="271"/>
        </w:trPr>
        <w:tc>
          <w:tcPr>
            <w:tcW w:w="4535" w:type="dxa"/>
          </w:tcPr>
          <w:p w14:paraId="641D1E6E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4C254038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C1D9184" w14:textId="59D6C32C" w:rsidR="0060398F" w:rsidRPr="00655B4F" w:rsidRDefault="00815F25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3BDE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  <w:r w:rsidR="00033BDE" w:rsidRPr="00655B4F">
              <w:rPr>
                <w:sz w:val="24"/>
                <w:szCs w:val="24"/>
              </w:rPr>
              <w:t>.</w:t>
            </w:r>
          </w:p>
        </w:tc>
      </w:tr>
      <w:tr w:rsidR="0060398F" w:rsidRPr="00655B4F" w14:paraId="2755B861" w14:textId="77777777" w:rsidTr="00DD0465">
        <w:trPr>
          <w:trHeight w:val="271"/>
        </w:trPr>
        <w:tc>
          <w:tcPr>
            <w:tcW w:w="4535" w:type="dxa"/>
          </w:tcPr>
          <w:p w14:paraId="122D0A92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64FB3ED4" w14:textId="77777777" w:rsidR="0060398F" w:rsidRPr="00655B4F" w:rsidRDefault="0060398F" w:rsidP="009A1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6" w:type="dxa"/>
          </w:tcPr>
          <w:p w14:paraId="1A93A286" w14:textId="422891C1" w:rsidR="00776327" w:rsidRPr="00655B4F" w:rsidRDefault="00341259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Priemonės </w:t>
            </w:r>
            <w:r w:rsidR="008367A4">
              <w:rPr>
                <w:rFonts w:ascii="Times New Roman" w:hAnsi="Times New Roman" w:cs="Times New Roman"/>
                <w:sz w:val="24"/>
                <w:szCs w:val="24"/>
              </w:rPr>
              <w:t>projektų tinkamumo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klausimais: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</w:t>
            </w:r>
            <w:proofErr w:type="spellStart"/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3" w:history="1">
              <w:r w:rsidR="00427978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  <w:r w:rsidR="009839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8211204" w14:textId="26C7975A" w:rsidR="00A75B29" w:rsidRPr="00655B4F" w:rsidRDefault="00427978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LVPA Energetikos projektų skyriaus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5CF">
              <w:rPr>
                <w:rFonts w:ascii="Times New Roman" w:hAnsi="Times New Roman" w:cs="Times New Roman"/>
                <w:sz w:val="24"/>
                <w:szCs w:val="24"/>
              </w:rPr>
              <w:t>vyresnioji projektų vadovė Sigita Žilinskaitė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4" w:history="1">
              <w:r w:rsidR="00EF05CF" w:rsidRPr="00A01E62">
                <w:rPr>
                  <w:rStyle w:val="Hipersaitas"/>
                  <w:rFonts w:ascii="Times New Roman" w:hAnsi="Times New Roman" w:cs="Times New Roman"/>
                </w:rPr>
                <w:t>s.zilinskaite</w:t>
              </w:r>
              <w:r w:rsidR="00EF05CF" w:rsidRPr="00A01E6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@lvpa.lt</w:t>
              </w:r>
            </w:hyperlink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>, tel. (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5)  </w:t>
            </w:r>
            <w:r w:rsidR="00EF05CF" w:rsidRPr="00EF05CF">
              <w:rPr>
                <w:rFonts w:ascii="Times New Roman" w:hAnsi="Times New Roman" w:cs="Times New Roman"/>
                <w:sz w:val="24"/>
                <w:szCs w:val="24"/>
              </w:rPr>
              <w:t>268 7429</w:t>
            </w:r>
            <w:r w:rsidR="006A730F" w:rsidRPr="00655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A86DD" w14:textId="77777777" w:rsidR="00A75B29" w:rsidRDefault="00A75B29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A7F4" w14:textId="161E1E53" w:rsidR="00341259" w:rsidRPr="00655B4F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Bendraisiais klausimais:</w:t>
            </w:r>
          </w:p>
          <w:p w14:paraId="2DDBA805" w14:textId="77777777" w:rsidR="002679BD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5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e.zemaitiene@lvpa.lt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</w:p>
          <w:p w14:paraId="5A69E2AB" w14:textId="5EC9985D" w:rsidR="00E80FF8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 (8 5) 210 9091.</w:t>
            </w:r>
          </w:p>
          <w:p w14:paraId="647F7FAB" w14:textId="77777777" w:rsidR="00341259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F1264D" w14:textId="77777777" w:rsidR="0060398F" w:rsidRPr="00655B4F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LVPA Komunikacijos skyriaus vyresnioji informavimo specialistė Sigita Varsackytė, el. p. </w:t>
            </w:r>
            <w:hyperlink r:id="rId16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s.varsackyte@lvpa.lt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4866.</w:t>
            </w:r>
          </w:p>
          <w:p w14:paraId="15A64946" w14:textId="15BC540D" w:rsidR="00427978" w:rsidRPr="00655B4F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655B4F" w14:paraId="7CB06206" w14:textId="77777777" w:rsidTr="00DD0465">
        <w:trPr>
          <w:trHeight w:val="271"/>
        </w:trPr>
        <w:tc>
          <w:tcPr>
            <w:tcW w:w="4535" w:type="dxa"/>
          </w:tcPr>
          <w:p w14:paraId="1E8F32B0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76984E6B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C055FD3" w14:textId="77777777" w:rsidR="0060398F" w:rsidRPr="00655B4F" w:rsidRDefault="00815F25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0398F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60398F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9EC5C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EA06" w14:textId="77777777" w:rsidR="002679BD" w:rsidRPr="00A06B40" w:rsidRDefault="00815F25" w:rsidP="00267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79BD" w:rsidRPr="00A06B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http://enmin.lrv.lt/lt/veiklos-sritys-3/europos-sajungos-parama/es-investicijos-ir-strukturine-parama/2014-2020-m-es-investicijos</w:t>
              </w:r>
            </w:hyperlink>
          </w:p>
          <w:p w14:paraId="536C4C1A" w14:textId="2807A7CC" w:rsidR="0060398F" w:rsidRPr="00655B4F" w:rsidRDefault="006D16E0" w:rsidP="007C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http://lvpa.lt/lt/energetikos-priemones</w:t>
              </w:r>
            </w:hyperlink>
          </w:p>
        </w:tc>
      </w:tr>
    </w:tbl>
    <w:p w14:paraId="15AD858E" w14:textId="77777777" w:rsidR="0055013B" w:rsidRPr="00655B4F" w:rsidRDefault="0055013B" w:rsidP="007C2E64">
      <w:pPr>
        <w:rPr>
          <w:rFonts w:ascii="Times New Roman" w:hAnsi="Times New Roman" w:cs="Times New Roman"/>
          <w:sz w:val="24"/>
          <w:szCs w:val="24"/>
        </w:rPr>
      </w:pPr>
    </w:p>
    <w:sectPr w:rsidR="0055013B" w:rsidRPr="00655B4F" w:rsidSect="00577B34">
      <w:headerReference w:type="defaul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F1A5" w14:textId="77777777" w:rsidR="00815F25" w:rsidRDefault="00815F25" w:rsidP="0039439E">
      <w:pPr>
        <w:spacing w:after="0" w:line="240" w:lineRule="auto"/>
      </w:pPr>
      <w:r>
        <w:separator/>
      </w:r>
    </w:p>
  </w:endnote>
  <w:endnote w:type="continuationSeparator" w:id="0">
    <w:p w14:paraId="0325FD5C" w14:textId="77777777" w:rsidR="00815F25" w:rsidRDefault="00815F25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64C5A" w14:textId="77777777" w:rsidR="00815F25" w:rsidRDefault="00815F25" w:rsidP="0039439E">
      <w:pPr>
        <w:spacing w:after="0" w:line="240" w:lineRule="auto"/>
      </w:pPr>
      <w:r>
        <w:separator/>
      </w:r>
    </w:p>
  </w:footnote>
  <w:footnote w:type="continuationSeparator" w:id="0">
    <w:p w14:paraId="332F2130" w14:textId="77777777" w:rsidR="00815F25" w:rsidRDefault="00815F25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608C2F1B" w14:textId="61EAF5E5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D48">
          <w:rPr>
            <w:noProof/>
          </w:rPr>
          <w:t>3</w:t>
        </w:r>
        <w:r>
          <w:fldChar w:fldCharType="end"/>
        </w:r>
      </w:p>
    </w:sdtContent>
  </w:sdt>
  <w:p w14:paraId="7CF80708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2414A"/>
    <w:rsid w:val="00026070"/>
    <w:rsid w:val="000323D7"/>
    <w:rsid w:val="00033BDE"/>
    <w:rsid w:val="00033E18"/>
    <w:rsid w:val="0005365E"/>
    <w:rsid w:val="00054C3E"/>
    <w:rsid w:val="000621D0"/>
    <w:rsid w:val="00062C3A"/>
    <w:rsid w:val="000640D8"/>
    <w:rsid w:val="000649C8"/>
    <w:rsid w:val="00067B16"/>
    <w:rsid w:val="0007387F"/>
    <w:rsid w:val="0007457F"/>
    <w:rsid w:val="00080BB6"/>
    <w:rsid w:val="00083357"/>
    <w:rsid w:val="00086E14"/>
    <w:rsid w:val="000B11C4"/>
    <w:rsid w:val="000B1711"/>
    <w:rsid w:val="000B36E8"/>
    <w:rsid w:val="000C45EC"/>
    <w:rsid w:val="000D74E5"/>
    <w:rsid w:val="000E01B1"/>
    <w:rsid w:val="000E1271"/>
    <w:rsid w:val="000E78ED"/>
    <w:rsid w:val="000F20D9"/>
    <w:rsid w:val="000F275A"/>
    <w:rsid w:val="000F5260"/>
    <w:rsid w:val="0010178B"/>
    <w:rsid w:val="001020CD"/>
    <w:rsid w:val="00104F84"/>
    <w:rsid w:val="00112E32"/>
    <w:rsid w:val="00116B2F"/>
    <w:rsid w:val="001239A6"/>
    <w:rsid w:val="00135410"/>
    <w:rsid w:val="001362DC"/>
    <w:rsid w:val="001366D2"/>
    <w:rsid w:val="0015223E"/>
    <w:rsid w:val="001528B4"/>
    <w:rsid w:val="00154F3F"/>
    <w:rsid w:val="00160AB7"/>
    <w:rsid w:val="0016703D"/>
    <w:rsid w:val="001730FD"/>
    <w:rsid w:val="0017501F"/>
    <w:rsid w:val="001869D8"/>
    <w:rsid w:val="00196A1E"/>
    <w:rsid w:val="001B2F57"/>
    <w:rsid w:val="001B6BA0"/>
    <w:rsid w:val="001C6A7C"/>
    <w:rsid w:val="001D1254"/>
    <w:rsid w:val="001D2AF1"/>
    <w:rsid w:val="001D3675"/>
    <w:rsid w:val="001E4755"/>
    <w:rsid w:val="001E60D3"/>
    <w:rsid w:val="001E7D8D"/>
    <w:rsid w:val="001F6041"/>
    <w:rsid w:val="00214507"/>
    <w:rsid w:val="00226500"/>
    <w:rsid w:val="00241456"/>
    <w:rsid w:val="00252A14"/>
    <w:rsid w:val="00255801"/>
    <w:rsid w:val="00260644"/>
    <w:rsid w:val="002679BD"/>
    <w:rsid w:val="00275FDB"/>
    <w:rsid w:val="0028256E"/>
    <w:rsid w:val="00296D70"/>
    <w:rsid w:val="002A1851"/>
    <w:rsid w:val="002A6EF9"/>
    <w:rsid w:val="002C25B2"/>
    <w:rsid w:val="002D490B"/>
    <w:rsid w:val="002D4CF1"/>
    <w:rsid w:val="002E62A4"/>
    <w:rsid w:val="002E69E6"/>
    <w:rsid w:val="002F7369"/>
    <w:rsid w:val="00304CCA"/>
    <w:rsid w:val="00336877"/>
    <w:rsid w:val="00341259"/>
    <w:rsid w:val="00355300"/>
    <w:rsid w:val="00362FE9"/>
    <w:rsid w:val="0036734D"/>
    <w:rsid w:val="003673A5"/>
    <w:rsid w:val="00370DB6"/>
    <w:rsid w:val="00372C9C"/>
    <w:rsid w:val="00374683"/>
    <w:rsid w:val="00377E3B"/>
    <w:rsid w:val="003815C2"/>
    <w:rsid w:val="00381AB0"/>
    <w:rsid w:val="003878B4"/>
    <w:rsid w:val="00390735"/>
    <w:rsid w:val="0039439E"/>
    <w:rsid w:val="003B79DC"/>
    <w:rsid w:val="003C0ABF"/>
    <w:rsid w:val="003D6123"/>
    <w:rsid w:val="003D78DA"/>
    <w:rsid w:val="003E0323"/>
    <w:rsid w:val="003E0927"/>
    <w:rsid w:val="003F130D"/>
    <w:rsid w:val="003F21E6"/>
    <w:rsid w:val="003F3603"/>
    <w:rsid w:val="003F4E68"/>
    <w:rsid w:val="00404A23"/>
    <w:rsid w:val="0040769E"/>
    <w:rsid w:val="0042136C"/>
    <w:rsid w:val="00427978"/>
    <w:rsid w:val="00431DAB"/>
    <w:rsid w:val="004405CB"/>
    <w:rsid w:val="00444F58"/>
    <w:rsid w:val="0045496D"/>
    <w:rsid w:val="00464C75"/>
    <w:rsid w:val="00467F32"/>
    <w:rsid w:val="00483635"/>
    <w:rsid w:val="00485DFB"/>
    <w:rsid w:val="00490B21"/>
    <w:rsid w:val="004A16E8"/>
    <w:rsid w:val="004A42CA"/>
    <w:rsid w:val="004B59E4"/>
    <w:rsid w:val="004C2B59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E39"/>
    <w:rsid w:val="005718EF"/>
    <w:rsid w:val="005723CE"/>
    <w:rsid w:val="0057453F"/>
    <w:rsid w:val="00577B34"/>
    <w:rsid w:val="005936F7"/>
    <w:rsid w:val="0059692C"/>
    <w:rsid w:val="005B474B"/>
    <w:rsid w:val="005B477B"/>
    <w:rsid w:val="005C3A61"/>
    <w:rsid w:val="005C76B3"/>
    <w:rsid w:val="005D1B0B"/>
    <w:rsid w:val="005F1C01"/>
    <w:rsid w:val="006005E6"/>
    <w:rsid w:val="0060398F"/>
    <w:rsid w:val="006069C0"/>
    <w:rsid w:val="00627B7A"/>
    <w:rsid w:val="00632DB6"/>
    <w:rsid w:val="00644A0F"/>
    <w:rsid w:val="00645733"/>
    <w:rsid w:val="00655B4F"/>
    <w:rsid w:val="00673BCE"/>
    <w:rsid w:val="00682BE6"/>
    <w:rsid w:val="0069129D"/>
    <w:rsid w:val="006A0537"/>
    <w:rsid w:val="006A0F73"/>
    <w:rsid w:val="006A194C"/>
    <w:rsid w:val="006A730F"/>
    <w:rsid w:val="006C2179"/>
    <w:rsid w:val="006D0D8D"/>
    <w:rsid w:val="006D16E0"/>
    <w:rsid w:val="006D69F5"/>
    <w:rsid w:val="006F52FC"/>
    <w:rsid w:val="00702322"/>
    <w:rsid w:val="0071296A"/>
    <w:rsid w:val="00724B0F"/>
    <w:rsid w:val="00726039"/>
    <w:rsid w:val="0073341B"/>
    <w:rsid w:val="00737815"/>
    <w:rsid w:val="007434D5"/>
    <w:rsid w:val="00745D29"/>
    <w:rsid w:val="0076698C"/>
    <w:rsid w:val="007726DF"/>
    <w:rsid w:val="00776327"/>
    <w:rsid w:val="00787614"/>
    <w:rsid w:val="007B7FBE"/>
    <w:rsid w:val="007C2E64"/>
    <w:rsid w:val="007C2FAA"/>
    <w:rsid w:val="007C4021"/>
    <w:rsid w:val="007D1FE2"/>
    <w:rsid w:val="007D5068"/>
    <w:rsid w:val="007D52FB"/>
    <w:rsid w:val="007F357C"/>
    <w:rsid w:val="007F6BCA"/>
    <w:rsid w:val="00807E26"/>
    <w:rsid w:val="00815F25"/>
    <w:rsid w:val="00826566"/>
    <w:rsid w:val="00826D46"/>
    <w:rsid w:val="008367A4"/>
    <w:rsid w:val="008379FF"/>
    <w:rsid w:val="00851B01"/>
    <w:rsid w:val="008773C4"/>
    <w:rsid w:val="008842C6"/>
    <w:rsid w:val="00885EDF"/>
    <w:rsid w:val="00892374"/>
    <w:rsid w:val="008A096F"/>
    <w:rsid w:val="008A0D48"/>
    <w:rsid w:val="008A129C"/>
    <w:rsid w:val="008A3CC4"/>
    <w:rsid w:val="008A6199"/>
    <w:rsid w:val="008B151D"/>
    <w:rsid w:val="008C114A"/>
    <w:rsid w:val="008D4C6D"/>
    <w:rsid w:val="008D7D57"/>
    <w:rsid w:val="008E1270"/>
    <w:rsid w:val="008E41A8"/>
    <w:rsid w:val="008E7B67"/>
    <w:rsid w:val="008F285C"/>
    <w:rsid w:val="00912E4F"/>
    <w:rsid w:val="00925F81"/>
    <w:rsid w:val="00926030"/>
    <w:rsid w:val="0094300F"/>
    <w:rsid w:val="00943DF9"/>
    <w:rsid w:val="00951E73"/>
    <w:rsid w:val="00956C9A"/>
    <w:rsid w:val="00965B0C"/>
    <w:rsid w:val="009707D6"/>
    <w:rsid w:val="009839FE"/>
    <w:rsid w:val="0098653C"/>
    <w:rsid w:val="00992423"/>
    <w:rsid w:val="00992AC6"/>
    <w:rsid w:val="009A4A1F"/>
    <w:rsid w:val="009B11CD"/>
    <w:rsid w:val="009B1BF2"/>
    <w:rsid w:val="009D7186"/>
    <w:rsid w:val="009E41FF"/>
    <w:rsid w:val="00A23E55"/>
    <w:rsid w:val="00A26EDF"/>
    <w:rsid w:val="00A3264A"/>
    <w:rsid w:val="00A34F18"/>
    <w:rsid w:val="00A44D8C"/>
    <w:rsid w:val="00A571BF"/>
    <w:rsid w:val="00A6032E"/>
    <w:rsid w:val="00A61D91"/>
    <w:rsid w:val="00A63ADF"/>
    <w:rsid w:val="00A703A7"/>
    <w:rsid w:val="00A75B29"/>
    <w:rsid w:val="00A922CC"/>
    <w:rsid w:val="00A967D9"/>
    <w:rsid w:val="00A97206"/>
    <w:rsid w:val="00AA05EF"/>
    <w:rsid w:val="00AB2EA1"/>
    <w:rsid w:val="00AC1552"/>
    <w:rsid w:val="00AC4324"/>
    <w:rsid w:val="00AD4D76"/>
    <w:rsid w:val="00AE211D"/>
    <w:rsid w:val="00AE7AFB"/>
    <w:rsid w:val="00AF344F"/>
    <w:rsid w:val="00AF53D1"/>
    <w:rsid w:val="00B1633E"/>
    <w:rsid w:val="00B24D93"/>
    <w:rsid w:val="00B33517"/>
    <w:rsid w:val="00B42FF4"/>
    <w:rsid w:val="00B45B1A"/>
    <w:rsid w:val="00B64206"/>
    <w:rsid w:val="00B67CD1"/>
    <w:rsid w:val="00B84A20"/>
    <w:rsid w:val="00B85A62"/>
    <w:rsid w:val="00B87033"/>
    <w:rsid w:val="00BB311A"/>
    <w:rsid w:val="00BB4E65"/>
    <w:rsid w:val="00BC0EB1"/>
    <w:rsid w:val="00BC66AE"/>
    <w:rsid w:val="00BC69A1"/>
    <w:rsid w:val="00BD19A7"/>
    <w:rsid w:val="00BE213A"/>
    <w:rsid w:val="00BF10A4"/>
    <w:rsid w:val="00BF1C03"/>
    <w:rsid w:val="00C05051"/>
    <w:rsid w:val="00C1392A"/>
    <w:rsid w:val="00C16ADB"/>
    <w:rsid w:val="00C20E74"/>
    <w:rsid w:val="00C23A4F"/>
    <w:rsid w:val="00C336EE"/>
    <w:rsid w:val="00C458C7"/>
    <w:rsid w:val="00C54E49"/>
    <w:rsid w:val="00C8733B"/>
    <w:rsid w:val="00CC484A"/>
    <w:rsid w:val="00CD1CBE"/>
    <w:rsid w:val="00CF6934"/>
    <w:rsid w:val="00CF71F6"/>
    <w:rsid w:val="00D0100B"/>
    <w:rsid w:val="00D039E5"/>
    <w:rsid w:val="00D06A15"/>
    <w:rsid w:val="00D147F5"/>
    <w:rsid w:val="00D14D15"/>
    <w:rsid w:val="00D21917"/>
    <w:rsid w:val="00D2230D"/>
    <w:rsid w:val="00D274E9"/>
    <w:rsid w:val="00D37B95"/>
    <w:rsid w:val="00D71E42"/>
    <w:rsid w:val="00D82726"/>
    <w:rsid w:val="00D90F0B"/>
    <w:rsid w:val="00DA1DA2"/>
    <w:rsid w:val="00DD0465"/>
    <w:rsid w:val="00DD0726"/>
    <w:rsid w:val="00DD5E0B"/>
    <w:rsid w:val="00DE5318"/>
    <w:rsid w:val="00DE6016"/>
    <w:rsid w:val="00DE6ED1"/>
    <w:rsid w:val="00DF1DFA"/>
    <w:rsid w:val="00E01724"/>
    <w:rsid w:val="00E108FD"/>
    <w:rsid w:val="00E16CCD"/>
    <w:rsid w:val="00E17758"/>
    <w:rsid w:val="00E20087"/>
    <w:rsid w:val="00E441E2"/>
    <w:rsid w:val="00E65D4D"/>
    <w:rsid w:val="00E80FF8"/>
    <w:rsid w:val="00E83C33"/>
    <w:rsid w:val="00E960DE"/>
    <w:rsid w:val="00E97C9C"/>
    <w:rsid w:val="00EA4F4D"/>
    <w:rsid w:val="00EA680C"/>
    <w:rsid w:val="00EC2C79"/>
    <w:rsid w:val="00ED6836"/>
    <w:rsid w:val="00EE1B8B"/>
    <w:rsid w:val="00EF05CF"/>
    <w:rsid w:val="00EF2642"/>
    <w:rsid w:val="00EF3E98"/>
    <w:rsid w:val="00EF40B8"/>
    <w:rsid w:val="00EF721B"/>
    <w:rsid w:val="00F11134"/>
    <w:rsid w:val="00F20421"/>
    <w:rsid w:val="00F210BA"/>
    <w:rsid w:val="00F34C79"/>
    <w:rsid w:val="00F442AD"/>
    <w:rsid w:val="00F470CF"/>
    <w:rsid w:val="00F62F67"/>
    <w:rsid w:val="00F726EE"/>
    <w:rsid w:val="00F90F07"/>
    <w:rsid w:val="00F94CB1"/>
    <w:rsid w:val="00FA2952"/>
    <w:rsid w:val="00FA7E89"/>
    <w:rsid w:val="00FB06A4"/>
    <w:rsid w:val="00FC30FA"/>
    <w:rsid w:val="00FD72CC"/>
    <w:rsid w:val="00FE0170"/>
    <w:rsid w:val="00FE25CB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7300"/>
  <w15:docId w15:val="{91576EE8-BD40-432F-84EB-B4B46BCA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.petrulevicius@lvpa.lt" TargetMode="External"/><Relationship Id="rId18" Type="http://schemas.openxmlformats.org/officeDocument/2006/relationships/hyperlink" Target="http://enmin.lrv.lt/lt/veiklos-sritys-3/europos-sajungos-parama/es-investicijos-ir-strukturine-parama/2014-2020-m-es-investicij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vpa.lt/lt/mus-rasite" TargetMode="External"/><Relationship Id="rId17" Type="http://schemas.openxmlformats.org/officeDocument/2006/relationships/hyperlink" Target="http://www.esinvesticijos.lt/paskelbti_kvietima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.varsackyte@lvpa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investicijos.lt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.zemaitiene@lvpa.lt" TargetMode="External"/><Relationship Id="rId10" Type="http://schemas.openxmlformats.org/officeDocument/2006/relationships/hyperlink" Target="http://www.ppplietuva.lt" TargetMode="External"/><Relationship Id="rId19" Type="http://schemas.openxmlformats.org/officeDocument/2006/relationships/hyperlink" Target="http://lvpa.lt/lt/energetikos-priem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s.zilinskaite@lvpa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D2521-98A4-4A5A-BEFC-24DBEEE9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4010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53</cp:revision>
  <cp:lastPrinted>2016-10-21T11:11:00Z</cp:lastPrinted>
  <dcterms:created xsi:type="dcterms:W3CDTF">2016-10-13T13:26:00Z</dcterms:created>
  <dcterms:modified xsi:type="dcterms:W3CDTF">2017-09-19T12:05:00Z</dcterms:modified>
</cp:coreProperties>
</file>