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5"/>
        <w:tblW w:w="0" w:type="auto"/>
        <w:tblLook w:val="04A0" w:firstRow="1" w:lastRow="0" w:firstColumn="1" w:lastColumn="0" w:noHBand="0" w:noVBand="1"/>
      </w:tblPr>
      <w:tblGrid>
        <w:gridCol w:w="574"/>
        <w:gridCol w:w="6950"/>
        <w:gridCol w:w="6460"/>
      </w:tblGrid>
      <w:tr w:rsidR="00B84847" w:rsidRPr="00F8190E" w14:paraId="41402659" w14:textId="77777777" w:rsidTr="00E60602">
        <w:trPr>
          <w:trHeight w:val="840"/>
        </w:trPr>
        <w:tc>
          <w:tcPr>
            <w:tcW w:w="13984" w:type="dxa"/>
            <w:gridSpan w:val="3"/>
            <w:tcBorders>
              <w:top w:val="single" w:sz="4" w:space="0" w:color="FFFFFF" w:themeColor="background1"/>
              <w:left w:val="single" w:sz="4" w:space="0" w:color="FFFFFF" w:themeColor="background1"/>
              <w:right w:val="single" w:sz="4" w:space="0" w:color="FFFFFF" w:themeColor="background1"/>
            </w:tcBorders>
          </w:tcPr>
          <w:p w14:paraId="6D2ED0DB" w14:textId="4E552DAF" w:rsidR="00AC02D6" w:rsidRPr="00F8190E" w:rsidRDefault="00B84847" w:rsidP="00B60A89">
            <w:pPr>
              <w:spacing w:line="276" w:lineRule="auto"/>
              <w:jc w:val="center"/>
              <w:rPr>
                <w:rFonts w:ascii="Times New Roman" w:hAnsi="Times New Roman" w:cs="Times New Roman"/>
                <w:b/>
                <w:sz w:val="24"/>
                <w:szCs w:val="24"/>
              </w:rPr>
            </w:pPr>
            <w:r w:rsidRPr="00F8190E">
              <w:rPr>
                <w:rFonts w:ascii="Times New Roman" w:hAnsi="Times New Roman" w:cs="Times New Roman"/>
                <w:b/>
                <w:sz w:val="24"/>
                <w:szCs w:val="24"/>
              </w:rPr>
              <w:t>2014–2020 METŲ EUROPOS SĄJUNGOS FONDŲ INVESTICIJŲ VEIKSMŲ PROGRAM</w:t>
            </w:r>
            <w:r w:rsidR="00E93F72" w:rsidRPr="00F8190E">
              <w:rPr>
                <w:rFonts w:ascii="Times New Roman" w:hAnsi="Times New Roman" w:cs="Times New Roman"/>
                <w:b/>
                <w:sz w:val="24"/>
                <w:szCs w:val="24"/>
              </w:rPr>
              <w:t xml:space="preserve">OS </w:t>
            </w:r>
            <w:r w:rsidR="00385A57" w:rsidRPr="00F8190E">
              <w:rPr>
                <w:rFonts w:ascii="Times New Roman" w:hAnsi="Times New Roman" w:cs="Times New Roman"/>
                <w:b/>
                <w:sz w:val="24"/>
                <w:szCs w:val="24"/>
              </w:rPr>
              <w:t xml:space="preserve">04.1.1-LVPA-K-110 </w:t>
            </w:r>
            <w:r w:rsidR="000E7CB0" w:rsidRPr="00F8190E">
              <w:rPr>
                <w:rFonts w:ascii="Times New Roman" w:hAnsi="Times New Roman" w:cs="Times New Roman"/>
                <w:b/>
                <w:sz w:val="24"/>
                <w:szCs w:val="24"/>
              </w:rPr>
              <w:t>PRIEMONĖS „</w:t>
            </w:r>
            <w:r w:rsidR="008E27A8" w:rsidRPr="00F8190E">
              <w:rPr>
                <w:rFonts w:ascii="Times New Roman" w:hAnsi="Times New Roman" w:cs="Times New Roman"/>
                <w:b/>
                <w:sz w:val="24"/>
                <w:szCs w:val="24"/>
              </w:rPr>
              <w:t>NEDIDELĖS GALIOS BIOKURO KOGENERACIJOS SKATINIMAS</w:t>
            </w:r>
            <w:r w:rsidR="000E7CB0" w:rsidRPr="00F8190E">
              <w:rPr>
                <w:rFonts w:ascii="Times New Roman" w:hAnsi="Times New Roman" w:cs="Times New Roman"/>
                <w:b/>
                <w:sz w:val="24"/>
                <w:szCs w:val="24"/>
              </w:rPr>
              <w:t xml:space="preserve">“ </w:t>
            </w:r>
            <w:r w:rsidR="00AC02D6" w:rsidRPr="00F8190E">
              <w:rPr>
                <w:rFonts w:ascii="Times New Roman" w:hAnsi="Times New Roman" w:cs="Times New Roman"/>
                <w:b/>
                <w:sz w:val="24"/>
                <w:szCs w:val="24"/>
              </w:rPr>
              <w:t xml:space="preserve">PROJEKTŲ FINANSAVIMO SĄLYGŲ APRAŠO NR. </w:t>
            </w:r>
            <w:r w:rsidR="00594CB2" w:rsidRPr="00F8190E">
              <w:rPr>
                <w:rFonts w:ascii="Times New Roman" w:hAnsi="Times New Roman" w:cs="Times New Roman"/>
                <w:b/>
                <w:sz w:val="24"/>
                <w:szCs w:val="24"/>
              </w:rPr>
              <w:t>2</w:t>
            </w:r>
            <w:r w:rsidRPr="00F8190E">
              <w:rPr>
                <w:rFonts w:ascii="Times New Roman" w:hAnsi="Times New Roman" w:cs="Times New Roman"/>
                <w:b/>
                <w:sz w:val="24"/>
                <w:szCs w:val="24"/>
              </w:rPr>
              <w:t xml:space="preserve"> DERINIMO PAŽYMA</w:t>
            </w:r>
          </w:p>
          <w:p w14:paraId="380F6270" w14:textId="77777777" w:rsidR="00B84847" w:rsidRPr="00F8190E" w:rsidRDefault="00B84847" w:rsidP="00B60A89">
            <w:pPr>
              <w:spacing w:line="276" w:lineRule="auto"/>
              <w:jc w:val="center"/>
              <w:rPr>
                <w:rFonts w:ascii="Times New Roman" w:hAnsi="Times New Roman" w:cs="Times New Roman"/>
                <w:b/>
                <w:sz w:val="24"/>
                <w:szCs w:val="24"/>
              </w:rPr>
            </w:pPr>
          </w:p>
        </w:tc>
      </w:tr>
      <w:tr w:rsidR="001F39C9" w:rsidRPr="00F8190E" w14:paraId="108704B1" w14:textId="77777777" w:rsidTr="00E60602">
        <w:tc>
          <w:tcPr>
            <w:tcW w:w="574" w:type="dxa"/>
          </w:tcPr>
          <w:p w14:paraId="550BFEFF" w14:textId="77777777" w:rsidR="001F39C9" w:rsidRPr="00F8190E" w:rsidRDefault="003D2E78" w:rsidP="00B60A89">
            <w:pPr>
              <w:spacing w:line="276" w:lineRule="auto"/>
              <w:rPr>
                <w:rFonts w:ascii="Times New Roman" w:hAnsi="Times New Roman" w:cs="Times New Roman"/>
                <w:b/>
              </w:rPr>
            </w:pPr>
            <w:r w:rsidRPr="00F8190E">
              <w:rPr>
                <w:rFonts w:ascii="Times New Roman" w:hAnsi="Times New Roman" w:cs="Times New Roman"/>
                <w:b/>
              </w:rPr>
              <w:t xml:space="preserve">Eil. </w:t>
            </w:r>
            <w:r w:rsidR="001F39C9" w:rsidRPr="00F8190E">
              <w:rPr>
                <w:rFonts w:ascii="Times New Roman" w:hAnsi="Times New Roman" w:cs="Times New Roman"/>
                <w:b/>
              </w:rPr>
              <w:t xml:space="preserve">Nr. </w:t>
            </w:r>
          </w:p>
        </w:tc>
        <w:tc>
          <w:tcPr>
            <w:tcW w:w="6950" w:type="dxa"/>
          </w:tcPr>
          <w:p w14:paraId="48424E3C" w14:textId="77777777" w:rsidR="001F39C9" w:rsidRPr="00F8190E" w:rsidRDefault="001F39C9" w:rsidP="00B60A89">
            <w:pPr>
              <w:spacing w:line="276" w:lineRule="auto"/>
              <w:jc w:val="center"/>
              <w:rPr>
                <w:rFonts w:ascii="Times New Roman" w:hAnsi="Times New Roman" w:cs="Times New Roman"/>
                <w:b/>
              </w:rPr>
            </w:pPr>
            <w:r w:rsidRPr="00F8190E">
              <w:rPr>
                <w:rFonts w:ascii="Times New Roman" w:hAnsi="Times New Roman" w:cs="Times New Roman"/>
                <w:b/>
              </w:rPr>
              <w:t>Pastabos, pasiūlymai</w:t>
            </w:r>
          </w:p>
        </w:tc>
        <w:tc>
          <w:tcPr>
            <w:tcW w:w="6460" w:type="dxa"/>
          </w:tcPr>
          <w:p w14:paraId="32C02638" w14:textId="77777777" w:rsidR="001F39C9" w:rsidRPr="00F8190E" w:rsidRDefault="00C85B89" w:rsidP="00B60A89">
            <w:pPr>
              <w:spacing w:line="276" w:lineRule="auto"/>
              <w:jc w:val="center"/>
              <w:rPr>
                <w:rFonts w:ascii="Times New Roman" w:hAnsi="Times New Roman" w:cs="Times New Roman"/>
                <w:b/>
              </w:rPr>
            </w:pPr>
            <w:r w:rsidRPr="00F8190E">
              <w:rPr>
                <w:rFonts w:ascii="Times New Roman" w:hAnsi="Times New Roman" w:cs="Times New Roman"/>
                <w:b/>
              </w:rPr>
              <w:t>Žyma apie pastabas ir pasiūlymus, į kuriuos nebuvo atsižvelgta, atsižvelgta iš dalies arba atsižvelgta</w:t>
            </w:r>
          </w:p>
        </w:tc>
      </w:tr>
      <w:tr w:rsidR="0098483F" w:rsidRPr="00F8190E" w14:paraId="726B73B5" w14:textId="77777777" w:rsidTr="00E60602">
        <w:tc>
          <w:tcPr>
            <w:tcW w:w="13984" w:type="dxa"/>
            <w:gridSpan w:val="3"/>
            <w:shd w:val="clear" w:color="auto" w:fill="F2F2F2" w:themeFill="background1" w:themeFillShade="F2"/>
          </w:tcPr>
          <w:p w14:paraId="26CBC5AE" w14:textId="555E88F5" w:rsidR="0098483F" w:rsidRPr="00F8190E" w:rsidRDefault="008A0C52" w:rsidP="00B60A89">
            <w:pPr>
              <w:spacing w:line="276" w:lineRule="auto"/>
              <w:jc w:val="center"/>
              <w:rPr>
                <w:rFonts w:ascii="Times New Roman" w:hAnsi="Times New Roman" w:cs="Times New Roman"/>
                <w:b/>
              </w:rPr>
            </w:pPr>
            <w:r w:rsidRPr="00F8190E">
              <w:rPr>
                <w:rFonts w:ascii="Times New Roman" w:hAnsi="Times New Roman" w:cs="Times New Roman"/>
                <w:b/>
              </w:rPr>
              <w:t>Lietuvos Respublikos k</w:t>
            </w:r>
            <w:r w:rsidR="00AC02D6" w:rsidRPr="00F8190E">
              <w:rPr>
                <w:rFonts w:ascii="Times New Roman" w:hAnsi="Times New Roman" w:cs="Times New Roman"/>
                <w:b/>
              </w:rPr>
              <w:t xml:space="preserve">onkurencijos tarybos 2017 m. </w:t>
            </w:r>
            <w:r w:rsidR="0060145B" w:rsidRPr="00F8190E">
              <w:rPr>
                <w:rFonts w:ascii="Times New Roman" w:hAnsi="Times New Roman" w:cs="Times New Roman"/>
                <w:b/>
              </w:rPr>
              <w:t>rugsėjo</w:t>
            </w:r>
            <w:r w:rsidR="00C85B89" w:rsidRPr="00F8190E">
              <w:rPr>
                <w:rFonts w:ascii="Times New Roman" w:hAnsi="Times New Roman" w:cs="Times New Roman"/>
                <w:b/>
              </w:rPr>
              <w:t xml:space="preserve"> </w:t>
            </w:r>
            <w:r w:rsidR="0060145B" w:rsidRPr="00F8190E">
              <w:rPr>
                <w:rFonts w:ascii="Times New Roman" w:hAnsi="Times New Roman" w:cs="Times New Roman"/>
                <w:b/>
              </w:rPr>
              <w:t>4</w:t>
            </w:r>
            <w:r w:rsidR="00C85B89" w:rsidRPr="00F8190E">
              <w:rPr>
                <w:rFonts w:ascii="Times New Roman" w:hAnsi="Times New Roman" w:cs="Times New Roman"/>
                <w:b/>
              </w:rPr>
              <w:t xml:space="preserve"> d.</w:t>
            </w:r>
            <w:r w:rsidR="00AC02D6" w:rsidRPr="00F8190E">
              <w:rPr>
                <w:rFonts w:ascii="Times New Roman" w:hAnsi="Times New Roman" w:cs="Times New Roman"/>
                <w:b/>
              </w:rPr>
              <w:t xml:space="preserve"> raštas </w:t>
            </w:r>
            <w:r w:rsidR="00E72302" w:rsidRPr="00F8190E">
              <w:rPr>
                <w:rFonts w:ascii="Times New Roman" w:hAnsi="Times New Roman" w:cs="Times New Roman"/>
                <w:b/>
              </w:rPr>
              <w:t>Nr. (9.8-35)</w:t>
            </w:r>
            <w:r w:rsidR="00AC02D6" w:rsidRPr="00F8190E">
              <w:rPr>
                <w:rFonts w:ascii="Times New Roman" w:hAnsi="Times New Roman" w:cs="Times New Roman"/>
                <w:b/>
              </w:rPr>
              <w:t>6V-</w:t>
            </w:r>
            <w:r w:rsidR="0060145B" w:rsidRPr="00F8190E">
              <w:rPr>
                <w:rFonts w:ascii="Times New Roman" w:hAnsi="Times New Roman" w:cs="Times New Roman"/>
                <w:b/>
              </w:rPr>
              <w:t>2081</w:t>
            </w:r>
          </w:p>
        </w:tc>
      </w:tr>
      <w:tr w:rsidR="0098483F" w:rsidRPr="00F8190E" w14:paraId="2E4E5234" w14:textId="77777777" w:rsidTr="00E60602">
        <w:tc>
          <w:tcPr>
            <w:tcW w:w="574" w:type="dxa"/>
          </w:tcPr>
          <w:p w14:paraId="1F42DC3E" w14:textId="2AA5496F" w:rsidR="0098483F" w:rsidRPr="00F8190E" w:rsidRDefault="0098483F" w:rsidP="00B60A89">
            <w:pPr>
              <w:pStyle w:val="ListParagraph"/>
              <w:numPr>
                <w:ilvl w:val="0"/>
                <w:numId w:val="7"/>
              </w:numPr>
              <w:spacing w:line="276" w:lineRule="auto"/>
              <w:ind w:left="357" w:hanging="357"/>
              <w:jc w:val="left"/>
              <w:rPr>
                <w:sz w:val="22"/>
                <w:szCs w:val="22"/>
              </w:rPr>
            </w:pPr>
          </w:p>
        </w:tc>
        <w:tc>
          <w:tcPr>
            <w:tcW w:w="6950" w:type="dxa"/>
          </w:tcPr>
          <w:p w14:paraId="6308092B" w14:textId="04CBA01D" w:rsidR="0098483F" w:rsidRPr="00F8190E" w:rsidRDefault="00385A57" w:rsidP="00B60A89">
            <w:pPr>
              <w:spacing w:line="276" w:lineRule="auto"/>
              <w:jc w:val="both"/>
              <w:rPr>
                <w:rFonts w:ascii="Times New Roman" w:hAnsi="Times New Roman" w:cs="Times New Roman"/>
              </w:rPr>
            </w:pPr>
            <w:r w:rsidRPr="00F8190E">
              <w:rPr>
                <w:rFonts w:ascii="Times New Roman" w:hAnsi="Times New Roman" w:cs="Times New Roman"/>
              </w:rPr>
              <w:t>2</w:t>
            </w:r>
            <w:r w:rsidR="00E5477B" w:rsidRPr="00F8190E">
              <w:rPr>
                <w:rFonts w:ascii="Times New Roman" w:hAnsi="Times New Roman" w:cs="Times New Roman"/>
              </w:rPr>
              <w:t>014</w:t>
            </w:r>
            <w:r w:rsidRPr="00F8190E">
              <w:rPr>
                <w:rFonts w:ascii="Times New Roman" w:hAnsi="Times New Roman" w:cs="Times New Roman"/>
              </w:rPr>
              <w:t xml:space="preserve">–2020 metų Europos Sąjungos fondų investicijų </w:t>
            </w:r>
            <w:r w:rsidR="00812D33" w:rsidRPr="00F8190E">
              <w:rPr>
                <w:rFonts w:ascii="Times New Roman" w:hAnsi="Times New Roman" w:cs="Times New Roman"/>
              </w:rPr>
              <w:t xml:space="preserve">veiksmų programos </w:t>
            </w:r>
            <w:r w:rsidR="00E5477B" w:rsidRPr="00F8190E">
              <w:rPr>
                <w:rFonts w:ascii="Times New Roman" w:hAnsi="Times New Roman" w:cs="Times New Roman"/>
              </w:rPr>
              <w:t xml:space="preserve">04.1.1-LVPA-K-110 priemonės „Nedidelės galios biokuro kogeneracijos skatinimas“ projektų finansavimo sąlygų aprašo Nr. 2 (toliau </w:t>
            </w:r>
            <w:r w:rsidR="00CA139E" w:rsidRPr="00F8190E">
              <w:rPr>
                <w:rFonts w:ascii="Times New Roman" w:hAnsi="Times New Roman" w:cs="Times New Roman"/>
              </w:rPr>
              <w:t>–</w:t>
            </w:r>
            <w:r w:rsidR="00E5477B" w:rsidRPr="00F8190E">
              <w:rPr>
                <w:rFonts w:ascii="Times New Roman" w:hAnsi="Times New Roman" w:cs="Times New Roman"/>
              </w:rPr>
              <w:t xml:space="preserve"> Aprašo) </w:t>
            </w:r>
            <w:r w:rsidR="0060145B" w:rsidRPr="00F8190E">
              <w:rPr>
                <w:rFonts w:ascii="Times New Roman" w:hAnsi="Times New Roman" w:cs="Times New Roman"/>
              </w:rPr>
              <w:t xml:space="preserve">2.8 papunktyje siūloma </w:t>
            </w:r>
            <w:r w:rsidR="00630756" w:rsidRPr="00F8190E">
              <w:rPr>
                <w:rFonts w:ascii="Times New Roman" w:hAnsi="Times New Roman" w:cs="Times New Roman"/>
              </w:rPr>
              <w:t>nenurodyti 2017 m. sausio 16 d. valstybės pagalbos schemos Nr. SA.473313, nes minėta schema nėra patvirtinta Europos Komisijos (toliau – EK) sprendimu, todėl neturėtų būti nurodoma, kaip teisinis pagrindas</w:t>
            </w:r>
            <w:r w:rsidR="008A0C52" w:rsidRPr="00F8190E">
              <w:rPr>
                <w:rFonts w:ascii="Times New Roman" w:hAnsi="Times New Roman" w:cs="Times New Roman"/>
              </w:rPr>
              <w:t>.</w:t>
            </w:r>
          </w:p>
        </w:tc>
        <w:tc>
          <w:tcPr>
            <w:tcW w:w="6460" w:type="dxa"/>
          </w:tcPr>
          <w:p w14:paraId="46549DDF" w14:textId="77777777" w:rsidR="00F66F03" w:rsidRPr="00F8190E" w:rsidRDefault="00025A92"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69A0194E" w14:textId="2A1DE1FD" w:rsidR="00630756" w:rsidRPr="00F8190E" w:rsidRDefault="00630756" w:rsidP="00B60A89">
            <w:pPr>
              <w:spacing w:line="276" w:lineRule="auto"/>
              <w:jc w:val="both"/>
              <w:rPr>
                <w:rFonts w:ascii="Times New Roman" w:hAnsi="Times New Roman" w:cs="Times New Roman"/>
              </w:rPr>
            </w:pPr>
            <w:r w:rsidRPr="00F8190E">
              <w:rPr>
                <w:rFonts w:ascii="Times New Roman" w:hAnsi="Times New Roman" w:cs="Times New Roman"/>
              </w:rPr>
              <w:t>2.8. papunktis pakoreguotas atitinkamai kartu ištaisant paskutinių pakeitimų, kurie patvirtinti EK reglamentu, datą:</w:t>
            </w:r>
          </w:p>
          <w:p w14:paraId="2E2721F4" w14:textId="74773763" w:rsidR="00DD2F63" w:rsidRPr="00F8190E" w:rsidRDefault="00630756" w:rsidP="00B60A89">
            <w:pPr>
              <w:tabs>
                <w:tab w:val="left" w:pos="851"/>
              </w:tabs>
              <w:spacing w:line="276" w:lineRule="auto"/>
              <w:jc w:val="both"/>
              <w:rPr>
                <w:rFonts w:ascii="Times New Roman" w:eastAsia="Times New Roman" w:hAnsi="Times New Roman" w:cs="Times New Roman"/>
              </w:rPr>
            </w:pPr>
            <w:r w:rsidRPr="00F8190E">
              <w:rPr>
                <w:rFonts w:ascii="Times New Roman" w:hAnsi="Times New Roman" w:cs="Times New Roman"/>
              </w:rPr>
              <w:t>„</w:t>
            </w:r>
            <w:r w:rsidRPr="00F8190E">
              <w:rPr>
                <w:rFonts w:ascii="Times New Roman" w:eastAsia="Times New Roman" w:hAnsi="Times New Roman" w:cs="Times New Roman"/>
                <w:strike/>
              </w:rPr>
              <w:t xml:space="preserve">2017 m. sausio 16 d. Valstybės pagalbos schemą Nr. SA.47313 „2014–2020 m. Europos Sąjungos fondų investicijų veiksmų programos, patvirtintos Europos Komisijos 2014 m. rugsėjo 8  d. sprendimu Nr. C(2014)6397, 4 prioriteto „Energijos efektyvumo ir atsinaujinančių išteklių energijos gamybos ir naudojimo skatinimas“ 04.1.1-LVPA-K-110 priemonės „Nedidelės galios biokuro kogeneracijos skatinimas“, kuri parengta atsižvelgiant į </w:t>
            </w:r>
            <w:r w:rsidRPr="00F8190E">
              <w:rPr>
                <w:rFonts w:ascii="Times New Roman" w:eastAsia="Times New Roman" w:hAnsi="Times New Roman" w:cs="Times New Roman"/>
              </w:rPr>
              <w:t xml:space="preserve">2014 m. birželio 17 d. Komisijos reglamentą (ES) Nr. 651/2014, kuriuo tam tikrų kategorijų pagalba skelbiama suderinama su vidaus rinka taikant Sutarties 107 ir 108 straipsnius (OL 2017 L 187, p. 1) su paskutiniais pakeitimais, padarytais 2017 m. birželio </w:t>
            </w:r>
            <w:r w:rsidRPr="00F8190E">
              <w:rPr>
                <w:rFonts w:ascii="Times New Roman" w:eastAsia="Times New Roman" w:hAnsi="Times New Roman" w:cs="Times New Roman"/>
                <w:strike/>
              </w:rPr>
              <w:t>16</w:t>
            </w:r>
            <w:r w:rsidRPr="00F8190E">
              <w:rPr>
                <w:rFonts w:ascii="Times New Roman" w:eastAsia="Times New Roman" w:hAnsi="Times New Roman" w:cs="Times New Roman"/>
              </w:rPr>
              <w:t xml:space="preserve"> </w:t>
            </w:r>
            <w:r w:rsidRPr="00F8190E">
              <w:rPr>
                <w:rFonts w:ascii="Times New Roman" w:eastAsia="Times New Roman" w:hAnsi="Times New Roman" w:cs="Times New Roman"/>
                <w:b/>
              </w:rPr>
              <w:t>14</w:t>
            </w:r>
            <w:r w:rsidRPr="00F8190E">
              <w:rPr>
                <w:rFonts w:ascii="Times New Roman" w:eastAsia="Times New Roman" w:hAnsi="Times New Roman" w:cs="Times New Roman"/>
              </w:rPr>
              <w:t xml:space="preserve"> d. Komisijos reglamentu (ES) Nr. 2017/1084 (OL 2017 L 156, p. 1) (toliau – Bendrasis bendrosios išimties reglamentas);“</w:t>
            </w:r>
            <w:r w:rsidRPr="00F8190E">
              <w:rPr>
                <w:rFonts w:ascii="Times New Roman" w:hAnsi="Times New Roman" w:cs="Times New Roman"/>
              </w:rPr>
              <w:t xml:space="preserve"> </w:t>
            </w:r>
          </w:p>
        </w:tc>
      </w:tr>
      <w:tr w:rsidR="001247C1" w:rsidRPr="00F8190E" w14:paraId="79E554A6" w14:textId="77777777" w:rsidTr="00E60602">
        <w:trPr>
          <w:trHeight w:val="276"/>
        </w:trPr>
        <w:tc>
          <w:tcPr>
            <w:tcW w:w="13984" w:type="dxa"/>
            <w:gridSpan w:val="3"/>
            <w:shd w:val="clear" w:color="auto" w:fill="F2F2F2" w:themeFill="background1" w:themeFillShade="F2"/>
          </w:tcPr>
          <w:p w14:paraId="72C4906B" w14:textId="1ABC600C" w:rsidR="001247C1" w:rsidRPr="00F8190E" w:rsidRDefault="0046379C" w:rsidP="00B60A89">
            <w:pPr>
              <w:spacing w:line="276" w:lineRule="auto"/>
              <w:jc w:val="center"/>
              <w:rPr>
                <w:rFonts w:ascii="Times New Roman" w:hAnsi="Times New Roman" w:cs="Times New Roman"/>
              </w:rPr>
            </w:pPr>
            <w:r w:rsidRPr="00F8190E">
              <w:rPr>
                <w:rFonts w:ascii="Times New Roman" w:hAnsi="Times New Roman" w:cs="Times New Roman"/>
                <w:b/>
                <w:bCs/>
              </w:rPr>
              <w:t xml:space="preserve">Lietuvos Respublikos </w:t>
            </w:r>
            <w:r w:rsidR="00AA76BC" w:rsidRPr="00F8190E">
              <w:rPr>
                <w:rFonts w:ascii="Times New Roman" w:hAnsi="Times New Roman" w:cs="Times New Roman"/>
                <w:b/>
                <w:bCs/>
              </w:rPr>
              <w:t>s</w:t>
            </w:r>
            <w:r w:rsidR="001247C1" w:rsidRPr="00F8190E">
              <w:rPr>
                <w:rFonts w:ascii="Times New Roman" w:hAnsi="Times New Roman" w:cs="Times New Roman"/>
                <w:b/>
                <w:bCs/>
              </w:rPr>
              <w:t xml:space="preserve">veikatos apsaugos ministerijos 2017 m. rugpjūčio </w:t>
            </w:r>
            <w:r w:rsidRPr="00F8190E">
              <w:rPr>
                <w:rFonts w:ascii="Times New Roman" w:hAnsi="Times New Roman" w:cs="Times New Roman"/>
                <w:b/>
                <w:bCs/>
              </w:rPr>
              <w:t>24</w:t>
            </w:r>
            <w:r w:rsidR="001247C1" w:rsidRPr="00F8190E">
              <w:rPr>
                <w:rFonts w:ascii="Times New Roman" w:hAnsi="Times New Roman" w:cs="Times New Roman"/>
                <w:b/>
                <w:bCs/>
              </w:rPr>
              <w:t xml:space="preserve"> raštas Nr. </w:t>
            </w:r>
            <w:r w:rsidRPr="00F8190E">
              <w:rPr>
                <w:rFonts w:ascii="Times New Roman" w:hAnsi="Times New Roman" w:cs="Times New Roman"/>
                <w:b/>
                <w:bCs/>
              </w:rPr>
              <w:t>(1.1.5-411)10-6915</w:t>
            </w:r>
            <w:r w:rsidR="001247C1" w:rsidRPr="00F8190E">
              <w:rPr>
                <w:rFonts w:ascii="Times New Roman" w:hAnsi="Times New Roman" w:cs="Times New Roman"/>
                <w:b/>
                <w:bCs/>
              </w:rPr>
              <w:t xml:space="preserve"> </w:t>
            </w:r>
          </w:p>
        </w:tc>
      </w:tr>
      <w:tr w:rsidR="001247C1" w:rsidRPr="00F8190E" w14:paraId="39834E3A" w14:textId="77777777" w:rsidTr="00E60602">
        <w:trPr>
          <w:trHeight w:val="557"/>
        </w:trPr>
        <w:tc>
          <w:tcPr>
            <w:tcW w:w="574" w:type="dxa"/>
          </w:tcPr>
          <w:p w14:paraId="60FBE549" w14:textId="00B40FD0" w:rsidR="001247C1" w:rsidRPr="00F8190E" w:rsidRDefault="001247C1" w:rsidP="00B60A89">
            <w:pPr>
              <w:pStyle w:val="ListParagraph"/>
              <w:numPr>
                <w:ilvl w:val="0"/>
                <w:numId w:val="7"/>
              </w:numPr>
              <w:spacing w:line="276" w:lineRule="auto"/>
              <w:ind w:left="357" w:hanging="357"/>
              <w:jc w:val="left"/>
              <w:rPr>
                <w:sz w:val="22"/>
                <w:szCs w:val="22"/>
              </w:rPr>
            </w:pPr>
            <w:bookmarkStart w:id="0" w:name="_Hlk492465313"/>
          </w:p>
        </w:tc>
        <w:tc>
          <w:tcPr>
            <w:tcW w:w="6950" w:type="dxa"/>
          </w:tcPr>
          <w:p w14:paraId="3A980E77" w14:textId="2AE8F20A" w:rsidR="001247C1" w:rsidRPr="00F8190E" w:rsidRDefault="0046379C" w:rsidP="00B60A89">
            <w:pPr>
              <w:spacing w:line="276" w:lineRule="auto"/>
              <w:jc w:val="both"/>
              <w:rPr>
                <w:rFonts w:ascii="Times New Roman" w:hAnsi="Times New Roman" w:cs="Times New Roman"/>
                <w:highlight w:val="yellow"/>
              </w:rPr>
            </w:pPr>
            <w:r w:rsidRPr="00F8190E">
              <w:rPr>
                <w:rFonts w:ascii="Times New Roman" w:eastAsia="Times New Roman" w:hAnsi="Times New Roman" w:cs="Times New Roman"/>
                <w:bCs/>
              </w:rPr>
              <w:t xml:space="preserve">Siūloma </w:t>
            </w:r>
            <w:r w:rsidR="001247C1" w:rsidRPr="00F8190E">
              <w:rPr>
                <w:rFonts w:ascii="Times New Roman" w:eastAsia="Times New Roman" w:hAnsi="Times New Roman" w:cs="Times New Roman"/>
                <w:bCs/>
              </w:rPr>
              <w:t xml:space="preserve">29 punktą papildyti </w:t>
            </w:r>
            <w:r w:rsidRPr="00F8190E">
              <w:rPr>
                <w:rFonts w:ascii="Times New Roman" w:eastAsia="Times New Roman" w:hAnsi="Times New Roman" w:cs="Times New Roman"/>
                <w:bCs/>
              </w:rPr>
              <w:t xml:space="preserve">nuostatomis dėl planuojamos ūkinės veiklos poveikio visuomenės sveikatai vertinimo atlikimo ir dėl sanitarinių zonų ribų nustatymo ir įrašymo į Nekilnojamos turto kadastrą ir Nekilnojamojo turto registrą. Atitinkamai siūloma patikslinti Aprašo 59.9 papunktį ir Aprašo 1 priedo lentelės 4.1 </w:t>
            </w:r>
            <w:r w:rsidR="00180D71" w:rsidRPr="00F8190E">
              <w:rPr>
                <w:rFonts w:ascii="Times New Roman" w:eastAsia="Times New Roman" w:hAnsi="Times New Roman" w:cs="Times New Roman"/>
                <w:bCs/>
              </w:rPr>
              <w:t>papunktį</w:t>
            </w:r>
            <w:r w:rsidRPr="00F8190E">
              <w:rPr>
                <w:rFonts w:ascii="Times New Roman" w:eastAsia="Times New Roman" w:hAnsi="Times New Roman" w:cs="Times New Roman"/>
                <w:bCs/>
              </w:rPr>
              <w:t>.</w:t>
            </w:r>
          </w:p>
        </w:tc>
        <w:tc>
          <w:tcPr>
            <w:tcW w:w="6460" w:type="dxa"/>
          </w:tcPr>
          <w:p w14:paraId="7F9E5A8A" w14:textId="77777777" w:rsidR="0046379C" w:rsidRPr="00F8190E" w:rsidRDefault="0046379C" w:rsidP="00B60A89">
            <w:pPr>
              <w:spacing w:line="276" w:lineRule="auto"/>
              <w:jc w:val="both"/>
              <w:rPr>
                <w:rFonts w:ascii="Times New Roman" w:hAnsi="Times New Roman" w:cs="Times New Roman"/>
                <w:b/>
              </w:rPr>
            </w:pPr>
            <w:r w:rsidRPr="00F8190E">
              <w:rPr>
                <w:rFonts w:ascii="Times New Roman" w:hAnsi="Times New Roman" w:cs="Times New Roman"/>
                <w:b/>
              </w:rPr>
              <w:t>Atsižvelgta iš dalies</w:t>
            </w:r>
            <w:r w:rsidR="001247C1" w:rsidRPr="00F8190E">
              <w:rPr>
                <w:rFonts w:ascii="Times New Roman" w:hAnsi="Times New Roman" w:cs="Times New Roman"/>
                <w:b/>
              </w:rPr>
              <w:t>.</w:t>
            </w:r>
          </w:p>
          <w:p w14:paraId="1AF7BA41" w14:textId="257970E9" w:rsidR="003C7A52" w:rsidRPr="00F8190E" w:rsidRDefault="0046379C" w:rsidP="00B60A89">
            <w:pPr>
              <w:spacing w:line="276" w:lineRule="auto"/>
              <w:jc w:val="both"/>
              <w:rPr>
                <w:rFonts w:ascii="Times New Roman" w:hAnsi="Times New Roman" w:cs="Times New Roman"/>
              </w:rPr>
            </w:pPr>
            <w:r w:rsidRPr="00F8190E">
              <w:rPr>
                <w:rFonts w:ascii="Times New Roman" w:hAnsi="Times New Roman" w:cs="Times New Roman"/>
              </w:rPr>
              <w:t xml:space="preserve">Vadovaujantis </w:t>
            </w:r>
            <w:r w:rsidR="00180D71" w:rsidRPr="00F8190E">
              <w:rPr>
                <w:rFonts w:ascii="Times New Roman" w:hAnsi="Times New Roman" w:cs="Times New Roman"/>
              </w:rPr>
              <w:t>Lietuvos R</w:t>
            </w:r>
            <w:r w:rsidRPr="00F8190E">
              <w:rPr>
                <w:rFonts w:ascii="Times New Roman" w:hAnsi="Times New Roman" w:cs="Times New Roman"/>
              </w:rPr>
              <w:t xml:space="preserve">espublikos statybos įstatymo </w:t>
            </w:r>
            <w:r w:rsidR="00CA3780" w:rsidRPr="00F8190E">
              <w:rPr>
                <w:rFonts w:ascii="Times New Roman" w:hAnsi="Times New Roman" w:cs="Times New Roman"/>
              </w:rPr>
              <w:t xml:space="preserve">27 straipsnio 5 dalies 10, 13 punktų nuostatomis, siekdamas gauti statybos leidimą </w:t>
            </w:r>
            <w:r w:rsidR="008769F6" w:rsidRPr="00F8190E">
              <w:rPr>
                <w:rFonts w:ascii="Times New Roman" w:hAnsi="Times New Roman" w:cs="Times New Roman"/>
              </w:rPr>
              <w:t xml:space="preserve">pareiškėjas (jo įgaliotas asmuo) turės savivaldybės administracijos direktoriui ar jo įgaliotam savivaldybės administracijos valstybės tarnautojui pateikti atsakingos institucijos sprendimą dėl planuojamos ūkinės veiklos galimybių poveikio visuomenės sveikatai vertinimo požiūriu ir sanitarinės apsaugos zonos ribų nustatymo. Prašyti šių tarpinių statybos leidimui gauti reikalingų dokumentų </w:t>
            </w:r>
            <w:r w:rsidR="008E27A8" w:rsidRPr="00F8190E">
              <w:rPr>
                <w:rFonts w:ascii="Times New Roman" w:hAnsi="Times New Roman" w:cs="Times New Roman"/>
              </w:rPr>
              <w:t xml:space="preserve">su paraiška </w:t>
            </w:r>
            <w:r w:rsidR="008769F6" w:rsidRPr="00F8190E">
              <w:rPr>
                <w:rFonts w:ascii="Times New Roman" w:hAnsi="Times New Roman" w:cs="Times New Roman"/>
              </w:rPr>
              <w:t>nėra tikslinga</w:t>
            </w:r>
            <w:r w:rsidR="00417192" w:rsidRPr="00F8190E">
              <w:rPr>
                <w:rFonts w:ascii="Times New Roman" w:hAnsi="Times New Roman" w:cs="Times New Roman"/>
              </w:rPr>
              <w:t>, nes</w:t>
            </w:r>
            <w:r w:rsidR="00CA139E" w:rsidRPr="00F8190E">
              <w:rPr>
                <w:rFonts w:ascii="Times New Roman" w:hAnsi="Times New Roman" w:cs="Times New Roman"/>
              </w:rPr>
              <w:t>, vadovaudamiesi Aprašu,</w:t>
            </w:r>
            <w:r w:rsidR="00417192" w:rsidRPr="00F8190E">
              <w:rPr>
                <w:rFonts w:ascii="Times New Roman" w:hAnsi="Times New Roman" w:cs="Times New Roman"/>
              </w:rPr>
              <w:t xml:space="preserve"> pareiškėjai gali neturėti </w:t>
            </w:r>
            <w:r w:rsidR="00417192" w:rsidRPr="00F8190E">
              <w:rPr>
                <w:rFonts w:ascii="Times New Roman" w:hAnsi="Times New Roman" w:cs="Times New Roman"/>
              </w:rPr>
              <w:lastRenderedPageBreak/>
              <w:t>statybos leidimo ir išsiimti jį v</w:t>
            </w:r>
            <w:r w:rsidR="003C7A52" w:rsidRPr="00F8190E">
              <w:rPr>
                <w:rFonts w:ascii="Times New Roman" w:hAnsi="Times New Roman" w:cs="Times New Roman"/>
              </w:rPr>
              <w:t>ėliau nei teikiama paraiška. P</w:t>
            </w:r>
            <w:r w:rsidR="00417192" w:rsidRPr="00F8190E">
              <w:rPr>
                <w:rFonts w:ascii="Times New Roman" w:hAnsi="Times New Roman" w:cs="Times New Roman"/>
              </w:rPr>
              <w:t xml:space="preserve">irmojo kvietimo atveju VšĮ Lietuvos verslo paramos agentūra (toliau – LVPA) numatė statybos leidimą kaip būtinąją sąlygą sutarčiai su projekto vykdytoju pasirašyti; tokiu </w:t>
            </w:r>
            <w:r w:rsidR="00CB15CC" w:rsidRPr="00F8190E">
              <w:rPr>
                <w:rFonts w:ascii="Times New Roman" w:hAnsi="Times New Roman" w:cs="Times New Roman"/>
              </w:rPr>
              <w:t>atveju pareiškėjui suteiktas pusės metų laikotarpis, per kurį jis galėjo</w:t>
            </w:r>
            <w:r w:rsidR="003C7A52" w:rsidRPr="00F8190E">
              <w:rPr>
                <w:rFonts w:ascii="Times New Roman" w:hAnsi="Times New Roman" w:cs="Times New Roman"/>
              </w:rPr>
              <w:t xml:space="preserve"> parengti statybos leidimui gauti reikalingus dokumentus bei jį gauti</w:t>
            </w:r>
            <w:r w:rsidR="00417192" w:rsidRPr="00F8190E">
              <w:rPr>
                <w:rFonts w:ascii="Times New Roman" w:hAnsi="Times New Roman" w:cs="Times New Roman"/>
              </w:rPr>
              <w:t>.</w:t>
            </w:r>
          </w:p>
          <w:p w14:paraId="7E9AE8EB" w14:textId="5BA95D32" w:rsidR="008E27A8" w:rsidRPr="00F8190E" w:rsidRDefault="003C7A52" w:rsidP="00B60A89">
            <w:pPr>
              <w:spacing w:line="276" w:lineRule="auto"/>
              <w:jc w:val="both"/>
              <w:rPr>
                <w:rFonts w:ascii="Times New Roman" w:eastAsia="Times New Roman" w:hAnsi="Times New Roman" w:cs="Times New Roman"/>
                <w:bCs/>
                <w:color w:val="000000"/>
              </w:rPr>
            </w:pPr>
            <w:r w:rsidRPr="00F8190E">
              <w:rPr>
                <w:rFonts w:ascii="Times New Roman" w:hAnsi="Times New Roman" w:cs="Times New Roman"/>
              </w:rPr>
              <w:t xml:space="preserve">Todėl parengtumo sąlygose būtų tikslinga nurodyti, kad pareiškėjai, kuriems neprivaloma atlikti </w:t>
            </w:r>
            <w:r w:rsidRPr="00F8190E">
              <w:rPr>
                <w:rFonts w:ascii="Times New Roman" w:eastAsia="Times New Roman" w:hAnsi="Times New Roman" w:cs="Times New Roman"/>
                <w:color w:val="000000"/>
              </w:rPr>
              <w:t>poveikio aplinkai vertinimo (įskaitant poveikio aplinkai vertinimą, atliekamą po privalomos atrankos procedūros)</w:t>
            </w:r>
            <w:r w:rsidR="00CA139E" w:rsidRPr="00F8190E">
              <w:rPr>
                <w:rFonts w:ascii="Times New Roman" w:eastAsia="Times New Roman" w:hAnsi="Times New Roman" w:cs="Times New Roman"/>
                <w:color w:val="000000"/>
              </w:rPr>
              <w:t>,</w:t>
            </w:r>
            <w:r w:rsidRPr="00F8190E">
              <w:rPr>
                <w:rFonts w:ascii="Times New Roman" w:eastAsia="Times New Roman" w:hAnsi="Times New Roman" w:cs="Times New Roman"/>
                <w:color w:val="000000"/>
              </w:rPr>
              <w:t xml:space="preserve"> </w:t>
            </w:r>
            <w:r w:rsidR="00E04B62" w:rsidRPr="00F8190E">
              <w:rPr>
                <w:rFonts w:ascii="Times New Roman" w:eastAsia="Times New Roman" w:hAnsi="Times New Roman" w:cs="Times New Roman"/>
                <w:color w:val="000000"/>
              </w:rPr>
              <w:t xml:space="preserve">į </w:t>
            </w:r>
            <w:r w:rsidRPr="00F8190E">
              <w:rPr>
                <w:rFonts w:ascii="Times New Roman" w:eastAsia="Times New Roman" w:hAnsi="Times New Roman" w:cs="Times New Roman"/>
                <w:color w:val="000000"/>
              </w:rPr>
              <w:t xml:space="preserve">rašytinį paaiškinimą </w:t>
            </w:r>
            <w:r w:rsidR="00E04B62" w:rsidRPr="00F8190E">
              <w:rPr>
                <w:rFonts w:ascii="Times New Roman" w:eastAsia="Times New Roman" w:hAnsi="Times New Roman" w:cs="Times New Roman"/>
                <w:color w:val="000000"/>
              </w:rPr>
              <w:t xml:space="preserve">įtrauktų ir informaciją </w:t>
            </w:r>
            <w:r w:rsidR="00E04B62" w:rsidRPr="00F8190E">
              <w:rPr>
                <w:rFonts w:ascii="Times New Roman" w:eastAsia="Times New Roman" w:hAnsi="Times New Roman" w:cs="Times New Roman"/>
                <w:bCs/>
                <w:color w:val="000000"/>
              </w:rPr>
              <w:t>dėl planuojamos ūkinės veiklos poveikio visuomenės sveikatai vertinimo atlikimo ir dėl sanitarinių zonų ribų nustatymo ir įrašymo į Nekilnojamos turto kadastrą ir Nekilnojamojo turto registrą.</w:t>
            </w:r>
          </w:p>
          <w:p w14:paraId="4596D342" w14:textId="35B388C6" w:rsidR="00E04B62" w:rsidRPr="00F8190E" w:rsidRDefault="00E04B62" w:rsidP="00B60A89">
            <w:pPr>
              <w:spacing w:line="276" w:lineRule="auto"/>
              <w:jc w:val="both"/>
              <w:rPr>
                <w:rFonts w:ascii="Times New Roman" w:hAnsi="Times New Roman" w:cs="Times New Roman"/>
              </w:rPr>
            </w:pPr>
            <w:r w:rsidRPr="00F8190E">
              <w:rPr>
                <w:rFonts w:ascii="Times New Roman" w:hAnsi="Times New Roman" w:cs="Times New Roman"/>
              </w:rPr>
              <w:t>29.3 papunktis pakoreguotas atitinkamai:</w:t>
            </w:r>
          </w:p>
          <w:p w14:paraId="766FC91D" w14:textId="2CBB695F" w:rsidR="001247C1" w:rsidRPr="00F8190E" w:rsidRDefault="00393B76" w:rsidP="00B60A89">
            <w:pPr>
              <w:spacing w:line="276" w:lineRule="auto"/>
              <w:jc w:val="both"/>
              <w:rPr>
                <w:rFonts w:ascii="Times New Roman" w:hAnsi="Times New Roman" w:cs="Times New Roman"/>
                <w:b/>
              </w:rPr>
            </w:pPr>
            <w:r w:rsidRPr="00F8190E">
              <w:rPr>
                <w:rFonts w:ascii="Times New Roman" w:eastAsia="Times New Roman" w:hAnsi="Times New Roman" w:cs="Times New Roman"/>
                <w:color w:val="000000"/>
              </w:rPr>
              <w:t>„</w:t>
            </w:r>
            <w:r w:rsidR="00E04B62" w:rsidRPr="00F8190E">
              <w:rPr>
                <w:rFonts w:ascii="Times New Roman" w:eastAsia="Times New Roman" w:hAnsi="Times New Roman" w:cs="Times New Roman"/>
                <w:b/>
                <w:color w:val="000000"/>
              </w:rPr>
              <w:t>jei vadovaujantis Planuojamos ūkinės veiklos poveikio aplinkai vertinimo įstatymu, poveikio aplinkai vertinimo (įskaitant poveikio aplinkai vertinimą, atliekamą po privalomos atrankos procedūros)</w:t>
            </w:r>
            <w:r w:rsidR="00E04B62" w:rsidRPr="00F8190E">
              <w:rPr>
                <w:rFonts w:ascii="Times New Roman" w:eastAsia="Times New Roman" w:hAnsi="Times New Roman" w:cs="Times New Roman"/>
                <w:color w:val="000000"/>
              </w:rPr>
              <w:t xml:space="preserve"> atlikti neprivaloma</w:t>
            </w:r>
            <w:r w:rsidRPr="00F8190E">
              <w:rPr>
                <w:rFonts w:ascii="Times New Roman" w:eastAsia="Times New Roman" w:hAnsi="Times New Roman" w:cs="Times New Roman"/>
                <w:color w:val="000000"/>
              </w:rPr>
              <w:t xml:space="preserve"> </w:t>
            </w:r>
            <w:r w:rsidR="00E04B62" w:rsidRPr="00F8190E">
              <w:rPr>
                <w:rFonts w:ascii="Times New Roman" w:eastAsia="Times New Roman" w:hAnsi="Times New Roman" w:cs="Times New Roman"/>
                <w:strike/>
                <w:color w:val="000000"/>
              </w:rPr>
              <w:t>jei pareiškėjo planuojamai ūkinei veiklai netaikomi reikalavimai dėl planuojamos ūkinės veiklos poveikio aplinkai vertinimo</w:t>
            </w:r>
            <w:r w:rsidR="00E04B62" w:rsidRPr="00F8190E">
              <w:rPr>
                <w:rFonts w:ascii="Times New Roman" w:eastAsia="Times New Roman" w:hAnsi="Times New Roman" w:cs="Times New Roman"/>
                <w:color w:val="000000"/>
              </w:rPr>
              <w:t>, pareiškėjas iki paraiškos pateikimo turi būti parengęs rašytinį paaiškinimą dėl jo planuojamos ūkinės veiklos poveikio aplinkai</w:t>
            </w:r>
            <w:r w:rsidR="00E04B62" w:rsidRPr="00F8190E">
              <w:rPr>
                <w:rFonts w:ascii="Times New Roman" w:eastAsia="Times New Roman" w:hAnsi="Times New Roman" w:cs="Times New Roman"/>
                <w:b/>
                <w:color w:val="000000"/>
              </w:rPr>
              <w:t xml:space="preserve">; į paaiškinimą turi būti įtraukta informacija dėl </w:t>
            </w:r>
            <w:r w:rsidR="002B4963" w:rsidRPr="00F8190E">
              <w:rPr>
                <w:rFonts w:ascii="Times New Roman" w:eastAsia="Times New Roman" w:hAnsi="Times New Roman" w:cs="Times New Roman"/>
                <w:b/>
                <w:color w:val="000000"/>
              </w:rPr>
              <w:t>planuojamos ūkinė</w:t>
            </w:r>
            <w:r w:rsidR="00E04B62" w:rsidRPr="00F8190E">
              <w:rPr>
                <w:rFonts w:ascii="Times New Roman" w:eastAsia="Times New Roman" w:hAnsi="Times New Roman" w:cs="Times New Roman"/>
                <w:b/>
                <w:color w:val="000000"/>
              </w:rPr>
              <w:t xml:space="preserve">s veiklos poveikio visuomenės sveikatai vertinimo ataskaitos (toliau – ataskaita) parengimo ir Nacionalinio visuomenės sveikatos centro prie Sveikatos apsaugos ministerijos sprendimo dėl ataskaitos ir dėl planuojamos ūkinės veiklos galimybių pagal Lietuvos Respublikos sveikatos apsaugos ministro 2011 m. gegužės 13 d. įsakymą Nr. V-474 „Dėl Lietuvos Respublikos planuojamos veiklos poveikio aplinkai vertinimo įstatyme numatytų poveikio visuomenės sveikatai vertinimo atlikimo atvejų nustatymo ir tvarkos aprašo patvirtinimo ir įgaliojimų suteikimo ir dėl sanitarinių ribų nustatymo pagal Lietuvos Respublikos sveikatos apsaugos ministro 2004 m. rugpjūčio 19 d. įsakymą Nr. V-586 „Dėl sanitarinės apsaugos zonų ribų nustatymo ir režimo taisyklių patvirtinimo“ ir įrašymo į </w:t>
            </w:r>
            <w:r w:rsidR="00E04B62" w:rsidRPr="00F8190E">
              <w:rPr>
                <w:rFonts w:ascii="Times New Roman" w:eastAsia="Times New Roman" w:hAnsi="Times New Roman" w:cs="Times New Roman"/>
                <w:b/>
                <w:color w:val="000000"/>
              </w:rPr>
              <w:lastRenderedPageBreak/>
              <w:t>Nekilnojamojo turto kadastrą ir Nekilnojamojo turto registrą, vadovaujantis Lietuvos Respublikos že</w:t>
            </w:r>
            <w:r w:rsidR="002B4963" w:rsidRPr="00F8190E">
              <w:rPr>
                <w:rFonts w:ascii="Times New Roman" w:eastAsia="Times New Roman" w:hAnsi="Times New Roman" w:cs="Times New Roman"/>
                <w:b/>
                <w:color w:val="000000"/>
              </w:rPr>
              <w:t>mės įstatymu</w:t>
            </w:r>
            <w:r w:rsidR="00E04B62" w:rsidRPr="00F8190E">
              <w:rPr>
                <w:rFonts w:ascii="Times New Roman" w:eastAsia="Times New Roman" w:hAnsi="Times New Roman" w:cs="Times New Roman"/>
                <w:b/>
                <w:color w:val="000000"/>
              </w:rPr>
              <w:t xml:space="preserve"> ir Lietuvos Respublikos Vyriausybės 2002 m. balandžio 15 d. nutarimu Nr.</w:t>
            </w:r>
            <w:r w:rsidR="000116E9">
              <w:rPr>
                <w:rFonts w:ascii="Times New Roman" w:eastAsia="Times New Roman" w:hAnsi="Times New Roman" w:cs="Times New Roman"/>
                <w:b/>
                <w:color w:val="000000"/>
              </w:rPr>
              <w:t xml:space="preserve"> 534 „Dėl Lietuvos Respublikos n</w:t>
            </w:r>
            <w:bookmarkStart w:id="1" w:name="_GoBack"/>
            <w:bookmarkEnd w:id="1"/>
            <w:r w:rsidR="00E04B62" w:rsidRPr="00F8190E">
              <w:rPr>
                <w:rFonts w:ascii="Times New Roman" w:eastAsia="Times New Roman" w:hAnsi="Times New Roman" w:cs="Times New Roman"/>
                <w:b/>
                <w:color w:val="000000"/>
              </w:rPr>
              <w:t>ekilnojamojo turto kadastro nuostatų patvirtinimo</w:t>
            </w:r>
            <w:r w:rsidRPr="00F8190E">
              <w:rPr>
                <w:rFonts w:ascii="Times New Roman" w:eastAsia="Times New Roman" w:hAnsi="Times New Roman" w:cs="Times New Roman"/>
                <w:color w:val="000000"/>
              </w:rPr>
              <w:t>;</w:t>
            </w:r>
            <w:r w:rsidR="00E04B62" w:rsidRPr="00F8190E">
              <w:rPr>
                <w:rFonts w:ascii="Times New Roman" w:eastAsia="Times New Roman" w:hAnsi="Times New Roman" w:cs="Times New Roman"/>
                <w:color w:val="000000"/>
              </w:rPr>
              <w:t>“</w:t>
            </w:r>
            <w:r w:rsidR="004F36DA" w:rsidRPr="00F8190E">
              <w:rPr>
                <w:rFonts w:ascii="Times New Roman" w:eastAsia="Times New Roman" w:hAnsi="Times New Roman" w:cs="Times New Roman"/>
                <w:color w:val="000000"/>
              </w:rPr>
              <w:t>.</w:t>
            </w:r>
          </w:p>
        </w:tc>
      </w:tr>
      <w:bookmarkEnd w:id="0"/>
      <w:tr w:rsidR="001247C1" w:rsidRPr="00F8190E" w14:paraId="454B07C5" w14:textId="77777777" w:rsidTr="00E60602">
        <w:trPr>
          <w:trHeight w:val="232"/>
        </w:trPr>
        <w:tc>
          <w:tcPr>
            <w:tcW w:w="13984" w:type="dxa"/>
            <w:gridSpan w:val="3"/>
            <w:shd w:val="clear" w:color="auto" w:fill="F2F2F2" w:themeFill="background1" w:themeFillShade="F2"/>
          </w:tcPr>
          <w:p w14:paraId="3F3D69DE" w14:textId="77777777" w:rsidR="001247C1" w:rsidRDefault="001247C1" w:rsidP="00B60A89">
            <w:pPr>
              <w:spacing w:line="276" w:lineRule="auto"/>
              <w:jc w:val="center"/>
              <w:rPr>
                <w:rFonts w:ascii="Times New Roman" w:hAnsi="Times New Roman" w:cs="Times New Roman"/>
                <w:b/>
              </w:rPr>
            </w:pPr>
            <w:r w:rsidRPr="00F8190E">
              <w:rPr>
                <w:rFonts w:ascii="Times New Roman" w:hAnsi="Times New Roman" w:cs="Times New Roman"/>
                <w:b/>
              </w:rPr>
              <w:lastRenderedPageBreak/>
              <w:t xml:space="preserve">Viešosios įstaigos Lietuvos verslo paramos agentūros 2017 m. </w:t>
            </w:r>
            <w:r w:rsidR="006952E3" w:rsidRPr="00F8190E">
              <w:rPr>
                <w:rFonts w:ascii="Times New Roman" w:hAnsi="Times New Roman" w:cs="Times New Roman"/>
                <w:b/>
              </w:rPr>
              <w:t>rugsėjo</w:t>
            </w:r>
            <w:r w:rsidRPr="00F8190E">
              <w:rPr>
                <w:rFonts w:ascii="Times New Roman" w:hAnsi="Times New Roman" w:cs="Times New Roman"/>
                <w:b/>
              </w:rPr>
              <w:t xml:space="preserve"> </w:t>
            </w:r>
            <w:r w:rsidR="00890A36" w:rsidRPr="00F8190E">
              <w:rPr>
                <w:rFonts w:ascii="Times New Roman" w:hAnsi="Times New Roman" w:cs="Times New Roman"/>
                <w:b/>
              </w:rPr>
              <w:t>6</w:t>
            </w:r>
            <w:r w:rsidRPr="00F8190E">
              <w:rPr>
                <w:rFonts w:ascii="Times New Roman" w:hAnsi="Times New Roman" w:cs="Times New Roman"/>
                <w:b/>
              </w:rPr>
              <w:t xml:space="preserve"> d. raštas Nr. R4-</w:t>
            </w:r>
            <w:r w:rsidR="00890A36" w:rsidRPr="00F8190E">
              <w:rPr>
                <w:rFonts w:ascii="Times New Roman" w:hAnsi="Times New Roman" w:cs="Times New Roman"/>
                <w:b/>
              </w:rPr>
              <w:t>4367(3.14</w:t>
            </w:r>
            <w:r w:rsidRPr="00F8190E">
              <w:rPr>
                <w:rFonts w:ascii="Times New Roman" w:hAnsi="Times New Roman" w:cs="Times New Roman"/>
                <w:b/>
              </w:rPr>
              <w:t>)</w:t>
            </w:r>
          </w:p>
          <w:p w14:paraId="519E69BB" w14:textId="661968E1" w:rsidR="002C6571" w:rsidRPr="00F8190E" w:rsidRDefault="002C6571" w:rsidP="00B60A89">
            <w:pPr>
              <w:spacing w:line="276" w:lineRule="auto"/>
              <w:jc w:val="center"/>
              <w:rPr>
                <w:rFonts w:ascii="Times New Roman" w:hAnsi="Times New Roman" w:cs="Times New Roman"/>
                <w:b/>
              </w:rPr>
            </w:pPr>
            <w:r>
              <w:rPr>
                <w:rFonts w:ascii="Times New Roman" w:hAnsi="Times New Roman" w:cs="Times New Roman"/>
                <w:b/>
              </w:rPr>
              <w:t xml:space="preserve">ir 2017 m. rugsėjo 19 d. </w:t>
            </w:r>
            <w:r w:rsidR="00F413F7">
              <w:rPr>
                <w:rFonts w:ascii="Times New Roman" w:hAnsi="Times New Roman" w:cs="Times New Roman"/>
                <w:b/>
              </w:rPr>
              <w:t>PFSA projekto patikros lapas</w:t>
            </w:r>
            <w:r w:rsidR="00581200">
              <w:rPr>
                <w:rFonts w:ascii="Times New Roman" w:hAnsi="Times New Roman" w:cs="Times New Roman"/>
                <w:b/>
              </w:rPr>
              <w:t xml:space="preserve"> (23 ir 24 derinimo pažymos punktai)</w:t>
            </w:r>
          </w:p>
        </w:tc>
      </w:tr>
      <w:tr w:rsidR="001247C1" w:rsidRPr="00F8190E" w14:paraId="622365E8" w14:textId="77777777" w:rsidTr="00E60602">
        <w:trPr>
          <w:trHeight w:val="557"/>
        </w:trPr>
        <w:tc>
          <w:tcPr>
            <w:tcW w:w="574" w:type="dxa"/>
          </w:tcPr>
          <w:p w14:paraId="6A75EC6D" w14:textId="5102A57B" w:rsidR="001247C1" w:rsidRPr="00F8190E" w:rsidRDefault="001247C1" w:rsidP="00B60A89">
            <w:pPr>
              <w:pStyle w:val="ListParagraph"/>
              <w:numPr>
                <w:ilvl w:val="0"/>
                <w:numId w:val="7"/>
              </w:numPr>
              <w:spacing w:line="276" w:lineRule="auto"/>
              <w:ind w:left="357" w:hanging="357"/>
              <w:jc w:val="left"/>
              <w:rPr>
                <w:sz w:val="22"/>
                <w:szCs w:val="22"/>
              </w:rPr>
            </w:pPr>
          </w:p>
        </w:tc>
        <w:tc>
          <w:tcPr>
            <w:tcW w:w="6950" w:type="dxa"/>
          </w:tcPr>
          <w:p w14:paraId="48FC05F6" w14:textId="12417DE2" w:rsidR="001247C1" w:rsidRPr="00F8190E" w:rsidRDefault="001247C1" w:rsidP="00B60A89">
            <w:pPr>
              <w:spacing w:line="276" w:lineRule="auto"/>
              <w:jc w:val="both"/>
              <w:rPr>
                <w:rFonts w:ascii="Times New Roman" w:hAnsi="Times New Roman" w:cs="Times New Roman"/>
              </w:rPr>
            </w:pPr>
            <w:r w:rsidRPr="00F8190E">
              <w:rPr>
                <w:rFonts w:ascii="Times New Roman" w:hAnsi="Times New Roman" w:cs="Times New Roman"/>
              </w:rPr>
              <w:t>Siūloma patikslinti 2.</w:t>
            </w:r>
            <w:r w:rsidR="006952E3" w:rsidRPr="00F8190E">
              <w:rPr>
                <w:rFonts w:ascii="Times New Roman" w:hAnsi="Times New Roman" w:cs="Times New Roman"/>
              </w:rPr>
              <w:t>8</w:t>
            </w:r>
            <w:r w:rsidRPr="00F8190E">
              <w:rPr>
                <w:rFonts w:ascii="Times New Roman" w:hAnsi="Times New Roman" w:cs="Times New Roman"/>
              </w:rPr>
              <w:t xml:space="preserve"> p. </w:t>
            </w:r>
            <w:r w:rsidR="003F094A" w:rsidRPr="00F8190E">
              <w:rPr>
                <w:rFonts w:ascii="Times New Roman" w:hAnsi="Times New Roman" w:cs="Times New Roman"/>
              </w:rPr>
              <w:t xml:space="preserve">ištaisant </w:t>
            </w:r>
            <w:r w:rsidR="003F094A" w:rsidRPr="00F8190E">
              <w:rPr>
                <w:rFonts w:ascii="Times New Roman" w:eastAsia="Times New Roman" w:hAnsi="Times New Roman" w:cs="Times New Roman"/>
              </w:rPr>
              <w:t>2014 m. birželio 17 d. Komisijos reglamento (ES) Nr. 651/2014, kuriuo tam tikrų kategorijų pagalba skelbiama suderinama su vidaus rinka taikant Sutarties 107 ir 108 straipsnius (OL 2017 L 187, p. 1) paskutinių pakeitimų EK reglamento datą.</w:t>
            </w:r>
          </w:p>
        </w:tc>
        <w:tc>
          <w:tcPr>
            <w:tcW w:w="6460" w:type="dxa"/>
          </w:tcPr>
          <w:p w14:paraId="077D8B95" w14:textId="77777777" w:rsidR="001247C1" w:rsidRPr="00F8190E" w:rsidRDefault="001247C1"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6FDF3C90" w14:textId="60047F66" w:rsidR="001247C1" w:rsidRPr="00F8190E" w:rsidRDefault="003F094A" w:rsidP="00B60A89">
            <w:pPr>
              <w:spacing w:line="276" w:lineRule="auto"/>
              <w:jc w:val="both"/>
              <w:rPr>
                <w:rFonts w:ascii="Times New Roman" w:hAnsi="Times New Roman" w:cs="Times New Roman"/>
                <w:b/>
              </w:rPr>
            </w:pPr>
            <w:r w:rsidRPr="00F8190E">
              <w:rPr>
                <w:rFonts w:ascii="Times New Roman" w:hAnsi="Times New Roman" w:cs="Times New Roman"/>
              </w:rPr>
              <w:t xml:space="preserve">Žr. derinimo pažymos 1 </w:t>
            </w:r>
            <w:r w:rsidR="007867FF" w:rsidRPr="00F8190E">
              <w:rPr>
                <w:rFonts w:ascii="Times New Roman" w:hAnsi="Times New Roman" w:cs="Times New Roman"/>
              </w:rPr>
              <w:t>punktą.</w:t>
            </w:r>
          </w:p>
        </w:tc>
      </w:tr>
      <w:tr w:rsidR="007867FF" w:rsidRPr="00F8190E" w14:paraId="6E952694" w14:textId="77777777" w:rsidTr="00E60602">
        <w:trPr>
          <w:trHeight w:val="557"/>
        </w:trPr>
        <w:tc>
          <w:tcPr>
            <w:tcW w:w="574" w:type="dxa"/>
          </w:tcPr>
          <w:p w14:paraId="091546C1" w14:textId="6A751DCE"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10481D41" w14:textId="4C88C1A0" w:rsidR="007867FF" w:rsidRPr="00F8190E" w:rsidRDefault="009C5B41" w:rsidP="00B60A89">
            <w:pPr>
              <w:spacing w:line="276" w:lineRule="auto"/>
              <w:jc w:val="both"/>
              <w:rPr>
                <w:rFonts w:ascii="Times New Roman" w:hAnsi="Times New Roman" w:cs="Times New Roman"/>
              </w:rPr>
            </w:pPr>
            <w:r w:rsidRPr="00F8190E">
              <w:rPr>
                <w:rFonts w:ascii="Times New Roman" w:hAnsi="Times New Roman" w:cs="Times New Roman"/>
              </w:rPr>
              <w:t>3 p.</w:t>
            </w:r>
            <w:r w:rsidR="00005966" w:rsidRPr="00F8190E">
              <w:rPr>
                <w:rFonts w:ascii="Times New Roman" w:hAnsi="Times New Roman" w:cs="Times New Roman"/>
              </w:rPr>
              <w:t xml:space="preserve"> siūloma pakoreguoti </w:t>
            </w:r>
            <w:r w:rsidRPr="00F8190E">
              <w:rPr>
                <w:rFonts w:ascii="Times New Roman" w:hAnsi="Times New Roman" w:cs="Times New Roman"/>
              </w:rPr>
              <w:t>nurodant į Aprašo 4, o ne 2 punktą.</w:t>
            </w:r>
          </w:p>
        </w:tc>
        <w:tc>
          <w:tcPr>
            <w:tcW w:w="6460" w:type="dxa"/>
          </w:tcPr>
          <w:p w14:paraId="6E877476" w14:textId="77777777" w:rsidR="009C5B41" w:rsidRPr="00F8190E" w:rsidRDefault="009C5B41"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0E675475" w14:textId="77777777" w:rsidR="009C5B41" w:rsidRPr="00F8190E" w:rsidRDefault="009C5B41" w:rsidP="00B60A89">
            <w:pPr>
              <w:spacing w:line="276" w:lineRule="auto"/>
              <w:jc w:val="both"/>
              <w:rPr>
                <w:rFonts w:ascii="Times New Roman" w:hAnsi="Times New Roman" w:cs="Times New Roman"/>
              </w:rPr>
            </w:pPr>
            <w:r w:rsidRPr="00F8190E">
              <w:rPr>
                <w:rFonts w:ascii="Times New Roman" w:hAnsi="Times New Roman" w:cs="Times New Roman"/>
              </w:rPr>
              <w:t>3 punktas pakoreguotas atitinkamai:</w:t>
            </w:r>
          </w:p>
          <w:p w14:paraId="3996F080" w14:textId="6BBF808D" w:rsidR="007867FF" w:rsidRPr="00F8190E" w:rsidRDefault="009C5B41" w:rsidP="00B60A89">
            <w:pPr>
              <w:spacing w:line="276" w:lineRule="auto"/>
              <w:jc w:val="both"/>
              <w:rPr>
                <w:rFonts w:ascii="Times New Roman" w:hAnsi="Times New Roman" w:cs="Times New Roman"/>
              </w:rPr>
            </w:pPr>
            <w:r w:rsidRPr="00F8190E">
              <w:rPr>
                <w:rFonts w:ascii="Times New Roman" w:hAnsi="Times New Roman" w:cs="Times New Roman"/>
              </w:rPr>
              <w:t>„</w:t>
            </w:r>
            <w:r w:rsidR="00B8553A" w:rsidRPr="00F8190E">
              <w:rPr>
                <w:rFonts w:ascii="Times New Roman" w:eastAsia="Times New Roman" w:hAnsi="Times New Roman" w:cs="Times New Roman"/>
              </w:rPr>
              <w:t xml:space="preserve">Apraše vartojamos sąvokos suprantamos taip, kaip jos apibrėžtos Aprašo </w:t>
            </w:r>
            <w:r w:rsidR="00B8553A" w:rsidRPr="00F8190E">
              <w:rPr>
                <w:rFonts w:ascii="Times New Roman" w:eastAsia="Times New Roman" w:hAnsi="Times New Roman" w:cs="Times New Roman"/>
                <w:strike/>
              </w:rPr>
              <w:t>2</w:t>
            </w:r>
            <w:r w:rsidR="00B8553A" w:rsidRPr="00F8190E">
              <w:rPr>
                <w:rFonts w:ascii="Times New Roman" w:eastAsia="Times New Roman" w:hAnsi="Times New Roman" w:cs="Times New Roman"/>
                <w:b/>
              </w:rPr>
              <w:t>4</w:t>
            </w:r>
            <w:r w:rsidR="00B8553A" w:rsidRPr="00F8190E">
              <w:rPr>
                <w:rFonts w:ascii="Times New Roman" w:eastAsia="Times New Roman" w:hAnsi="Times New Roman" w:cs="Times New Roman"/>
              </w:rPr>
              <w:t xml:space="preserve"> punkte nurodytuose teisės aktuose</w:t>
            </w:r>
            <w:r w:rsidR="000F0594" w:rsidRPr="00F8190E">
              <w:rPr>
                <w:rFonts w:ascii="Times New Roman" w:eastAsia="Times New Roman" w:hAnsi="Times New Roman" w:cs="Times New Roman"/>
              </w:rPr>
              <w:t>&lt;...&gt;</w:t>
            </w:r>
            <w:r w:rsidR="00B8553A" w:rsidRPr="00F8190E">
              <w:rPr>
                <w:rFonts w:ascii="Times New Roman" w:eastAsia="Times New Roman" w:hAnsi="Times New Roman" w:cs="Times New Roman"/>
              </w:rPr>
              <w:t>“.</w:t>
            </w:r>
          </w:p>
        </w:tc>
      </w:tr>
      <w:tr w:rsidR="007867FF" w:rsidRPr="00F8190E" w14:paraId="7FE6E765" w14:textId="77777777" w:rsidTr="00E60602">
        <w:trPr>
          <w:trHeight w:val="557"/>
        </w:trPr>
        <w:tc>
          <w:tcPr>
            <w:tcW w:w="574" w:type="dxa"/>
          </w:tcPr>
          <w:p w14:paraId="517D7A4F"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55CA0529" w14:textId="33812EFC" w:rsidR="007867FF" w:rsidRPr="00F8190E" w:rsidRDefault="00E5477B" w:rsidP="00B60A89">
            <w:pPr>
              <w:spacing w:line="276" w:lineRule="auto"/>
              <w:jc w:val="both"/>
              <w:rPr>
                <w:rFonts w:ascii="Times New Roman" w:hAnsi="Times New Roman" w:cs="Times New Roman"/>
              </w:rPr>
            </w:pPr>
            <w:r w:rsidRPr="00F8190E">
              <w:rPr>
                <w:rFonts w:ascii="Times New Roman" w:hAnsi="Times New Roman" w:cs="Times New Roman"/>
              </w:rPr>
              <w:t>4 ir 10 p. siūloma suvienodinti naudojamas sąvokas „vardinė (nominali) šiluminė galia“ ir „nominalus šiluminis našumas“.</w:t>
            </w:r>
          </w:p>
        </w:tc>
        <w:tc>
          <w:tcPr>
            <w:tcW w:w="6460" w:type="dxa"/>
          </w:tcPr>
          <w:p w14:paraId="45344FAC" w14:textId="77777777" w:rsidR="00E5477B" w:rsidRPr="00F8190E" w:rsidRDefault="00E5477B" w:rsidP="00B60A89">
            <w:pPr>
              <w:spacing w:line="276" w:lineRule="auto"/>
              <w:jc w:val="both"/>
              <w:rPr>
                <w:rFonts w:ascii="Times New Roman" w:hAnsi="Times New Roman" w:cs="Times New Roman"/>
                <w:b/>
              </w:rPr>
            </w:pPr>
            <w:r w:rsidRPr="00F8190E">
              <w:rPr>
                <w:rFonts w:ascii="Times New Roman" w:hAnsi="Times New Roman" w:cs="Times New Roman"/>
                <w:b/>
              </w:rPr>
              <w:t>Atsižvelgta iš dalies.</w:t>
            </w:r>
          </w:p>
          <w:p w14:paraId="5F20B9F6" w14:textId="2F342F09" w:rsidR="000F0594" w:rsidRPr="00F8190E" w:rsidRDefault="004F36DA" w:rsidP="00B60A89">
            <w:pPr>
              <w:spacing w:line="276" w:lineRule="auto"/>
              <w:jc w:val="both"/>
              <w:rPr>
                <w:rFonts w:ascii="Times New Roman" w:hAnsi="Times New Roman" w:cs="Times New Roman"/>
              </w:rPr>
            </w:pPr>
            <w:r w:rsidRPr="00F8190E">
              <w:rPr>
                <w:rFonts w:ascii="Times New Roman" w:hAnsi="Times New Roman" w:cs="Times New Roman"/>
              </w:rPr>
              <w:t>Siūloma</w:t>
            </w:r>
            <w:r w:rsidR="006C33DF" w:rsidRPr="00F8190E">
              <w:rPr>
                <w:rFonts w:ascii="Times New Roman" w:hAnsi="Times New Roman" w:cs="Times New Roman"/>
              </w:rPr>
              <w:t>s</w:t>
            </w:r>
            <w:r w:rsidRPr="00F8190E">
              <w:rPr>
                <w:rFonts w:ascii="Times New Roman" w:hAnsi="Times New Roman" w:cs="Times New Roman"/>
              </w:rPr>
              <w:t xml:space="preserve"> keitimas susijęs su priemonės įgyvendinimo planu, kuris </w:t>
            </w:r>
            <w:r w:rsidR="000F0594" w:rsidRPr="00F8190E">
              <w:rPr>
                <w:rFonts w:ascii="Times New Roman" w:hAnsi="Times New Roman" w:cs="Times New Roman"/>
              </w:rPr>
              <w:t>yra patvirtintas, todėl būtų neracionalu potencial</w:t>
            </w:r>
            <w:r w:rsidR="006C33DF" w:rsidRPr="00F8190E">
              <w:rPr>
                <w:rFonts w:ascii="Times New Roman" w:hAnsi="Times New Roman" w:cs="Times New Roman"/>
              </w:rPr>
              <w:t>i</w:t>
            </w:r>
            <w:r w:rsidR="000F0594" w:rsidRPr="00F8190E">
              <w:rPr>
                <w:rFonts w:ascii="Times New Roman" w:hAnsi="Times New Roman" w:cs="Times New Roman"/>
              </w:rPr>
              <w:t>us pareiškėjus versti laukti, kol jis bus pakeistas</w:t>
            </w:r>
            <w:r w:rsidR="00586354" w:rsidRPr="00F8190E">
              <w:rPr>
                <w:rFonts w:ascii="Times New Roman" w:hAnsi="Times New Roman" w:cs="Times New Roman"/>
              </w:rPr>
              <w:t>, nes projektų įgyvendinimas priklauso nuo sezoniškumo. Tod</w:t>
            </w:r>
            <w:r w:rsidR="000F0594" w:rsidRPr="00F8190E">
              <w:rPr>
                <w:rFonts w:ascii="Times New Roman" w:hAnsi="Times New Roman" w:cs="Times New Roman"/>
              </w:rPr>
              <w:t>ėl 4 punktas papildytas, kad sąvokos būtų tapačios:</w:t>
            </w:r>
          </w:p>
          <w:p w14:paraId="61F962E6" w14:textId="141E5882" w:rsidR="004F36DA" w:rsidRPr="00F8190E" w:rsidRDefault="004F36DA" w:rsidP="00B60A89">
            <w:pPr>
              <w:tabs>
                <w:tab w:val="left" w:pos="851"/>
                <w:tab w:val="left" w:pos="1276"/>
                <w:tab w:val="left" w:pos="1418"/>
                <w:tab w:val="left" w:pos="1560"/>
                <w:tab w:val="left" w:pos="1701"/>
                <w:tab w:val="left" w:pos="1843"/>
              </w:tabs>
              <w:spacing w:line="276" w:lineRule="auto"/>
              <w:jc w:val="both"/>
              <w:rPr>
                <w:rFonts w:ascii="Times New Roman" w:hAnsi="Times New Roman" w:cs="Times New Roman"/>
              </w:rPr>
            </w:pPr>
            <w:r w:rsidRPr="00F8190E">
              <w:rPr>
                <w:rFonts w:ascii="Times New Roman" w:hAnsi="Times New Roman" w:cs="Times New Roman"/>
              </w:rPr>
              <w:t>„</w:t>
            </w:r>
            <w:r w:rsidR="00DB2434" w:rsidRPr="00F8190E">
              <w:rPr>
                <w:rFonts w:ascii="Times New Roman" w:eastAsia="Times New Roman" w:hAnsi="Times New Roman" w:cs="Times New Roman"/>
                <w:bCs/>
                <w:color w:val="000000"/>
              </w:rPr>
              <w:t xml:space="preserve">Vardinė (nominali) šiluminė galia suprantama taip, kaip apibrėžta Lietuvos Respublikos energetikos įstatyme. </w:t>
            </w:r>
            <w:r w:rsidR="00DB2434" w:rsidRPr="00F8190E">
              <w:rPr>
                <w:rFonts w:ascii="Times New Roman" w:eastAsia="Times New Roman" w:hAnsi="Times New Roman" w:cs="Times New Roman"/>
                <w:b/>
                <w:bCs/>
                <w:color w:val="000000"/>
              </w:rPr>
              <w:t>Vardinė (nominali) šiluminė galia taip pat vadinama visu nominaliu šiluminiu našumu.</w:t>
            </w:r>
            <w:r w:rsidRPr="00F8190E">
              <w:rPr>
                <w:rFonts w:ascii="Times New Roman" w:hAnsi="Times New Roman" w:cs="Times New Roman"/>
              </w:rPr>
              <w:t>“</w:t>
            </w:r>
          </w:p>
          <w:p w14:paraId="4234D547" w14:textId="48151C9E" w:rsidR="007867FF" w:rsidRPr="00F8190E" w:rsidRDefault="004F36DA" w:rsidP="00B60A89">
            <w:pPr>
              <w:tabs>
                <w:tab w:val="left" w:pos="851"/>
                <w:tab w:val="left" w:pos="1276"/>
                <w:tab w:val="left" w:pos="1418"/>
                <w:tab w:val="left" w:pos="1560"/>
                <w:tab w:val="left" w:pos="1701"/>
                <w:tab w:val="left" w:pos="1843"/>
              </w:tabs>
              <w:spacing w:line="276" w:lineRule="auto"/>
              <w:jc w:val="both"/>
              <w:rPr>
                <w:rFonts w:ascii="Times New Roman" w:eastAsia="Times New Roman" w:hAnsi="Times New Roman" w:cs="Times New Roman"/>
                <w:bCs/>
                <w:color w:val="000000"/>
              </w:rPr>
            </w:pPr>
            <w:r w:rsidRPr="00F8190E">
              <w:rPr>
                <w:rFonts w:ascii="Times New Roman" w:hAnsi="Times New Roman" w:cs="Times New Roman"/>
              </w:rPr>
              <w:t>Keičiant priemonės įgyvendinimo planą</w:t>
            </w:r>
            <w:r w:rsidR="00A17872" w:rsidRPr="00F8190E">
              <w:rPr>
                <w:rFonts w:ascii="Times New Roman" w:hAnsi="Times New Roman" w:cs="Times New Roman"/>
              </w:rPr>
              <w:t>,</w:t>
            </w:r>
            <w:r w:rsidRPr="00F8190E">
              <w:rPr>
                <w:rFonts w:ascii="Times New Roman" w:hAnsi="Times New Roman" w:cs="Times New Roman"/>
              </w:rPr>
              <w:t xml:space="preserve"> bus svarstoma galimybė išbraukti prierašą „visas nominalus šiluminis našumas ne didesnis nei 20 MW“.</w:t>
            </w:r>
            <w:r w:rsidRPr="00F8190E">
              <w:rPr>
                <w:rFonts w:ascii="Times New Roman" w:eastAsia="Times New Roman" w:hAnsi="Times New Roman" w:cs="Times New Roman"/>
                <w:bCs/>
                <w:color w:val="000000"/>
              </w:rPr>
              <w:t xml:space="preserve">         </w:t>
            </w:r>
          </w:p>
        </w:tc>
      </w:tr>
      <w:tr w:rsidR="007867FF" w:rsidRPr="00F8190E" w14:paraId="4DE58705" w14:textId="77777777" w:rsidTr="00E60602">
        <w:trPr>
          <w:trHeight w:val="557"/>
        </w:trPr>
        <w:tc>
          <w:tcPr>
            <w:tcW w:w="574" w:type="dxa"/>
          </w:tcPr>
          <w:p w14:paraId="2AC55BD7"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70610152" w14:textId="4BE5C692" w:rsidR="007867FF" w:rsidRPr="00F8190E" w:rsidRDefault="004F36DA" w:rsidP="00B60A89">
            <w:pPr>
              <w:spacing w:line="276" w:lineRule="auto"/>
              <w:jc w:val="both"/>
              <w:rPr>
                <w:rFonts w:ascii="Times New Roman" w:hAnsi="Times New Roman" w:cs="Times New Roman"/>
              </w:rPr>
            </w:pPr>
            <w:r w:rsidRPr="00F8190E">
              <w:rPr>
                <w:rFonts w:ascii="Times New Roman" w:hAnsi="Times New Roman" w:cs="Times New Roman"/>
              </w:rPr>
              <w:t>10 punkte siūloma išbraukti žodį „visas“</w:t>
            </w:r>
            <w:r w:rsidR="00586354" w:rsidRPr="00F8190E">
              <w:rPr>
                <w:rFonts w:ascii="Times New Roman" w:hAnsi="Times New Roman" w:cs="Times New Roman"/>
              </w:rPr>
              <w:t>.</w:t>
            </w:r>
          </w:p>
        </w:tc>
        <w:tc>
          <w:tcPr>
            <w:tcW w:w="6460" w:type="dxa"/>
          </w:tcPr>
          <w:p w14:paraId="33F65704" w14:textId="7BCD3712" w:rsidR="00586354" w:rsidRPr="00F8190E" w:rsidRDefault="00586354" w:rsidP="00B60A89">
            <w:pPr>
              <w:spacing w:line="276" w:lineRule="auto"/>
              <w:jc w:val="both"/>
              <w:rPr>
                <w:rFonts w:ascii="Times New Roman" w:hAnsi="Times New Roman" w:cs="Times New Roman"/>
                <w:b/>
              </w:rPr>
            </w:pPr>
            <w:r w:rsidRPr="00F8190E">
              <w:rPr>
                <w:rFonts w:ascii="Times New Roman" w:hAnsi="Times New Roman" w:cs="Times New Roman"/>
                <w:b/>
              </w:rPr>
              <w:t>Neatsižvelgta.</w:t>
            </w:r>
          </w:p>
          <w:p w14:paraId="547CAC29" w14:textId="30654881" w:rsidR="007867FF" w:rsidRPr="00F8190E" w:rsidRDefault="00586354" w:rsidP="00B60A89">
            <w:pPr>
              <w:spacing w:line="276" w:lineRule="auto"/>
              <w:jc w:val="both"/>
              <w:rPr>
                <w:rFonts w:ascii="Times New Roman" w:hAnsi="Times New Roman" w:cs="Times New Roman"/>
                <w:b/>
              </w:rPr>
            </w:pPr>
            <w:r w:rsidRPr="00F8190E">
              <w:rPr>
                <w:rFonts w:ascii="Times New Roman" w:hAnsi="Times New Roman" w:cs="Times New Roman"/>
              </w:rPr>
              <w:t>Argumentus žr. derinimo pažymos 5 punkte.</w:t>
            </w:r>
          </w:p>
        </w:tc>
      </w:tr>
      <w:tr w:rsidR="007867FF" w:rsidRPr="00F8190E" w14:paraId="538AAC61" w14:textId="77777777" w:rsidTr="00E60602">
        <w:trPr>
          <w:trHeight w:val="557"/>
        </w:trPr>
        <w:tc>
          <w:tcPr>
            <w:tcW w:w="574" w:type="dxa"/>
          </w:tcPr>
          <w:p w14:paraId="6F28B22B"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49BEF33C" w14:textId="459A281F" w:rsidR="009B74F2" w:rsidRPr="00F8190E" w:rsidRDefault="00586354" w:rsidP="00B60A89">
            <w:pPr>
              <w:spacing w:line="276" w:lineRule="auto"/>
              <w:jc w:val="both"/>
              <w:rPr>
                <w:rFonts w:ascii="Times New Roman" w:hAnsi="Times New Roman" w:cs="Times New Roman"/>
              </w:rPr>
            </w:pPr>
            <w:r w:rsidRPr="00F8190E">
              <w:rPr>
                <w:rFonts w:ascii="Times New Roman" w:hAnsi="Times New Roman" w:cs="Times New Roman"/>
              </w:rPr>
              <w:t>Atkreipiamas dėmesys, kad skaičiuojant biokuro dalį šilumos gamybos kuro balanse pagal Aprašo 17.1 p. nėra traukiamas planuojamas įgyvendinti projektas, o skaičiuojant pagal 17.2 p.</w:t>
            </w:r>
            <w:r w:rsidR="009B74F2" w:rsidRPr="00F8190E">
              <w:rPr>
                <w:rFonts w:ascii="Times New Roman" w:hAnsi="Times New Roman" w:cs="Times New Roman"/>
              </w:rPr>
              <w:t>,</w:t>
            </w:r>
            <w:r w:rsidRPr="00F8190E">
              <w:rPr>
                <w:rFonts w:ascii="Times New Roman" w:hAnsi="Times New Roman" w:cs="Times New Roman"/>
              </w:rPr>
              <w:t xml:space="preserve"> planuojamas įgyvendinti projektas traukiamas.</w:t>
            </w:r>
          </w:p>
          <w:p w14:paraId="0747FEFB" w14:textId="37C654AC" w:rsidR="007867FF" w:rsidRPr="00F8190E" w:rsidRDefault="009B74F2" w:rsidP="00B60A89">
            <w:pPr>
              <w:spacing w:line="276" w:lineRule="auto"/>
              <w:jc w:val="both"/>
              <w:rPr>
                <w:rFonts w:ascii="Times New Roman" w:hAnsi="Times New Roman" w:cs="Times New Roman"/>
              </w:rPr>
            </w:pPr>
            <w:r w:rsidRPr="00F8190E">
              <w:rPr>
                <w:rFonts w:ascii="Times New Roman" w:hAnsi="Times New Roman" w:cs="Times New Roman"/>
              </w:rPr>
              <w:lastRenderedPageBreak/>
              <w:t>Taip pat atkreipi</w:t>
            </w:r>
            <w:r w:rsidR="00292665" w:rsidRPr="00F8190E">
              <w:rPr>
                <w:rFonts w:ascii="Times New Roman" w:hAnsi="Times New Roman" w:cs="Times New Roman"/>
              </w:rPr>
              <w:t>a</w:t>
            </w:r>
            <w:r w:rsidRPr="00F8190E">
              <w:rPr>
                <w:rFonts w:ascii="Times New Roman" w:hAnsi="Times New Roman" w:cs="Times New Roman"/>
              </w:rPr>
              <w:t xml:space="preserve">mas dėmesys, kad 17.2 punkte </w:t>
            </w:r>
            <w:r w:rsidR="00292665" w:rsidRPr="00F8190E">
              <w:rPr>
                <w:rFonts w:ascii="Times New Roman" w:eastAsia="Calibri" w:hAnsi="Times New Roman" w:cs="Times New Roman"/>
              </w:rPr>
              <w:t>prie centralizuotos šilumos tiekimo sistemos prijungtų biokurą naudojančių šilumos gamybos įrenginių pagamintas šilumos kiekis skaičiuojamas už praėjusius metus nuo paraiškos pateikimo, o tuo tarpu tame pačiame punkte minimas šilumos kiekio aritmetinis vidurkis skaičiuojamas kalendoriniams metams.</w:t>
            </w:r>
          </w:p>
        </w:tc>
        <w:tc>
          <w:tcPr>
            <w:tcW w:w="6460" w:type="dxa"/>
          </w:tcPr>
          <w:p w14:paraId="4533E575" w14:textId="77777777" w:rsidR="00586354" w:rsidRPr="00F8190E" w:rsidRDefault="00586354" w:rsidP="00B60A89">
            <w:pPr>
              <w:spacing w:line="276" w:lineRule="auto"/>
              <w:jc w:val="both"/>
              <w:rPr>
                <w:rFonts w:ascii="Times New Roman" w:hAnsi="Times New Roman" w:cs="Times New Roman"/>
                <w:b/>
              </w:rPr>
            </w:pPr>
            <w:r w:rsidRPr="00F8190E">
              <w:rPr>
                <w:rFonts w:ascii="Times New Roman" w:hAnsi="Times New Roman" w:cs="Times New Roman"/>
                <w:b/>
              </w:rPr>
              <w:lastRenderedPageBreak/>
              <w:t>Atsižvelgta.</w:t>
            </w:r>
          </w:p>
          <w:p w14:paraId="212F6F21" w14:textId="48480EC5" w:rsidR="009B74F2" w:rsidRPr="00F8190E" w:rsidRDefault="009B74F2" w:rsidP="00B60A89">
            <w:pPr>
              <w:spacing w:line="276" w:lineRule="auto"/>
              <w:jc w:val="both"/>
              <w:rPr>
                <w:rFonts w:ascii="Times New Roman" w:hAnsi="Times New Roman" w:cs="Times New Roman"/>
              </w:rPr>
            </w:pPr>
            <w:r w:rsidRPr="00F8190E">
              <w:rPr>
                <w:rFonts w:ascii="Times New Roman" w:hAnsi="Times New Roman" w:cs="Times New Roman"/>
              </w:rPr>
              <w:t xml:space="preserve">Siekiant lygiateisiškumo pareiškėjų atžvilgiu, </w:t>
            </w:r>
            <w:r w:rsidR="000556BB" w:rsidRPr="00F8190E">
              <w:rPr>
                <w:rFonts w:ascii="Times New Roman" w:hAnsi="Times New Roman" w:cs="Times New Roman"/>
              </w:rPr>
              <w:t>atsižvelgiant į priemonės „Biokuro panaudojimo skati</w:t>
            </w:r>
            <w:r w:rsidR="007F6FC5" w:rsidRPr="00F8190E">
              <w:rPr>
                <w:rFonts w:ascii="Times New Roman" w:hAnsi="Times New Roman" w:cs="Times New Roman"/>
              </w:rPr>
              <w:t>nimas šilumos energijai gaminti</w:t>
            </w:r>
            <w:r w:rsidR="002566A0" w:rsidRPr="00F8190E">
              <w:rPr>
                <w:rFonts w:ascii="Times New Roman" w:hAnsi="Times New Roman" w:cs="Times New Roman"/>
              </w:rPr>
              <w:t xml:space="preserve">“ projektų finansavimo sąlygų aprašo </w:t>
            </w:r>
            <w:r w:rsidR="007F6FC5" w:rsidRPr="00F8190E">
              <w:rPr>
                <w:rFonts w:ascii="Times New Roman" w:hAnsi="Times New Roman" w:cs="Times New Roman"/>
              </w:rPr>
              <w:t>(toliau – PFSA)</w:t>
            </w:r>
            <w:r w:rsidR="002566A0" w:rsidRPr="00F8190E">
              <w:rPr>
                <w:rFonts w:ascii="Times New Roman" w:hAnsi="Times New Roman" w:cs="Times New Roman"/>
              </w:rPr>
              <w:t xml:space="preserve"> pakeitimą</w:t>
            </w:r>
            <w:r w:rsidR="0072711D" w:rsidRPr="00F8190E">
              <w:rPr>
                <w:rFonts w:ascii="Times New Roman" w:hAnsi="Times New Roman" w:cs="Times New Roman"/>
              </w:rPr>
              <w:t xml:space="preserve"> </w:t>
            </w:r>
            <w:r w:rsidR="00E74859" w:rsidRPr="00F8190E">
              <w:rPr>
                <w:rFonts w:ascii="Times New Roman" w:hAnsi="Times New Roman" w:cs="Times New Roman"/>
              </w:rPr>
              <w:t>17.</w:t>
            </w:r>
            <w:r w:rsidRPr="00F8190E">
              <w:rPr>
                <w:rFonts w:ascii="Times New Roman" w:hAnsi="Times New Roman" w:cs="Times New Roman"/>
              </w:rPr>
              <w:t>2 papunktis pakoreguotas atitinkamai:</w:t>
            </w:r>
          </w:p>
          <w:p w14:paraId="700D9143" w14:textId="2BB48FB8" w:rsidR="00E74859" w:rsidRPr="00F8190E" w:rsidRDefault="00292665" w:rsidP="00B60A89">
            <w:pPr>
              <w:spacing w:line="276" w:lineRule="auto"/>
              <w:jc w:val="both"/>
              <w:rPr>
                <w:rFonts w:ascii="Times New Roman" w:hAnsi="Times New Roman" w:cs="Times New Roman"/>
              </w:rPr>
            </w:pPr>
            <w:r w:rsidRPr="00F8190E">
              <w:rPr>
                <w:rFonts w:ascii="Times New Roman" w:hAnsi="Times New Roman" w:cs="Times New Roman"/>
              </w:rPr>
              <w:lastRenderedPageBreak/>
              <w:t>„</w:t>
            </w:r>
            <w:r w:rsidR="009B74F2" w:rsidRPr="00F8190E">
              <w:rPr>
                <w:rFonts w:ascii="Times New Roman" w:hAnsi="Times New Roman" w:cs="Times New Roman"/>
              </w:rPr>
              <w:t>kai per pastaruosius trejus metus iki paraiškos pateikimo dienos prie centralizuoto šilumos tiekimo sistemos, kurioje planuojama įgyvendinti projektą, buvo prijungtas naujas biokurą naudojantis šilumos (ir elektros) gamybos įrenginys ir (arba) Ministerija išdavė biokurą naudojančio šilumos (ir elektros) gamybos įrenginio įrengimui būtiną rašytinį pritarimą statinio projektui iki prašymo išduoti statybą leidžiantį dokumentą pateikimo, apskaičiuojama kaip prie centralizuoto šilumos tiekimo sistemos prijungtų biokurą naudojančių šilumos (ir elektros) gamybos įrenginių</w:t>
            </w:r>
            <w:r w:rsidR="009B74F2" w:rsidRPr="00F8190E">
              <w:rPr>
                <w:rFonts w:ascii="Times New Roman" w:hAnsi="Times New Roman" w:cs="Times New Roman"/>
                <w:strike/>
              </w:rPr>
              <w:t>, per praėjusius metus iki paraiškos pateikimo dienos, pagamintos šilumos kiekio (MWh)</w:t>
            </w:r>
            <w:r w:rsidR="009B74F2" w:rsidRPr="00F8190E">
              <w:rPr>
                <w:rFonts w:ascii="Times New Roman" w:hAnsi="Times New Roman" w:cs="Times New Roman"/>
              </w:rPr>
              <w:t xml:space="preserve"> ir planuojamų prijungti biokurą naudojančių šilumos (ir elektros) gamybos įrenginių, kuriems Ministerija yra išdavusi biokurą naudojančio šilumos (ir elektros) gamybos įrenginio įrengimui būtiną rašytinį pritarimą statinio projektui iki prašymo išduoti statybą leidžiantį dokumentą pateikimo</w:t>
            </w:r>
            <w:r w:rsidRPr="00F8190E">
              <w:rPr>
                <w:rFonts w:ascii="Times New Roman" w:hAnsi="Times New Roman" w:cs="Times New Roman"/>
                <w:b/>
              </w:rPr>
              <w:t>,</w:t>
            </w:r>
            <w:r w:rsidR="009B74F2" w:rsidRPr="00F8190E">
              <w:rPr>
                <w:rFonts w:ascii="Times New Roman" w:hAnsi="Times New Roman" w:cs="Times New Roman"/>
              </w:rPr>
              <w:t xml:space="preserve"> </w:t>
            </w:r>
            <w:r w:rsidR="009B74F2" w:rsidRPr="00F8190E">
              <w:rPr>
                <w:rFonts w:ascii="Times New Roman" w:hAnsi="Times New Roman" w:cs="Times New Roman"/>
                <w:strike/>
              </w:rPr>
              <w:t xml:space="preserve">bei planuojamo įgyvendinti projekto </w:t>
            </w:r>
            <w:r w:rsidR="009B74F2" w:rsidRPr="00F8190E">
              <w:rPr>
                <w:rFonts w:ascii="Times New Roman" w:hAnsi="Times New Roman" w:cs="Times New Roman"/>
              </w:rPr>
              <w:t xml:space="preserve">instaliuotos galios (MW), padaugintos iš </w:t>
            </w:r>
            <w:r w:rsidR="009B74F2" w:rsidRPr="00F8190E">
              <w:rPr>
                <w:rFonts w:ascii="Times New Roman" w:hAnsi="Times New Roman" w:cs="Times New Roman"/>
                <w:strike/>
              </w:rPr>
              <w:t>8 000</w:t>
            </w:r>
            <w:r w:rsidR="009B74F2" w:rsidRPr="00F8190E">
              <w:rPr>
                <w:rFonts w:ascii="Times New Roman" w:hAnsi="Times New Roman" w:cs="Times New Roman"/>
              </w:rPr>
              <w:t xml:space="preserve"> </w:t>
            </w:r>
            <w:r w:rsidR="00BD0260" w:rsidRPr="00F8190E">
              <w:rPr>
                <w:rFonts w:ascii="Times New Roman" w:hAnsi="Times New Roman" w:cs="Times New Roman"/>
                <w:b/>
              </w:rPr>
              <w:t xml:space="preserve">4 000 </w:t>
            </w:r>
            <w:r w:rsidR="009B74F2" w:rsidRPr="00F8190E">
              <w:rPr>
                <w:rFonts w:ascii="Times New Roman" w:hAnsi="Times New Roman" w:cs="Times New Roman"/>
              </w:rPr>
              <w:t xml:space="preserve">val., suma, padalyta iš praėjusių trejų </w:t>
            </w:r>
            <w:r w:rsidR="009B74F2" w:rsidRPr="00F8190E">
              <w:rPr>
                <w:rFonts w:ascii="Times New Roman" w:hAnsi="Times New Roman" w:cs="Times New Roman"/>
                <w:strike/>
              </w:rPr>
              <w:t>kalendorinių</w:t>
            </w:r>
            <w:r w:rsidR="009B74F2" w:rsidRPr="00F8190E">
              <w:rPr>
                <w:rFonts w:ascii="Times New Roman" w:hAnsi="Times New Roman" w:cs="Times New Roman"/>
              </w:rPr>
              <w:t xml:space="preserve"> metų iki paraiškos pateikimo dienos pagamintos šilumos kiekio (MWh) aritmetinio vidurkio.</w:t>
            </w:r>
          </w:p>
        </w:tc>
      </w:tr>
      <w:tr w:rsidR="007867FF" w:rsidRPr="00F8190E" w14:paraId="0C658E1D" w14:textId="77777777" w:rsidTr="00E60602">
        <w:trPr>
          <w:trHeight w:val="557"/>
        </w:trPr>
        <w:tc>
          <w:tcPr>
            <w:tcW w:w="574" w:type="dxa"/>
          </w:tcPr>
          <w:p w14:paraId="3D8F1690"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35617345" w14:textId="34C52C17" w:rsidR="007867FF" w:rsidRPr="00F8190E" w:rsidRDefault="00292665" w:rsidP="00B60A89">
            <w:pPr>
              <w:spacing w:line="276" w:lineRule="auto"/>
              <w:jc w:val="both"/>
              <w:rPr>
                <w:rFonts w:ascii="Times New Roman" w:hAnsi="Times New Roman" w:cs="Times New Roman"/>
              </w:rPr>
            </w:pPr>
            <w:r w:rsidRPr="00F8190E">
              <w:rPr>
                <w:rFonts w:ascii="Times New Roman" w:hAnsi="Times New Roman" w:cs="Times New Roman"/>
              </w:rPr>
              <w:t>Siūloma Aprašo 10 p. nuimti skliaustus ir akcentuoti, jog draudžiama finansuoti įrenginius Vilniaus ir Kauno miestuose</w:t>
            </w:r>
            <w:r w:rsidR="006C33DF" w:rsidRPr="00F8190E">
              <w:rPr>
                <w:rFonts w:ascii="Times New Roman" w:hAnsi="Times New Roman" w:cs="Times New Roman"/>
              </w:rPr>
              <w:t>.</w:t>
            </w:r>
          </w:p>
        </w:tc>
        <w:tc>
          <w:tcPr>
            <w:tcW w:w="6460" w:type="dxa"/>
          </w:tcPr>
          <w:p w14:paraId="56FFBDFC" w14:textId="7AB5EAF2" w:rsidR="006C33DF" w:rsidRPr="00F8190E" w:rsidRDefault="00CB15CC" w:rsidP="00B60A89">
            <w:pPr>
              <w:spacing w:line="276" w:lineRule="auto"/>
              <w:jc w:val="both"/>
              <w:rPr>
                <w:rFonts w:ascii="Times New Roman" w:hAnsi="Times New Roman" w:cs="Times New Roman"/>
                <w:b/>
              </w:rPr>
            </w:pPr>
            <w:r w:rsidRPr="00F8190E">
              <w:rPr>
                <w:rFonts w:ascii="Times New Roman" w:hAnsi="Times New Roman" w:cs="Times New Roman"/>
                <w:b/>
              </w:rPr>
              <w:t>Atsižvelgta iš dalies</w:t>
            </w:r>
            <w:r w:rsidR="006C33DF" w:rsidRPr="00F8190E">
              <w:rPr>
                <w:rFonts w:ascii="Times New Roman" w:hAnsi="Times New Roman" w:cs="Times New Roman"/>
                <w:b/>
              </w:rPr>
              <w:t>.</w:t>
            </w:r>
          </w:p>
          <w:p w14:paraId="768FF98D" w14:textId="65AE5511" w:rsidR="007867FF" w:rsidRPr="00F8190E" w:rsidRDefault="006C33DF" w:rsidP="00B60A89">
            <w:pPr>
              <w:spacing w:line="276" w:lineRule="auto"/>
              <w:jc w:val="both"/>
              <w:rPr>
                <w:rFonts w:ascii="Times New Roman" w:hAnsi="Times New Roman" w:cs="Times New Roman"/>
              </w:rPr>
            </w:pPr>
            <w:r w:rsidRPr="00F8190E">
              <w:rPr>
                <w:rFonts w:ascii="Times New Roman" w:hAnsi="Times New Roman" w:cs="Times New Roman"/>
              </w:rPr>
              <w:t xml:space="preserve">Siūlomas keitimas susijęs su priemonės įgyvendinimo planu, kuris yra patvirtintas, todėl būtų neracionalu potencialius pareiškėjus versti laukti, kol jis bus pakeistas, </w:t>
            </w:r>
            <w:r w:rsidR="00CB15CC" w:rsidRPr="00F8190E">
              <w:rPr>
                <w:rFonts w:ascii="Times New Roman" w:hAnsi="Times New Roman" w:cs="Times New Roman"/>
              </w:rPr>
              <w:t>todėl veikla nekoreguota, b</w:t>
            </w:r>
            <w:r w:rsidR="000116E9">
              <w:rPr>
                <w:rFonts w:ascii="Times New Roman" w:hAnsi="Times New Roman" w:cs="Times New Roman"/>
              </w:rPr>
              <w:t>et įrašytas paaiškinimas „&lt;...&gt;</w:t>
            </w:r>
            <w:r w:rsidR="000116E9" w:rsidRPr="000116E9">
              <w:rPr>
                <w:rFonts w:ascii="Times New Roman" w:hAnsi="Times New Roman" w:cs="Times New Roman"/>
                <w:b/>
              </w:rPr>
              <w:t>R</w:t>
            </w:r>
            <w:r w:rsidR="00CB15CC" w:rsidRPr="00F8190E">
              <w:rPr>
                <w:rFonts w:ascii="Times New Roman" w:eastAsia="Times New Roman" w:hAnsi="Times New Roman" w:cs="Times New Roman"/>
                <w:b/>
              </w:rPr>
              <w:t>emiama veikla nebus finansuojama Vilniaus ir Kauno miestų centralizuoto šilumos tiekimo sistemose.</w:t>
            </w:r>
            <w:r w:rsidR="00CB15CC" w:rsidRPr="00F8190E">
              <w:rPr>
                <w:rFonts w:ascii="Times New Roman" w:eastAsia="Times New Roman" w:hAnsi="Times New Roman" w:cs="Times New Roman"/>
              </w:rPr>
              <w:t xml:space="preserve">“     </w:t>
            </w:r>
          </w:p>
        </w:tc>
      </w:tr>
      <w:tr w:rsidR="007867FF" w:rsidRPr="00F8190E" w14:paraId="7386A83E" w14:textId="77777777" w:rsidTr="00E60602">
        <w:trPr>
          <w:trHeight w:val="557"/>
        </w:trPr>
        <w:tc>
          <w:tcPr>
            <w:tcW w:w="574" w:type="dxa"/>
          </w:tcPr>
          <w:p w14:paraId="6AF21F74"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65AD8CFD" w14:textId="40EF0D4C" w:rsidR="007867FF" w:rsidRPr="00F8190E" w:rsidRDefault="00FA5346" w:rsidP="00B60A89">
            <w:pPr>
              <w:spacing w:line="276" w:lineRule="auto"/>
              <w:jc w:val="both"/>
              <w:rPr>
                <w:rFonts w:ascii="Times New Roman" w:hAnsi="Times New Roman" w:cs="Times New Roman"/>
              </w:rPr>
            </w:pPr>
            <w:r w:rsidRPr="00F8190E">
              <w:rPr>
                <w:rFonts w:ascii="Times New Roman" w:hAnsi="Times New Roman" w:cs="Times New Roman"/>
              </w:rPr>
              <w:t xml:space="preserve">Atkreipiamas dėmesys, </w:t>
            </w:r>
            <w:r w:rsidR="006C4FE5" w:rsidRPr="00F8190E">
              <w:rPr>
                <w:rFonts w:ascii="Times New Roman" w:hAnsi="Times New Roman" w:cs="Times New Roman"/>
              </w:rPr>
              <w:t xml:space="preserve">kad </w:t>
            </w:r>
            <w:r w:rsidRPr="00F8190E">
              <w:rPr>
                <w:rFonts w:ascii="Times New Roman" w:hAnsi="Times New Roman" w:cs="Times New Roman"/>
              </w:rPr>
              <w:t xml:space="preserve">29.1 p. </w:t>
            </w:r>
            <w:r w:rsidR="006C4FE5" w:rsidRPr="00F8190E">
              <w:rPr>
                <w:rFonts w:ascii="Times New Roman" w:hAnsi="Times New Roman" w:cs="Times New Roman"/>
              </w:rPr>
              <w:t xml:space="preserve">pateiktos neteisingos nuorodos į Aprašo </w:t>
            </w:r>
            <w:r w:rsidR="00CA139E" w:rsidRPr="00F8190E">
              <w:rPr>
                <w:rFonts w:ascii="Times New Roman" w:hAnsi="Times New Roman" w:cs="Times New Roman"/>
              </w:rPr>
              <w:t>p</w:t>
            </w:r>
            <w:r w:rsidR="006C4FE5" w:rsidRPr="00F8190E">
              <w:rPr>
                <w:rFonts w:ascii="Times New Roman" w:hAnsi="Times New Roman" w:cs="Times New Roman"/>
              </w:rPr>
              <w:t>unktus dėl tinkamų ir netinkamų išlaidų</w:t>
            </w:r>
            <w:r w:rsidR="002566A0" w:rsidRPr="00F8190E">
              <w:rPr>
                <w:rFonts w:ascii="Times New Roman" w:hAnsi="Times New Roman" w:cs="Times New Roman"/>
              </w:rPr>
              <w:t>,</w:t>
            </w:r>
            <w:r w:rsidR="006C4FE5" w:rsidRPr="00F8190E">
              <w:rPr>
                <w:rFonts w:ascii="Times New Roman" w:hAnsi="Times New Roman" w:cs="Times New Roman"/>
              </w:rPr>
              <w:t xml:space="preserve"> biudžetą pagrindžiančių dokumentų</w:t>
            </w:r>
            <w:r w:rsidR="00CB0814" w:rsidRPr="00F8190E">
              <w:rPr>
                <w:rFonts w:ascii="Times New Roman" w:hAnsi="Times New Roman" w:cs="Times New Roman"/>
              </w:rPr>
              <w:t>.</w:t>
            </w:r>
          </w:p>
        </w:tc>
        <w:tc>
          <w:tcPr>
            <w:tcW w:w="6460" w:type="dxa"/>
          </w:tcPr>
          <w:p w14:paraId="5B2686FC" w14:textId="77777777" w:rsidR="006C4FE5" w:rsidRPr="00F8190E" w:rsidRDefault="006C4FE5"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1F2290A1" w14:textId="04806A00" w:rsidR="00FA5346" w:rsidRPr="00F8190E" w:rsidRDefault="00FA5346" w:rsidP="00B60A89">
            <w:pPr>
              <w:spacing w:line="276" w:lineRule="auto"/>
              <w:jc w:val="both"/>
              <w:rPr>
                <w:rFonts w:ascii="Times New Roman" w:hAnsi="Times New Roman" w:cs="Times New Roman"/>
              </w:rPr>
            </w:pPr>
            <w:r w:rsidRPr="00F8190E">
              <w:rPr>
                <w:rFonts w:ascii="Times New Roman" w:hAnsi="Times New Roman" w:cs="Times New Roman"/>
              </w:rPr>
              <w:t>29.1 p. pakoreguotas atitinkamai:</w:t>
            </w:r>
          </w:p>
          <w:p w14:paraId="4E06BCD2" w14:textId="658803A1" w:rsidR="007867FF" w:rsidRPr="00F8190E" w:rsidRDefault="00BA105B" w:rsidP="00B60A89">
            <w:pPr>
              <w:spacing w:line="276" w:lineRule="auto"/>
              <w:jc w:val="both"/>
              <w:rPr>
                <w:rFonts w:ascii="Times New Roman" w:hAnsi="Times New Roman" w:cs="Times New Roman"/>
                <w:b/>
              </w:rPr>
            </w:pPr>
            <w:r w:rsidRPr="00F8190E">
              <w:rPr>
                <w:rFonts w:ascii="Times New Roman" w:eastAsia="Times New Roman" w:hAnsi="Times New Roman" w:cs="Times New Roman"/>
                <w:color w:val="000000"/>
              </w:rPr>
              <w:t>„</w:t>
            </w:r>
            <w:r w:rsidR="002566A0" w:rsidRPr="00F8190E">
              <w:rPr>
                <w:rFonts w:ascii="Times New Roman" w:eastAsia="Times New Roman" w:hAnsi="Times New Roman" w:cs="Times New Roman"/>
                <w:color w:val="000000"/>
              </w:rPr>
              <w:t>&lt;...&gt;</w:t>
            </w:r>
            <w:r w:rsidRPr="00F8190E">
              <w:rPr>
                <w:rFonts w:ascii="Times New Roman" w:eastAsia="Times New Roman" w:hAnsi="Times New Roman" w:cs="Times New Roman"/>
              </w:rPr>
              <w:t>Sąnaudų ir naudos rezultatų skaičiuoklės darbalapyje (-</w:t>
            </w:r>
            <w:proofErr w:type="spellStart"/>
            <w:r w:rsidRPr="00F8190E">
              <w:rPr>
                <w:rFonts w:ascii="Times New Roman" w:eastAsia="Times New Roman" w:hAnsi="Times New Roman" w:cs="Times New Roman"/>
              </w:rPr>
              <w:t>iuose</w:t>
            </w:r>
            <w:proofErr w:type="spellEnd"/>
            <w:r w:rsidRPr="00F8190E">
              <w:rPr>
                <w:rFonts w:ascii="Times New Roman" w:eastAsia="Times New Roman" w:hAnsi="Times New Roman" w:cs="Times New Roman"/>
              </w:rPr>
              <w:t xml:space="preserve">) „Prielaidos“, vadovaujantis Aprašo </w:t>
            </w:r>
            <w:r w:rsidRPr="00F8190E">
              <w:rPr>
                <w:rFonts w:ascii="Times New Roman" w:eastAsia="Times New Roman" w:hAnsi="Times New Roman" w:cs="Times New Roman"/>
                <w:strike/>
              </w:rPr>
              <w:t>43</w:t>
            </w:r>
            <w:r w:rsidRPr="00F8190E">
              <w:rPr>
                <w:rFonts w:ascii="Times New Roman" w:eastAsia="Times New Roman" w:hAnsi="Times New Roman" w:cs="Times New Roman"/>
                <w:b/>
              </w:rPr>
              <w:t>44</w:t>
            </w:r>
            <w:r w:rsidRPr="00F8190E">
              <w:rPr>
                <w:rFonts w:ascii="Times New Roman" w:eastAsia="Times New Roman" w:hAnsi="Times New Roman" w:cs="Times New Roman"/>
              </w:rPr>
              <w:t xml:space="preserve"> ir </w:t>
            </w:r>
            <w:r w:rsidRPr="00F8190E">
              <w:rPr>
                <w:rFonts w:ascii="Times New Roman" w:eastAsia="Times New Roman" w:hAnsi="Times New Roman" w:cs="Times New Roman"/>
                <w:strike/>
              </w:rPr>
              <w:t>48</w:t>
            </w:r>
            <w:r w:rsidRPr="00F8190E">
              <w:rPr>
                <w:rFonts w:ascii="Times New Roman" w:eastAsia="Times New Roman" w:hAnsi="Times New Roman" w:cs="Times New Roman"/>
                <w:b/>
              </w:rPr>
              <w:t>49</w:t>
            </w:r>
            <w:r w:rsidRPr="00F8190E">
              <w:rPr>
                <w:rFonts w:ascii="Times New Roman" w:eastAsia="Times New Roman" w:hAnsi="Times New Roman" w:cs="Times New Roman"/>
              </w:rPr>
              <w:t xml:space="preserve"> punktais, turi būti išskirtos tinkamos ir netinkamos finansuoti išlaidos. Sąnaudų ir naudos analizės rezultatų skaičiuoklė ir Investicijų projektų metodika skelbiamos ES struktūrinių fondų svetainėje </w:t>
            </w:r>
            <w:r w:rsidRPr="00F8190E">
              <w:rPr>
                <w:rFonts w:ascii="Times New Roman" w:eastAsia="Times New Roman" w:hAnsi="Times New Roman" w:cs="Times New Roman"/>
                <w:color w:val="000000"/>
              </w:rPr>
              <w:t xml:space="preserve">www.esinvesticijos.lt ir www.ppplietuva.lt. </w:t>
            </w:r>
            <w:r w:rsidRPr="00F8190E">
              <w:rPr>
                <w:rFonts w:ascii="Times New Roman" w:eastAsia="Times New Roman" w:hAnsi="Times New Roman" w:cs="Times New Roman"/>
              </w:rPr>
              <w:t xml:space="preserve">Nagrinėjant projekto įgyvendinimo alternatyvas, privaloma išnagrinėti vieną alternatyvą – naujų biokuro kogeneracijos įrenginių įsigijimas (Alternatyva „Naujų technologijos A įrenginių įsigijimas“) ir laisva forma pateikti priešingos padėties scenarijaus (t. y. </w:t>
            </w:r>
            <w:r w:rsidRPr="00F8190E">
              <w:rPr>
                <w:rFonts w:ascii="Times New Roman" w:eastAsia="Times New Roman" w:hAnsi="Times New Roman" w:cs="Times New Roman"/>
              </w:rPr>
              <w:lastRenderedPageBreak/>
              <w:t>to paties galingumo įprasto (-ų) šilumos gamybos įrenginio (-</w:t>
            </w:r>
            <w:proofErr w:type="spellStart"/>
            <w:r w:rsidRPr="00F8190E">
              <w:rPr>
                <w:rFonts w:ascii="Times New Roman" w:eastAsia="Times New Roman" w:hAnsi="Times New Roman" w:cs="Times New Roman"/>
              </w:rPr>
              <w:t>ių</w:t>
            </w:r>
            <w:proofErr w:type="spellEnd"/>
            <w:r w:rsidRPr="00F8190E">
              <w:rPr>
                <w:rFonts w:ascii="Times New Roman" w:eastAsia="Times New Roman" w:hAnsi="Times New Roman" w:cs="Times New Roman"/>
              </w:rPr>
              <w:t xml:space="preserve">) (pvz., naujo dujinio vandens šildymo katilo) įsigijimo išlaidas ir jas pagrindžiančius dokumentus; pagrindžiančiais dokumentais laikytini tokie dokumentai, kaip grindžiant projekto biudžetą, kaip tai numatyta Aprašo </w:t>
            </w:r>
            <w:r w:rsidRPr="00F8190E">
              <w:rPr>
                <w:rFonts w:ascii="Times New Roman" w:eastAsia="Times New Roman" w:hAnsi="Times New Roman" w:cs="Times New Roman"/>
                <w:strike/>
              </w:rPr>
              <w:t>44</w:t>
            </w:r>
            <w:r w:rsidRPr="00F8190E">
              <w:rPr>
                <w:rFonts w:ascii="Times New Roman" w:eastAsia="Times New Roman" w:hAnsi="Times New Roman" w:cs="Times New Roman"/>
                <w:b/>
              </w:rPr>
              <w:t>45</w:t>
            </w:r>
            <w:r w:rsidRPr="00F8190E">
              <w:rPr>
                <w:rFonts w:ascii="Times New Roman" w:eastAsia="Times New Roman" w:hAnsi="Times New Roman" w:cs="Times New Roman"/>
              </w:rPr>
              <w:t xml:space="preserve"> punkte;“.</w:t>
            </w:r>
          </w:p>
        </w:tc>
      </w:tr>
      <w:tr w:rsidR="007867FF" w:rsidRPr="00F8190E" w14:paraId="3BA8386A" w14:textId="77777777" w:rsidTr="00E60602">
        <w:trPr>
          <w:trHeight w:val="557"/>
        </w:trPr>
        <w:tc>
          <w:tcPr>
            <w:tcW w:w="574" w:type="dxa"/>
          </w:tcPr>
          <w:p w14:paraId="5601E75F"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2216058D" w14:textId="03691476" w:rsidR="007867FF" w:rsidRPr="00F8190E" w:rsidRDefault="00401A47" w:rsidP="00B60A89">
            <w:pPr>
              <w:spacing w:line="276" w:lineRule="auto"/>
              <w:jc w:val="both"/>
              <w:rPr>
                <w:rFonts w:ascii="Times New Roman" w:hAnsi="Times New Roman" w:cs="Times New Roman"/>
              </w:rPr>
            </w:pPr>
            <w:r w:rsidRPr="00F8190E">
              <w:rPr>
                <w:rFonts w:ascii="Times New Roman" w:hAnsi="Times New Roman" w:cs="Times New Roman"/>
              </w:rPr>
              <w:t xml:space="preserve">29.7 p. siūloma pakoreguoti pagal </w:t>
            </w:r>
            <w:r w:rsidR="00A17932" w:rsidRPr="00F8190E">
              <w:rPr>
                <w:rFonts w:ascii="Times New Roman" w:hAnsi="Times New Roman" w:cs="Times New Roman"/>
              </w:rPr>
              <w:t xml:space="preserve">Projektų administravimo ir finansavimo taisyklių (toliau – </w:t>
            </w:r>
            <w:r w:rsidRPr="00F8190E">
              <w:rPr>
                <w:rFonts w:ascii="Times New Roman" w:hAnsi="Times New Roman" w:cs="Times New Roman"/>
              </w:rPr>
              <w:t>PAFT</w:t>
            </w:r>
            <w:r w:rsidR="00A17932" w:rsidRPr="00F8190E">
              <w:rPr>
                <w:rFonts w:ascii="Times New Roman" w:hAnsi="Times New Roman" w:cs="Times New Roman"/>
              </w:rPr>
              <w:t>)</w:t>
            </w:r>
            <w:r w:rsidRPr="00F8190E">
              <w:rPr>
                <w:rFonts w:ascii="Times New Roman" w:hAnsi="Times New Roman" w:cs="Times New Roman"/>
              </w:rPr>
              <w:t xml:space="preserve"> 27 skirsnį, kad nuosavybės arba daiktinės teisės į nekilnojamąjį turtą galiotų trumpesnį t. y. trejų metų laikotarpį nuo projekto finansavimo pabaigos labai mažų, mažų ir vidutinių įmonių atveju.</w:t>
            </w:r>
          </w:p>
        </w:tc>
        <w:tc>
          <w:tcPr>
            <w:tcW w:w="6460" w:type="dxa"/>
          </w:tcPr>
          <w:p w14:paraId="0AAECC0B" w14:textId="77777777" w:rsidR="00401A47" w:rsidRPr="00F8190E" w:rsidRDefault="00401A47" w:rsidP="00B60A89">
            <w:pPr>
              <w:spacing w:line="276" w:lineRule="auto"/>
              <w:jc w:val="both"/>
              <w:rPr>
                <w:rFonts w:ascii="Times New Roman" w:hAnsi="Times New Roman" w:cs="Times New Roman"/>
                <w:b/>
              </w:rPr>
            </w:pPr>
            <w:r w:rsidRPr="00F8190E">
              <w:rPr>
                <w:rFonts w:ascii="Times New Roman" w:hAnsi="Times New Roman" w:cs="Times New Roman"/>
                <w:b/>
              </w:rPr>
              <w:t>Neatsižvelgta.</w:t>
            </w:r>
          </w:p>
          <w:p w14:paraId="41DFA420" w14:textId="69B5BF26" w:rsidR="007867FF" w:rsidRPr="00F8190E" w:rsidRDefault="00B458D7" w:rsidP="00B60A89">
            <w:pPr>
              <w:spacing w:line="276" w:lineRule="auto"/>
              <w:jc w:val="both"/>
              <w:rPr>
                <w:rFonts w:ascii="Times New Roman" w:hAnsi="Times New Roman" w:cs="Times New Roman"/>
              </w:rPr>
            </w:pPr>
            <w:r w:rsidRPr="00F8190E">
              <w:rPr>
                <w:rFonts w:ascii="Times New Roman" w:hAnsi="Times New Roman" w:cs="Times New Roman"/>
              </w:rPr>
              <w:t xml:space="preserve">Dėl ženklių investicijų </w:t>
            </w:r>
            <w:r w:rsidR="00DB2434" w:rsidRPr="00F8190E">
              <w:rPr>
                <w:rFonts w:ascii="Times New Roman" w:hAnsi="Times New Roman" w:cs="Times New Roman"/>
              </w:rPr>
              <w:t>Energetikos ministerija taiko griežtesnę nuostatą</w:t>
            </w:r>
            <w:r w:rsidRPr="00F8190E">
              <w:rPr>
                <w:rFonts w:ascii="Times New Roman" w:hAnsi="Times New Roman" w:cs="Times New Roman"/>
              </w:rPr>
              <w:t xml:space="preserve">, </w:t>
            </w:r>
            <w:r w:rsidR="00DB2434" w:rsidRPr="00F8190E">
              <w:rPr>
                <w:rFonts w:ascii="Times New Roman" w:hAnsi="Times New Roman" w:cs="Times New Roman"/>
              </w:rPr>
              <w:t>kuri numatoma</w:t>
            </w:r>
            <w:r w:rsidR="00401A47" w:rsidRPr="00F8190E">
              <w:rPr>
                <w:rFonts w:ascii="Times New Roman" w:hAnsi="Times New Roman" w:cs="Times New Roman"/>
              </w:rPr>
              <w:t xml:space="preserve"> </w:t>
            </w:r>
            <w:r w:rsidRPr="00F8190E">
              <w:rPr>
                <w:rFonts w:ascii="Times New Roman" w:hAnsi="Times New Roman" w:cs="Times New Roman"/>
              </w:rPr>
              <w:t xml:space="preserve">visuose Energetikos ministerijos kuruojamų priemonių </w:t>
            </w:r>
            <w:r w:rsidR="00F65F44" w:rsidRPr="00F8190E">
              <w:rPr>
                <w:rFonts w:ascii="Times New Roman" w:hAnsi="Times New Roman" w:cs="Times New Roman"/>
              </w:rPr>
              <w:t>PFSA</w:t>
            </w:r>
            <w:r w:rsidR="00C674E8" w:rsidRPr="00F8190E">
              <w:rPr>
                <w:rFonts w:ascii="Times New Roman" w:hAnsi="Times New Roman" w:cs="Times New Roman"/>
              </w:rPr>
              <w:t xml:space="preserve">. </w:t>
            </w:r>
          </w:p>
        </w:tc>
      </w:tr>
      <w:tr w:rsidR="007867FF" w:rsidRPr="00F8190E" w14:paraId="13951946" w14:textId="77777777" w:rsidTr="00E60602">
        <w:trPr>
          <w:trHeight w:val="557"/>
        </w:trPr>
        <w:tc>
          <w:tcPr>
            <w:tcW w:w="574" w:type="dxa"/>
          </w:tcPr>
          <w:p w14:paraId="422F0E2B" w14:textId="77777777" w:rsidR="007867FF" w:rsidRPr="00F8190E" w:rsidRDefault="007867FF" w:rsidP="00B60A89">
            <w:pPr>
              <w:pStyle w:val="ListParagraph"/>
              <w:numPr>
                <w:ilvl w:val="0"/>
                <w:numId w:val="7"/>
              </w:numPr>
              <w:spacing w:line="276" w:lineRule="auto"/>
              <w:ind w:left="357" w:hanging="357"/>
              <w:jc w:val="left"/>
              <w:rPr>
                <w:sz w:val="22"/>
                <w:szCs w:val="22"/>
              </w:rPr>
            </w:pPr>
          </w:p>
        </w:tc>
        <w:tc>
          <w:tcPr>
            <w:tcW w:w="6950" w:type="dxa"/>
          </w:tcPr>
          <w:p w14:paraId="4CE68894" w14:textId="4BD3BAF4" w:rsidR="00F0710A" w:rsidRPr="00F8190E" w:rsidRDefault="00B458D7" w:rsidP="00B60A89">
            <w:pPr>
              <w:spacing w:line="276" w:lineRule="auto"/>
              <w:jc w:val="both"/>
              <w:rPr>
                <w:rFonts w:ascii="Times New Roman" w:hAnsi="Times New Roman" w:cs="Times New Roman"/>
              </w:rPr>
            </w:pPr>
            <w:r w:rsidRPr="00F8190E">
              <w:rPr>
                <w:rFonts w:ascii="Times New Roman" w:hAnsi="Times New Roman" w:cs="Times New Roman"/>
              </w:rPr>
              <w:t>Siūloma atsisakyti su Aprašo 44 p. išvardintų veiklų vykdymu susijusių darbo užmokesčio bei komandiruočių išlaidų, kadangi 1 kvietimo metu nei vienas pareiškėjas tokių išlaidų finansuoti neprašė, arba</w:t>
            </w:r>
            <w:r w:rsidR="00F0710A" w:rsidRPr="00F8190E">
              <w:rPr>
                <w:rFonts w:ascii="Times New Roman" w:hAnsi="Times New Roman" w:cs="Times New Roman"/>
              </w:rPr>
              <w:t>, jeigu minėtų išlaidų nebus atsisakyta, punktą patikslinti:</w:t>
            </w:r>
          </w:p>
          <w:p w14:paraId="223F5B78" w14:textId="1DCEFB83" w:rsidR="007867FF" w:rsidRPr="00F8190E" w:rsidRDefault="00F0710A" w:rsidP="00B60A89">
            <w:pPr>
              <w:spacing w:line="276" w:lineRule="auto"/>
              <w:jc w:val="both"/>
              <w:rPr>
                <w:rFonts w:ascii="Times New Roman" w:hAnsi="Times New Roman" w:cs="Times New Roman"/>
              </w:rPr>
            </w:pPr>
            <w:r w:rsidRPr="00F8190E">
              <w:rPr>
                <w:rFonts w:ascii="Times New Roman" w:hAnsi="Times New Roman" w:cs="Times New Roman"/>
              </w:rPr>
              <w:t>„</w:t>
            </w:r>
            <w:r w:rsidRPr="00F8190E">
              <w:rPr>
                <w:rFonts w:ascii="Times New Roman" w:hAnsi="Times New Roman" w:cs="Times New Roman"/>
                <w:lang w:eastAsia="lt-LT"/>
              </w:rPr>
              <w:t xml:space="preserve">Projektą vykdančio personalo darbo užmokesčio išlaidos </w:t>
            </w:r>
            <w:r w:rsidRPr="00F8190E">
              <w:rPr>
                <w:rFonts w:ascii="Times New Roman" w:hAnsi="Times New Roman" w:cs="Times New Roman"/>
                <w:b/>
                <w:bCs/>
                <w:lang w:eastAsia="lt-LT"/>
              </w:rPr>
              <w:t>už kasmetines atostogas ir papildomas poilsio dienas apmokamos taikant išmokų fiksuotąsias normas.</w:t>
            </w:r>
            <w:r w:rsidRPr="00F8190E">
              <w:rPr>
                <w:rFonts w:ascii="Times New Roman" w:hAnsi="Times New Roman" w:cs="Times New Roman"/>
                <w:lang w:eastAsia="lt-LT"/>
              </w:rPr>
              <w:t xml:space="preserve"> Normos nustatomos vadovaujantis Lietuvos Respublikos finansų ministerijos 2016 m. sausio 19 d. patvirtinta „Kasmetinių atostogų ir papildomų poilsio dienų išmokų fiksuotųjų normų nustatymo tyrimo atskaita“ </w:t>
            </w:r>
            <w:r w:rsidRPr="00F8190E">
              <w:rPr>
                <w:rFonts w:ascii="Times New Roman" w:hAnsi="Times New Roman" w:cs="Times New Roman"/>
                <w:b/>
                <w:bCs/>
                <w:lang w:eastAsia="lt-LT"/>
              </w:rPr>
              <w:t>(2017 m. liepos 20 d. redakcija</w:t>
            </w:r>
            <w:r w:rsidRPr="00F8190E">
              <w:rPr>
                <w:rFonts w:ascii="Times New Roman" w:hAnsi="Times New Roman" w:cs="Times New Roman"/>
                <w:lang w:eastAsia="lt-LT"/>
              </w:rPr>
              <w:t xml:space="preserve">), paskelbta ES struktūrinių fondų svetainėje </w:t>
            </w:r>
            <w:hyperlink r:id="rId8" w:history="1">
              <w:r w:rsidRPr="00F8190E">
                <w:rPr>
                  <w:rStyle w:val="Hyperlink"/>
                  <w:rFonts w:ascii="Times New Roman" w:hAnsi="Times New Roman" w:cs="Times New Roman"/>
                </w:rPr>
                <w:t>http://www.esinvesticijos.lt/lt/dokumentai/kasmetiniu-atostogu-ismoku-fiksuotuju-normu-nustatymo-tyrimo-ataskaita</w:t>
              </w:r>
            </w:hyperlink>
            <w:r w:rsidRPr="00F8190E">
              <w:rPr>
                <w:rFonts w:ascii="Times New Roman" w:hAnsi="Times New Roman" w:cs="Times New Roman"/>
              </w:rPr>
              <w:t>.“</w:t>
            </w:r>
          </w:p>
        </w:tc>
        <w:tc>
          <w:tcPr>
            <w:tcW w:w="6460" w:type="dxa"/>
          </w:tcPr>
          <w:p w14:paraId="1112A72C" w14:textId="77777777" w:rsidR="00B728AD" w:rsidRPr="00F8190E" w:rsidRDefault="00D51171"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5E0CEF70" w14:textId="1006E861" w:rsidR="00D13238" w:rsidRPr="00F8190E" w:rsidRDefault="00C674E8" w:rsidP="00B60A89">
            <w:pPr>
              <w:spacing w:line="276" w:lineRule="auto"/>
              <w:jc w:val="both"/>
              <w:rPr>
                <w:rFonts w:ascii="Times New Roman" w:hAnsi="Times New Roman" w:cs="Times New Roman"/>
              </w:rPr>
            </w:pPr>
            <w:r w:rsidRPr="00F8190E">
              <w:rPr>
                <w:rFonts w:ascii="Times New Roman" w:hAnsi="Times New Roman" w:cs="Times New Roman"/>
              </w:rPr>
              <w:t xml:space="preserve">Siekiant suvienodinti Energetikos ministerijos konkursinių priemonių PFSA </w:t>
            </w:r>
            <w:r w:rsidR="00D13238" w:rsidRPr="00F8190E">
              <w:rPr>
                <w:rFonts w:ascii="Times New Roman" w:hAnsi="Times New Roman" w:cs="Times New Roman"/>
              </w:rPr>
              <w:t>nustatytas sąlygas pareiškėjams (kituose PFSA su veiklų vykdymu susijusios darbo užmokesčio ir komandiruočių išlaidos nėra tinkamos finansuoti), atsižvelgiant į tai, kad pirmojo kvietimo metu nei vienas iš trijų pareiškėjų minėtų išlaidų finansuoti neprašė</w:t>
            </w:r>
            <w:r w:rsidR="00283810" w:rsidRPr="00F8190E">
              <w:rPr>
                <w:rFonts w:ascii="Times New Roman" w:hAnsi="Times New Roman" w:cs="Times New Roman"/>
              </w:rPr>
              <w:t>,</w:t>
            </w:r>
            <w:r w:rsidR="00D13238" w:rsidRPr="00F8190E">
              <w:rPr>
                <w:rFonts w:ascii="Times New Roman" w:hAnsi="Times New Roman" w:cs="Times New Roman"/>
              </w:rPr>
              <w:t xml:space="preserve"> 44 punktas pakoreguotas atsitinkamai:</w:t>
            </w:r>
          </w:p>
          <w:p w14:paraId="73A4C7E2" w14:textId="3CFD840C" w:rsidR="007867FF" w:rsidRPr="00F8190E" w:rsidRDefault="00D13238" w:rsidP="00B60A89">
            <w:pPr>
              <w:spacing w:line="276" w:lineRule="auto"/>
              <w:jc w:val="both"/>
              <w:rPr>
                <w:rFonts w:ascii="Times New Roman" w:hAnsi="Times New Roman" w:cs="Times New Roman"/>
              </w:rPr>
            </w:pPr>
            <w:r w:rsidRPr="00F8190E">
              <w:rPr>
                <w:rFonts w:ascii="Times New Roman" w:eastAsia="Times New Roman" w:hAnsi="Times New Roman" w:cs="Times New Roman"/>
                <w:lang w:eastAsia="lt-LT"/>
              </w:rPr>
              <w:t xml:space="preserve">Tinkamos finansuoti išlaidos yra papildomos investicijų į įrangą, kurios reikia, kad įrenginys veiktų kaip didelio naudingumo kogeneracijos įrenginys, palyginti su to paties pajėgumo įprastais šilumos gamybos įrenginiais, išlaidos, t. y.: </w:t>
            </w:r>
            <w:r w:rsidRPr="00F8190E">
              <w:rPr>
                <w:rFonts w:ascii="Times New Roman" w:eastAsia="Times New Roman" w:hAnsi="Times New Roman" w:cs="Times New Roman"/>
              </w:rPr>
              <w:t>4 išlaidų kategorija „Įranga, įrenginiai ir kitas turtas“</w:t>
            </w:r>
            <w:r w:rsidRPr="00F8190E">
              <w:rPr>
                <w:rFonts w:ascii="Times New Roman" w:eastAsia="Times New Roman" w:hAnsi="Times New Roman" w:cs="Times New Roman"/>
                <w:lang w:eastAsia="lt-LT"/>
              </w:rPr>
              <w:t xml:space="preserve"> – </w:t>
            </w:r>
            <w:r w:rsidRPr="00F8190E">
              <w:rPr>
                <w:rFonts w:ascii="Times New Roman" w:eastAsia="Times New Roman" w:hAnsi="Times New Roman" w:cs="Times New Roman"/>
              </w:rPr>
              <w:t xml:space="preserve">kompiuterinės technikos, programinės įrangos,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w:t>
            </w:r>
            <w:r w:rsidRPr="00F8190E">
              <w:rPr>
                <w:rFonts w:ascii="Times New Roman" w:eastAsia="Times New Roman" w:hAnsi="Times New Roman" w:cs="Times New Roman"/>
                <w:strike/>
              </w:rPr>
              <w:t xml:space="preserve">su išvardytų veiklų vykdymu susijęs darbo užmokestis bei komandiruočių išlaidos. Už kasmetines atostogas apmokama ir (ar) kompensacijos už nepanaudotas kasmetines atostogas išmokamos taikant maksimalias kasmetinių atostogų išmokų fiksuotąsias normas. Normos nustatomos atsižvelgiant į Lietuvos Respublikos finansų ministro 2016 m. sausio 19 d. patvirtintą Kasmetinių atostogų išmokų fiksuotųjų normų nustatymo tyrimo atskaitą (2017 m. liepos 20 d. redakcija). Projekto veikloms vykdyti (vykdančio personalo komandiruotės) reikalingos transporto Lietuvoje išlaidos apmokamos taikant Kuro ir viešojo transporto išlaidų fiksuotuosius įkainius. Įkainiai </w:t>
            </w:r>
            <w:r w:rsidRPr="00F8190E">
              <w:rPr>
                <w:rFonts w:ascii="Times New Roman" w:eastAsia="Times New Roman" w:hAnsi="Times New Roman" w:cs="Times New Roman"/>
                <w:strike/>
              </w:rPr>
              <w:lastRenderedPageBreak/>
              <w:t>nustatomi atsižvelgiant į Lietuvos Respublikos finansų ministro 2015 m. balandžio 24 d. patvirtintą Kuro ir viešojo transporto išlaidų fiksuotųjų įkainių nustatymo tyrimo ataskaitą</w:t>
            </w:r>
            <w:r w:rsidRPr="00F8190E">
              <w:rPr>
                <w:rFonts w:ascii="Times New Roman" w:eastAsia="Times New Roman" w:hAnsi="Times New Roman" w:cs="Times New Roman"/>
              </w:rPr>
              <w:t>.</w:t>
            </w:r>
            <w:r w:rsidR="00C674E8" w:rsidRPr="00F8190E">
              <w:rPr>
                <w:rFonts w:ascii="Times New Roman" w:hAnsi="Times New Roman" w:cs="Times New Roman"/>
              </w:rPr>
              <w:t xml:space="preserve"> </w:t>
            </w:r>
          </w:p>
        </w:tc>
      </w:tr>
      <w:tr w:rsidR="00FA5346" w:rsidRPr="00F8190E" w14:paraId="3E2BD0E6" w14:textId="77777777" w:rsidTr="00E60602">
        <w:trPr>
          <w:trHeight w:val="557"/>
        </w:trPr>
        <w:tc>
          <w:tcPr>
            <w:tcW w:w="574" w:type="dxa"/>
          </w:tcPr>
          <w:p w14:paraId="215A45FC" w14:textId="77777777" w:rsidR="00FA5346" w:rsidRPr="00F8190E" w:rsidRDefault="00FA5346" w:rsidP="00B60A89">
            <w:pPr>
              <w:pStyle w:val="ListParagraph"/>
              <w:numPr>
                <w:ilvl w:val="0"/>
                <w:numId w:val="7"/>
              </w:numPr>
              <w:spacing w:line="276" w:lineRule="auto"/>
              <w:ind w:left="357" w:hanging="357"/>
              <w:jc w:val="left"/>
              <w:rPr>
                <w:sz w:val="22"/>
                <w:szCs w:val="22"/>
              </w:rPr>
            </w:pPr>
          </w:p>
        </w:tc>
        <w:tc>
          <w:tcPr>
            <w:tcW w:w="6950" w:type="dxa"/>
          </w:tcPr>
          <w:p w14:paraId="1F3B8720" w14:textId="4C944DEF" w:rsidR="00FA5346" w:rsidRPr="00F8190E" w:rsidRDefault="00D51171" w:rsidP="00B60A89">
            <w:pPr>
              <w:spacing w:line="276" w:lineRule="auto"/>
              <w:jc w:val="both"/>
              <w:rPr>
                <w:rFonts w:ascii="Times New Roman" w:hAnsi="Times New Roman" w:cs="Times New Roman"/>
              </w:rPr>
            </w:pPr>
            <w:r w:rsidRPr="00F8190E">
              <w:rPr>
                <w:rFonts w:ascii="Times New Roman" w:hAnsi="Times New Roman" w:cs="Times New Roman"/>
              </w:rPr>
              <w:t>Atkreipiamas dėmesys</w:t>
            </w:r>
            <w:r w:rsidR="00554B48" w:rsidRPr="00F8190E">
              <w:rPr>
                <w:rFonts w:ascii="Times New Roman" w:hAnsi="Times New Roman" w:cs="Times New Roman"/>
              </w:rPr>
              <w:t>, kad Aprašo 44 p. nurod</w:t>
            </w:r>
            <w:r w:rsidR="00AB6903" w:rsidRPr="00F8190E">
              <w:rPr>
                <w:rFonts w:ascii="Times New Roman" w:hAnsi="Times New Roman" w:cs="Times New Roman"/>
              </w:rPr>
              <w:t>yta</w:t>
            </w:r>
            <w:r w:rsidR="00554B48" w:rsidRPr="00F8190E">
              <w:rPr>
                <w:rFonts w:ascii="Times New Roman" w:eastAsia="Calibri" w:hAnsi="Times New Roman" w:cs="Times New Roman"/>
              </w:rPr>
              <w:t>, kad „Tinkamos finansuoti išlaidos yra papildomos investicijų į įrangą, kurios reikia, kad įrenginys veiktų kaip didelio naudingumo kogeneracijos įrenginys, palyginti su to paties pajėgumo įprastais elektros energijos ar šilumos gamybos įrenginiais, išlaidos“, tuo tarpu Aprašo 29.1 p. nurodyta, kad reikia  „&lt;...&gt; pateikti priešingos padėties scenarijaus (t. y. to paties galingumo įprasto (-ų) šilumos gamybos įrenginio (-</w:t>
            </w:r>
            <w:proofErr w:type="spellStart"/>
            <w:r w:rsidR="00554B48" w:rsidRPr="00F8190E">
              <w:rPr>
                <w:rFonts w:ascii="Times New Roman" w:eastAsia="Calibri" w:hAnsi="Times New Roman" w:cs="Times New Roman"/>
              </w:rPr>
              <w:t>ių</w:t>
            </w:r>
            <w:proofErr w:type="spellEnd"/>
            <w:r w:rsidR="00554B48" w:rsidRPr="00F8190E">
              <w:rPr>
                <w:rFonts w:ascii="Times New Roman" w:eastAsia="Calibri" w:hAnsi="Times New Roman" w:cs="Times New Roman"/>
              </w:rPr>
              <w:t>) (pvz., naujo dujinio vandens šildymo katilo) įsigijimo išlaidas ir jas pagrindžiančius dokumentus &lt;...&gt;“. Nėra aišku, ar prašomas finansuoti įrenginys turi būti lyginamas su įprastais elektros energijos, ar su šilumos gamybos įrenginiais, ar tik su šilumos gamybos įrenginiu, ar projekto vykdytojas gali pasirinkti su kuriuo įrenginiu lyginti.</w:t>
            </w:r>
          </w:p>
        </w:tc>
        <w:tc>
          <w:tcPr>
            <w:tcW w:w="6460" w:type="dxa"/>
          </w:tcPr>
          <w:p w14:paraId="6437BEA8" w14:textId="77777777" w:rsidR="007A1B02" w:rsidRPr="00F8190E" w:rsidRDefault="007A1B02"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20487A5C" w14:textId="3093D64E" w:rsidR="006F3A73" w:rsidRPr="00F8190E" w:rsidRDefault="006F3A73" w:rsidP="00B60A89">
            <w:pPr>
              <w:spacing w:line="276" w:lineRule="auto"/>
              <w:jc w:val="both"/>
              <w:rPr>
                <w:rFonts w:ascii="Times New Roman" w:eastAsia="Calibri" w:hAnsi="Times New Roman" w:cs="Times New Roman"/>
                <w:i/>
                <w:color w:val="000000"/>
              </w:rPr>
            </w:pPr>
            <w:r w:rsidRPr="00F8190E">
              <w:rPr>
                <w:rFonts w:ascii="Times New Roman" w:hAnsi="Times New Roman" w:cs="Times New Roman"/>
              </w:rPr>
              <w:t>Atsižvelgiant į EK išaiškinimą</w:t>
            </w:r>
            <w:r w:rsidRPr="00F8190E">
              <w:rPr>
                <w:rFonts w:ascii="Times New Roman" w:hAnsi="Times New Roman" w:cs="Times New Roman"/>
                <w:b/>
              </w:rPr>
              <w:t xml:space="preserve"> </w:t>
            </w:r>
            <w:r w:rsidRPr="00F8190E">
              <w:rPr>
                <w:rFonts w:ascii="Times New Roman" w:hAnsi="Times New Roman" w:cs="Times New Roman"/>
              </w:rPr>
              <w:t>(</w:t>
            </w:r>
            <w:r w:rsidRPr="00F8190E">
              <w:rPr>
                <w:rFonts w:ascii="Times New Roman" w:eastAsia="Calibri" w:hAnsi="Times New Roman" w:cs="Times New Roman"/>
                <w:color w:val="000000"/>
              </w:rPr>
              <w:t xml:space="preserve">angl. </w:t>
            </w:r>
            <w:proofErr w:type="spellStart"/>
            <w:r w:rsidRPr="00F8190E">
              <w:rPr>
                <w:rFonts w:ascii="Times New Roman" w:eastAsia="Calibri" w:hAnsi="Times New Roman" w:cs="Times New Roman"/>
                <w:i/>
                <w:color w:val="000000"/>
              </w:rPr>
              <w:t>We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confirm</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that</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counterfactual</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scenario</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should</w:t>
            </w:r>
            <w:proofErr w:type="spellEnd"/>
            <w:r w:rsidRPr="00F8190E">
              <w:rPr>
                <w:rFonts w:ascii="Times New Roman" w:eastAsia="Calibri" w:hAnsi="Times New Roman" w:cs="Times New Roman"/>
                <w:i/>
                <w:color w:val="000000"/>
              </w:rPr>
              <w:t xml:space="preserve"> be </w:t>
            </w:r>
            <w:proofErr w:type="spellStart"/>
            <w:r w:rsidRPr="00F8190E">
              <w:rPr>
                <w:rFonts w:ascii="Times New Roman" w:eastAsia="Calibri" w:hAnsi="Times New Roman" w:cs="Times New Roman"/>
                <w:i/>
                <w:color w:val="000000"/>
              </w:rPr>
              <w:t>either</w:t>
            </w:r>
            <w:proofErr w:type="spellEnd"/>
            <w:r w:rsidRPr="00F8190E">
              <w:rPr>
                <w:rFonts w:ascii="Times New Roman" w:eastAsia="Calibri" w:hAnsi="Times New Roman" w:cs="Times New Roman"/>
                <w:i/>
                <w:color w:val="000000"/>
              </w:rPr>
              <w:t xml:space="preserve"> a </w:t>
            </w:r>
            <w:proofErr w:type="spellStart"/>
            <w:r w:rsidRPr="00F8190E">
              <w:rPr>
                <w:rFonts w:ascii="Times New Roman" w:eastAsia="Calibri" w:hAnsi="Times New Roman" w:cs="Times New Roman"/>
                <w:i/>
                <w:color w:val="000000"/>
              </w:rPr>
              <w:t>conventional</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electricity</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generator</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or</w:t>
            </w:r>
            <w:proofErr w:type="spellEnd"/>
            <w:r w:rsidRPr="00F8190E">
              <w:rPr>
                <w:rFonts w:ascii="Times New Roman" w:eastAsia="Calibri" w:hAnsi="Times New Roman" w:cs="Times New Roman"/>
                <w:i/>
                <w:color w:val="000000"/>
              </w:rPr>
              <w:t xml:space="preserve"> a </w:t>
            </w:r>
            <w:proofErr w:type="spellStart"/>
            <w:r w:rsidRPr="00F8190E">
              <w:rPr>
                <w:rFonts w:ascii="Times New Roman" w:eastAsia="Calibri" w:hAnsi="Times New Roman" w:cs="Times New Roman"/>
                <w:i/>
                <w:color w:val="000000"/>
              </w:rPr>
              <w:t>conventional</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heating</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installation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not</w:t>
            </w:r>
            <w:proofErr w:type="spellEnd"/>
            <w:r w:rsidRPr="00F8190E">
              <w:rPr>
                <w:rFonts w:ascii="Times New Roman" w:eastAsia="Calibri" w:hAnsi="Times New Roman" w:cs="Times New Roman"/>
                <w:i/>
                <w:color w:val="000000"/>
              </w:rPr>
              <w:t xml:space="preserve"> a </w:t>
            </w:r>
            <w:proofErr w:type="spellStart"/>
            <w:r w:rsidRPr="00F8190E">
              <w:rPr>
                <w:rFonts w:ascii="Times New Roman" w:eastAsia="Calibri" w:hAnsi="Times New Roman" w:cs="Times New Roman"/>
                <w:i/>
                <w:color w:val="000000"/>
              </w:rPr>
              <w:t>cumulation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of</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both</w:t>
            </w:r>
            <w:proofErr w:type="spellEnd"/>
            <w:r w:rsidRPr="00F8190E">
              <w:rPr>
                <w:rFonts w:ascii="Times New Roman" w:eastAsia="Calibri" w:hAnsi="Times New Roman" w:cs="Times New Roman"/>
                <w:i/>
                <w:color w:val="000000"/>
              </w:rPr>
              <w:t>).</w:t>
            </w:r>
          </w:p>
          <w:p w14:paraId="43FF019F" w14:textId="52C79F47" w:rsidR="00C674E8" w:rsidRPr="00F8190E" w:rsidRDefault="006F3A73" w:rsidP="00B60A89">
            <w:pPr>
              <w:spacing w:line="276" w:lineRule="auto"/>
              <w:jc w:val="both"/>
              <w:rPr>
                <w:rFonts w:ascii="Times New Roman" w:eastAsia="Calibri" w:hAnsi="Times New Roman" w:cs="Times New Roman"/>
                <w:color w:val="000000"/>
              </w:rPr>
            </w:pP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choice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of</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counterfactual</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scenario</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will</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depend</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driver</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of</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project</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is</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CHP </w:t>
            </w:r>
            <w:proofErr w:type="spellStart"/>
            <w:r w:rsidRPr="00F8190E">
              <w:rPr>
                <w:rFonts w:ascii="Times New Roman" w:eastAsia="Calibri" w:hAnsi="Times New Roman" w:cs="Times New Roman"/>
                <w:i/>
                <w:color w:val="000000"/>
              </w:rPr>
              <w:t>built</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mainly</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for</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heat</w:t>
            </w:r>
            <w:proofErr w:type="spellEnd"/>
            <w:r w:rsidRPr="00F8190E">
              <w:rPr>
                <w:rFonts w:ascii="Times New Roman" w:eastAsia="Calibri" w:hAnsi="Times New Roman" w:cs="Times New Roman"/>
                <w:i/>
                <w:color w:val="000000"/>
              </w:rPr>
              <w:t xml:space="preserve"> it </w:t>
            </w:r>
            <w:proofErr w:type="spellStart"/>
            <w:r w:rsidRPr="00F8190E">
              <w:rPr>
                <w:rFonts w:ascii="Times New Roman" w:eastAsia="Calibri" w:hAnsi="Times New Roman" w:cs="Times New Roman"/>
                <w:i/>
                <w:color w:val="000000"/>
              </w:rPr>
              <w:t>generates</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or</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mainly</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for</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electricity</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produced</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As</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an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example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if</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driver</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of</w:t>
            </w:r>
            <w:proofErr w:type="spellEnd"/>
            <w:r w:rsidRPr="00F8190E">
              <w:rPr>
                <w:rFonts w:ascii="Times New Roman" w:eastAsia="Calibri" w:hAnsi="Times New Roman" w:cs="Times New Roman"/>
                <w:i/>
                <w:color w:val="000000"/>
              </w:rPr>
              <w:t xml:space="preserve"> a CHP </w:t>
            </w:r>
            <w:proofErr w:type="spellStart"/>
            <w:r w:rsidRPr="00F8190E">
              <w:rPr>
                <w:rFonts w:ascii="Times New Roman" w:eastAsia="Calibri" w:hAnsi="Times New Roman" w:cs="Times New Roman"/>
                <w:i/>
                <w:color w:val="000000"/>
              </w:rPr>
              <w:t>project</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is</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heat</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production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and</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electricity</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would</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only</w:t>
            </w:r>
            <w:proofErr w:type="spellEnd"/>
            <w:r w:rsidRPr="00F8190E">
              <w:rPr>
                <w:rFonts w:ascii="Times New Roman" w:eastAsia="Calibri" w:hAnsi="Times New Roman" w:cs="Times New Roman"/>
                <w:i/>
                <w:color w:val="000000"/>
              </w:rPr>
              <w:t xml:space="preserve"> be a </w:t>
            </w:r>
            <w:proofErr w:type="spellStart"/>
            <w:r w:rsidRPr="00F8190E">
              <w:rPr>
                <w:rFonts w:ascii="Times New Roman" w:eastAsia="Calibri" w:hAnsi="Times New Roman" w:cs="Times New Roman"/>
                <w:i/>
                <w:color w:val="000000"/>
              </w:rPr>
              <w:t>by-product</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in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such</w:t>
            </w:r>
            <w:proofErr w:type="spellEnd"/>
            <w:r w:rsidRPr="00F8190E">
              <w:rPr>
                <w:rFonts w:ascii="Times New Roman" w:eastAsia="Calibri" w:hAnsi="Times New Roman" w:cs="Times New Roman"/>
                <w:i/>
                <w:color w:val="000000"/>
              </w:rPr>
              <w:t xml:space="preserve"> a </w:t>
            </w:r>
            <w:proofErr w:type="spellStart"/>
            <w:r w:rsidRPr="00F8190E">
              <w:rPr>
                <w:rFonts w:ascii="Times New Roman" w:eastAsia="Calibri" w:hAnsi="Times New Roman" w:cs="Times New Roman"/>
                <w:i/>
                <w:color w:val="000000"/>
              </w:rPr>
              <w:t>case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counterfactual</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could</w:t>
            </w:r>
            <w:proofErr w:type="spellEnd"/>
            <w:r w:rsidRPr="00F8190E">
              <w:rPr>
                <w:rFonts w:ascii="Times New Roman" w:eastAsia="Calibri" w:hAnsi="Times New Roman" w:cs="Times New Roman"/>
                <w:i/>
                <w:color w:val="000000"/>
              </w:rPr>
              <w:t xml:space="preserve"> be a </w:t>
            </w:r>
            <w:proofErr w:type="spellStart"/>
            <w:r w:rsidRPr="00F8190E">
              <w:rPr>
                <w:rFonts w:ascii="Times New Roman" w:eastAsia="Calibri" w:hAnsi="Times New Roman" w:cs="Times New Roman"/>
                <w:i/>
                <w:color w:val="000000"/>
              </w:rPr>
              <w:t>heating</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installation</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of</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same</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capacity</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as</w:t>
            </w:r>
            <w:proofErr w:type="spellEnd"/>
            <w:r w:rsidRPr="00F8190E">
              <w:rPr>
                <w:rFonts w:ascii="Times New Roman" w:eastAsia="Calibri" w:hAnsi="Times New Roman" w:cs="Times New Roman"/>
                <w:i/>
                <w:color w:val="000000"/>
              </w:rPr>
              <w:t xml:space="preserve"> </w:t>
            </w:r>
            <w:proofErr w:type="spellStart"/>
            <w:r w:rsidRPr="00F8190E">
              <w:rPr>
                <w:rFonts w:ascii="Times New Roman" w:eastAsia="Calibri" w:hAnsi="Times New Roman" w:cs="Times New Roman"/>
                <w:i/>
                <w:color w:val="000000"/>
              </w:rPr>
              <w:t>the</w:t>
            </w:r>
            <w:proofErr w:type="spellEnd"/>
            <w:r w:rsidRPr="00F8190E">
              <w:rPr>
                <w:rFonts w:ascii="Times New Roman" w:eastAsia="Calibri" w:hAnsi="Times New Roman" w:cs="Times New Roman"/>
                <w:i/>
                <w:color w:val="000000"/>
              </w:rPr>
              <w:t xml:space="preserve"> CHP“</w:t>
            </w:r>
            <w:r w:rsidRPr="00F8190E">
              <w:rPr>
                <w:rFonts w:ascii="Times New Roman" w:eastAsia="Calibri" w:hAnsi="Times New Roman" w:cs="Times New Roman"/>
                <w:color w:val="000000"/>
              </w:rPr>
              <w:t xml:space="preserve">) ir į tai, kad kogeneracinių elektrinių plėtra Lietuvoje numatyta </w:t>
            </w:r>
            <w:r w:rsidR="00AB6903" w:rsidRPr="00F8190E">
              <w:rPr>
                <w:rFonts w:ascii="Times New Roman" w:eastAsia="Calibri" w:hAnsi="Times New Roman" w:cs="Times New Roman"/>
                <w:color w:val="000000"/>
              </w:rPr>
              <w:t>NŠŪ</w:t>
            </w:r>
            <w:r w:rsidR="0018366F" w:rsidRPr="00F8190E">
              <w:rPr>
                <w:rFonts w:ascii="Times New Roman" w:eastAsia="Calibri" w:hAnsi="Times New Roman" w:cs="Times New Roman"/>
                <w:color w:val="000000"/>
              </w:rPr>
              <w:t>PP)</w:t>
            </w:r>
            <w:r w:rsidR="0072711D" w:rsidRPr="00F8190E">
              <w:rPr>
                <w:rFonts w:ascii="Times New Roman" w:eastAsia="Calibri" w:hAnsi="Times New Roman" w:cs="Times New Roman"/>
                <w:color w:val="000000"/>
              </w:rPr>
              <w:t>,</w:t>
            </w:r>
            <w:r w:rsidR="004F3EB2" w:rsidRPr="00F8190E">
              <w:rPr>
                <w:rFonts w:ascii="Times New Roman" w:eastAsia="Calibri" w:hAnsi="Times New Roman" w:cs="Times New Roman"/>
                <w:color w:val="000000"/>
              </w:rPr>
              <w:t xml:space="preserve"> negavę 2014–2020 m. ES fondų investicijų pareiškėjai, labiausiai tikėtina, statytų d</w:t>
            </w:r>
            <w:r w:rsidR="00AB6903" w:rsidRPr="00F8190E">
              <w:rPr>
                <w:rFonts w:ascii="Times New Roman" w:eastAsia="Calibri" w:hAnsi="Times New Roman" w:cs="Times New Roman"/>
                <w:color w:val="000000"/>
              </w:rPr>
              <w:t>ujinius vandens šildymo katilus,</w:t>
            </w:r>
            <w:r w:rsidR="004F3EB2" w:rsidRPr="00F8190E">
              <w:rPr>
                <w:rFonts w:ascii="Times New Roman" w:eastAsia="Calibri" w:hAnsi="Times New Roman" w:cs="Times New Roman"/>
                <w:color w:val="000000"/>
              </w:rPr>
              <w:t xml:space="preserve"> siekiant aiškumo pareiškėjams bei vienodo pagrindo nustatant maksimalią valstybės pagalbą</w:t>
            </w:r>
            <w:r w:rsidR="00AB6903" w:rsidRPr="00F8190E">
              <w:rPr>
                <w:rFonts w:ascii="Times New Roman" w:eastAsia="Calibri" w:hAnsi="Times New Roman" w:cs="Times New Roman"/>
                <w:color w:val="000000"/>
              </w:rPr>
              <w:t>,</w:t>
            </w:r>
            <w:r w:rsidR="00C674E8" w:rsidRPr="00F8190E">
              <w:rPr>
                <w:rFonts w:ascii="Times New Roman" w:eastAsia="Calibri" w:hAnsi="Times New Roman" w:cs="Times New Roman"/>
                <w:color w:val="000000"/>
              </w:rPr>
              <w:t xml:space="preserve"> 44 punktas pakoreguotas atitinkamai:</w:t>
            </w:r>
          </w:p>
          <w:p w14:paraId="49BBA167" w14:textId="0501550B" w:rsidR="00FA5346" w:rsidRPr="00F8190E" w:rsidRDefault="00C674E8" w:rsidP="00B60A89">
            <w:pPr>
              <w:spacing w:line="276" w:lineRule="auto"/>
              <w:jc w:val="both"/>
              <w:rPr>
                <w:rFonts w:ascii="Times New Roman" w:hAnsi="Times New Roman" w:cs="Times New Roman"/>
                <w:b/>
              </w:rPr>
            </w:pPr>
            <w:r w:rsidRPr="00F8190E">
              <w:rPr>
                <w:rFonts w:ascii="Times New Roman" w:eastAsia="Calibri" w:hAnsi="Times New Roman" w:cs="Times New Roman"/>
                <w:color w:val="000000"/>
              </w:rPr>
              <w:t>„</w:t>
            </w:r>
            <w:r w:rsidRPr="00F8190E">
              <w:rPr>
                <w:rFonts w:ascii="Times New Roman" w:eastAsia="Times New Roman" w:hAnsi="Times New Roman" w:cs="Times New Roman"/>
                <w:lang w:eastAsia="lt-LT"/>
              </w:rPr>
              <w:t xml:space="preserve">Tinkamos finansuoti išlaidos yra papildomos investicijų į įrangą, kurios reikia, kad įrenginys veiktų kaip didelio naudingumo kogeneracijos įrenginys, palyginti su to paties pajėgumo įprastais </w:t>
            </w:r>
            <w:r w:rsidRPr="00F8190E">
              <w:rPr>
                <w:rFonts w:ascii="Times New Roman" w:eastAsia="Times New Roman" w:hAnsi="Times New Roman" w:cs="Times New Roman"/>
                <w:strike/>
                <w:lang w:eastAsia="lt-LT"/>
              </w:rPr>
              <w:t xml:space="preserve">elektros energijos ar </w:t>
            </w:r>
            <w:r w:rsidRPr="00F8190E">
              <w:rPr>
                <w:rFonts w:ascii="Times New Roman" w:eastAsia="Times New Roman" w:hAnsi="Times New Roman" w:cs="Times New Roman"/>
                <w:lang w:eastAsia="lt-LT"/>
              </w:rPr>
              <w:t>šilumos gamybos įrenginiais, išlaidos &lt;...&gt;“.</w:t>
            </w:r>
          </w:p>
        </w:tc>
      </w:tr>
      <w:tr w:rsidR="00FA5346" w:rsidRPr="00F8190E" w14:paraId="25EC9E29" w14:textId="77777777" w:rsidTr="00E60602">
        <w:trPr>
          <w:trHeight w:val="557"/>
        </w:trPr>
        <w:tc>
          <w:tcPr>
            <w:tcW w:w="574" w:type="dxa"/>
          </w:tcPr>
          <w:p w14:paraId="275AEBA7" w14:textId="77777777" w:rsidR="00FA5346" w:rsidRPr="00F8190E" w:rsidRDefault="00FA5346" w:rsidP="00B60A89">
            <w:pPr>
              <w:pStyle w:val="ListParagraph"/>
              <w:numPr>
                <w:ilvl w:val="0"/>
                <w:numId w:val="7"/>
              </w:numPr>
              <w:spacing w:line="276" w:lineRule="auto"/>
              <w:ind w:left="357" w:hanging="357"/>
              <w:jc w:val="left"/>
              <w:rPr>
                <w:sz w:val="22"/>
                <w:szCs w:val="22"/>
              </w:rPr>
            </w:pPr>
          </w:p>
        </w:tc>
        <w:tc>
          <w:tcPr>
            <w:tcW w:w="6950" w:type="dxa"/>
          </w:tcPr>
          <w:p w14:paraId="660F35C4" w14:textId="3F6AA8A4" w:rsidR="00FA5346" w:rsidRPr="00F8190E" w:rsidRDefault="00B728AD" w:rsidP="00B60A89">
            <w:pPr>
              <w:spacing w:line="276" w:lineRule="auto"/>
              <w:jc w:val="both"/>
              <w:rPr>
                <w:rFonts w:ascii="Times New Roman" w:hAnsi="Times New Roman" w:cs="Times New Roman"/>
              </w:rPr>
            </w:pPr>
            <w:r w:rsidRPr="00F8190E">
              <w:rPr>
                <w:rFonts w:ascii="Times New Roman" w:hAnsi="Times New Roman" w:cs="Times New Roman"/>
              </w:rPr>
              <w:t xml:space="preserve">Atkreipiamas dėmesys, kad 59. 14 p. praleista labai maža įmonė „&lt;...&gt; jeigu pareiškėjas yra maža arba vidutinė įmonė, – Smulkiojo ir vidutinio verslo subjekto statuso deklaraciją&lt;...&gt;“. </w:t>
            </w:r>
          </w:p>
        </w:tc>
        <w:tc>
          <w:tcPr>
            <w:tcW w:w="6460" w:type="dxa"/>
          </w:tcPr>
          <w:p w14:paraId="7693FFE8" w14:textId="77777777" w:rsidR="00B728AD" w:rsidRPr="00F8190E" w:rsidRDefault="00B728AD"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1943CC54" w14:textId="61A2BD9A" w:rsidR="00B728AD" w:rsidRPr="00F8190E" w:rsidRDefault="00B728AD" w:rsidP="00B60A89">
            <w:pPr>
              <w:spacing w:line="276" w:lineRule="auto"/>
              <w:jc w:val="both"/>
              <w:rPr>
                <w:rFonts w:ascii="Times New Roman" w:hAnsi="Times New Roman" w:cs="Times New Roman"/>
              </w:rPr>
            </w:pPr>
            <w:r w:rsidRPr="00F8190E">
              <w:rPr>
                <w:rFonts w:ascii="Times New Roman" w:hAnsi="Times New Roman" w:cs="Times New Roman"/>
              </w:rPr>
              <w:t>59.14 p. pakoreguotas atitinkamai:</w:t>
            </w:r>
          </w:p>
          <w:p w14:paraId="708E80B5" w14:textId="2C53BEF0" w:rsidR="00FA5346" w:rsidRPr="00F8190E" w:rsidRDefault="00B728AD" w:rsidP="00B60A89">
            <w:pPr>
              <w:spacing w:line="276" w:lineRule="auto"/>
              <w:jc w:val="both"/>
              <w:rPr>
                <w:rFonts w:ascii="Times New Roman" w:hAnsi="Times New Roman" w:cs="Times New Roman"/>
                <w:b/>
              </w:rPr>
            </w:pPr>
            <w:r w:rsidRPr="00F8190E">
              <w:rPr>
                <w:rFonts w:ascii="Times New Roman" w:hAnsi="Times New Roman" w:cs="Times New Roman"/>
              </w:rPr>
              <w:t xml:space="preserve">„&lt;...&gt; </w:t>
            </w:r>
            <w:r w:rsidRPr="00F8190E">
              <w:rPr>
                <w:rFonts w:ascii="Times New Roman" w:eastAsia="Times New Roman" w:hAnsi="Times New Roman" w:cs="Times New Roman"/>
              </w:rPr>
              <w:t xml:space="preserve">jeigu pareiškėjas yra </w:t>
            </w:r>
            <w:r w:rsidRPr="00F8190E">
              <w:rPr>
                <w:rFonts w:ascii="Times New Roman" w:eastAsia="Times New Roman" w:hAnsi="Times New Roman" w:cs="Times New Roman"/>
                <w:b/>
              </w:rPr>
              <w:t>labai maža,</w:t>
            </w:r>
            <w:r w:rsidRPr="00F8190E">
              <w:rPr>
                <w:rFonts w:ascii="Times New Roman" w:eastAsia="Times New Roman" w:hAnsi="Times New Roman" w:cs="Times New Roman"/>
              </w:rPr>
              <w:t xml:space="preserve"> maža arba vidutinė įmonė, – Smulkiojo ir vidutinio verslo subjekto statuso deklaraciją &lt;...&gt;“.</w:t>
            </w:r>
          </w:p>
        </w:tc>
      </w:tr>
      <w:tr w:rsidR="00FA5346" w:rsidRPr="00F8190E" w14:paraId="5B6E07D6" w14:textId="77777777" w:rsidTr="00E60602">
        <w:trPr>
          <w:trHeight w:val="557"/>
        </w:trPr>
        <w:tc>
          <w:tcPr>
            <w:tcW w:w="574" w:type="dxa"/>
          </w:tcPr>
          <w:p w14:paraId="344FA7B0" w14:textId="77777777" w:rsidR="00FA5346" w:rsidRPr="00F8190E" w:rsidRDefault="00FA5346" w:rsidP="00B60A89">
            <w:pPr>
              <w:pStyle w:val="ListParagraph"/>
              <w:numPr>
                <w:ilvl w:val="0"/>
                <w:numId w:val="7"/>
              </w:numPr>
              <w:spacing w:line="276" w:lineRule="auto"/>
              <w:ind w:left="357" w:hanging="357"/>
              <w:jc w:val="left"/>
              <w:rPr>
                <w:sz w:val="22"/>
                <w:szCs w:val="22"/>
              </w:rPr>
            </w:pPr>
          </w:p>
        </w:tc>
        <w:tc>
          <w:tcPr>
            <w:tcW w:w="6950" w:type="dxa"/>
          </w:tcPr>
          <w:p w14:paraId="6EE0E23A" w14:textId="1411953C" w:rsidR="00FA5346" w:rsidRPr="00F8190E" w:rsidRDefault="00D7052F" w:rsidP="00B60A89">
            <w:pPr>
              <w:spacing w:line="276" w:lineRule="auto"/>
              <w:jc w:val="both"/>
              <w:rPr>
                <w:rFonts w:ascii="Times New Roman" w:hAnsi="Times New Roman" w:cs="Times New Roman"/>
              </w:rPr>
            </w:pPr>
            <w:r w:rsidRPr="00F8190E">
              <w:rPr>
                <w:rFonts w:ascii="Times New Roman" w:hAnsi="Times New Roman" w:cs="Times New Roman"/>
              </w:rPr>
              <w:t xml:space="preserve">Atkreipiamas dėmesys, kad </w:t>
            </w:r>
            <w:r w:rsidR="00283810" w:rsidRPr="00F8190E">
              <w:rPr>
                <w:rFonts w:ascii="Times New Roman" w:hAnsi="Times New Roman" w:cs="Times New Roman"/>
              </w:rPr>
              <w:t>78 p. numatytas projekto sutarčių sudarymo terminas yra nurodytas Aprašo 74, o ne 75 punkte.</w:t>
            </w:r>
          </w:p>
        </w:tc>
        <w:tc>
          <w:tcPr>
            <w:tcW w:w="6460" w:type="dxa"/>
          </w:tcPr>
          <w:p w14:paraId="4F09F887" w14:textId="249DC6B4" w:rsidR="00283810" w:rsidRPr="00F8190E" w:rsidRDefault="00283810"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p>
          <w:p w14:paraId="53DCAD13" w14:textId="27D7A97F" w:rsidR="00395062" w:rsidRPr="00F8190E" w:rsidRDefault="008839A3" w:rsidP="00B60A89">
            <w:pPr>
              <w:spacing w:line="276" w:lineRule="auto"/>
              <w:jc w:val="both"/>
              <w:rPr>
                <w:rFonts w:ascii="Times New Roman" w:hAnsi="Times New Roman" w:cs="Times New Roman"/>
              </w:rPr>
            </w:pPr>
            <w:r w:rsidRPr="00F8190E">
              <w:rPr>
                <w:rFonts w:ascii="Times New Roman" w:hAnsi="Times New Roman" w:cs="Times New Roman"/>
              </w:rPr>
              <w:t>78 punktas pakoreguotas atitinkamai:</w:t>
            </w:r>
          </w:p>
          <w:p w14:paraId="4453BC5D" w14:textId="4ECD4F7A" w:rsidR="00FA5346" w:rsidRPr="00F8190E" w:rsidRDefault="008839A3" w:rsidP="00B60A89">
            <w:pPr>
              <w:tabs>
                <w:tab w:val="left" w:pos="709"/>
                <w:tab w:val="left" w:pos="851"/>
                <w:tab w:val="left" w:pos="1135"/>
                <w:tab w:val="left" w:pos="1276"/>
                <w:tab w:val="left" w:pos="1560"/>
                <w:tab w:val="left" w:pos="1843"/>
              </w:tabs>
              <w:spacing w:line="276" w:lineRule="auto"/>
              <w:jc w:val="both"/>
              <w:rPr>
                <w:rFonts w:ascii="Times New Roman" w:hAnsi="Times New Roman" w:cs="Times New Roman"/>
                <w:b/>
              </w:rPr>
            </w:pPr>
            <w:r w:rsidRPr="00F8190E">
              <w:rPr>
                <w:rFonts w:ascii="Times New Roman" w:eastAsia="Times New Roman" w:hAnsi="Times New Roman" w:cs="Times New Roman"/>
              </w:rPr>
              <w:t xml:space="preserve">„Įgyvendinančioji institucija, įvertinusi prašymo priežastis ir atsižvelgdama į Aprašo </w:t>
            </w:r>
            <w:r w:rsidRPr="00F8190E">
              <w:rPr>
                <w:rFonts w:ascii="Times New Roman" w:eastAsia="Times New Roman" w:hAnsi="Times New Roman" w:cs="Times New Roman"/>
                <w:strike/>
              </w:rPr>
              <w:t>75</w:t>
            </w:r>
            <w:r w:rsidRPr="00F8190E">
              <w:rPr>
                <w:rFonts w:ascii="Times New Roman" w:eastAsia="Times New Roman" w:hAnsi="Times New Roman" w:cs="Times New Roman"/>
                <w:b/>
              </w:rPr>
              <w:t>74</w:t>
            </w:r>
            <w:r w:rsidRPr="00F8190E">
              <w:rPr>
                <w:rFonts w:ascii="Times New Roman" w:eastAsia="Times New Roman" w:hAnsi="Times New Roman" w:cs="Times New Roman"/>
              </w:rPr>
              <w:t xml:space="preserve"> punkte nustatytą projektų sutarčių sudarymo terminą, turi teisę pratęsti sutarties pasirašymo terminą, ir apie savo sprendimą informuoti pareiškėją ne vėliau kaip per 7 dienas nuo prašymo gavimo dienos.</w:t>
            </w:r>
            <w:r w:rsidRPr="00F8190E">
              <w:rPr>
                <w:rFonts w:ascii="Times New Roman" w:hAnsi="Times New Roman" w:cs="Times New Roman"/>
                <w:b/>
              </w:rPr>
              <w:t xml:space="preserve"> </w:t>
            </w:r>
          </w:p>
        </w:tc>
      </w:tr>
      <w:tr w:rsidR="00554B48" w:rsidRPr="00F8190E" w14:paraId="2C336AF8" w14:textId="77777777" w:rsidTr="00E60602">
        <w:trPr>
          <w:trHeight w:val="557"/>
        </w:trPr>
        <w:tc>
          <w:tcPr>
            <w:tcW w:w="574" w:type="dxa"/>
          </w:tcPr>
          <w:p w14:paraId="372F79A8" w14:textId="77777777" w:rsidR="00554B48" w:rsidRPr="00F8190E" w:rsidRDefault="00554B48" w:rsidP="00B60A89">
            <w:pPr>
              <w:pStyle w:val="ListParagraph"/>
              <w:numPr>
                <w:ilvl w:val="0"/>
                <w:numId w:val="7"/>
              </w:numPr>
              <w:spacing w:line="276" w:lineRule="auto"/>
              <w:ind w:left="357" w:hanging="357"/>
              <w:jc w:val="left"/>
              <w:rPr>
                <w:sz w:val="22"/>
                <w:szCs w:val="22"/>
              </w:rPr>
            </w:pPr>
          </w:p>
        </w:tc>
        <w:tc>
          <w:tcPr>
            <w:tcW w:w="6950" w:type="dxa"/>
          </w:tcPr>
          <w:p w14:paraId="335B00AB" w14:textId="5782DC47" w:rsidR="00554B48" w:rsidRPr="00F8190E" w:rsidRDefault="00A17932" w:rsidP="00B60A89">
            <w:pPr>
              <w:spacing w:line="276" w:lineRule="auto"/>
              <w:jc w:val="both"/>
              <w:rPr>
                <w:rFonts w:ascii="Times New Roman" w:hAnsi="Times New Roman" w:cs="Times New Roman"/>
              </w:rPr>
            </w:pPr>
            <w:r w:rsidRPr="00F8190E">
              <w:rPr>
                <w:rFonts w:ascii="Times New Roman" w:hAnsi="Times New Roman" w:cs="Times New Roman"/>
              </w:rPr>
              <w:t xml:space="preserve">82 p. </w:t>
            </w:r>
            <w:r w:rsidR="00771627" w:rsidRPr="00F8190E">
              <w:rPr>
                <w:rFonts w:ascii="Times New Roman" w:hAnsi="Times New Roman" w:cs="Times New Roman"/>
              </w:rPr>
              <w:t>siūloma pakoreguoti pagal Projektų administravimo ir finansavimo taisyklių (toliau – PAFT) 27 skirsnį</w:t>
            </w:r>
            <w:r w:rsidR="00AB6903" w:rsidRPr="00F8190E">
              <w:rPr>
                <w:rFonts w:ascii="Times New Roman" w:hAnsi="Times New Roman" w:cs="Times New Roman"/>
              </w:rPr>
              <w:t>:</w:t>
            </w:r>
            <w:r w:rsidR="00771627" w:rsidRPr="00F8190E">
              <w:rPr>
                <w:rFonts w:ascii="Times New Roman" w:hAnsi="Times New Roman" w:cs="Times New Roman"/>
              </w:rPr>
              <w:t xml:space="preserve"> </w:t>
            </w:r>
            <w:r w:rsidR="00890A36" w:rsidRPr="00F8190E">
              <w:rPr>
                <w:rFonts w:ascii="Times New Roman" w:eastAsia="Calibri" w:hAnsi="Times New Roman" w:cs="Times New Roman"/>
                <w:lang w:eastAsia="lt-LT"/>
              </w:rPr>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w:t>
            </w:r>
            <w:r w:rsidR="00890A36" w:rsidRPr="00F8190E">
              <w:rPr>
                <w:rFonts w:ascii="Times New Roman" w:eastAsia="Calibri" w:hAnsi="Times New Roman" w:cs="Times New Roman"/>
                <w:b/>
                <w:lang w:eastAsia="lt-LT"/>
              </w:rPr>
              <w:t>ne mažiau kaip trejus metus nuo projekto finansavimo pabaigos labai mažų, mažų ir vidutinių pramonės įmonių atveju ir ne mažiau kaip penkerius metus nuo projekto finansavimo pabaigos didelių įmonių atveju</w:t>
            </w:r>
            <w:r w:rsidR="00890A36" w:rsidRPr="00F8190E">
              <w:rPr>
                <w:rFonts w:ascii="Times New Roman" w:eastAsia="Calibri" w:hAnsi="Times New Roman" w:cs="Times New Roman"/>
                <w:lang w:eastAsia="lt-LT"/>
              </w:rPr>
              <w:t xml:space="preserve"> teisės aktų nustatyta tvarka.“</w:t>
            </w:r>
          </w:p>
        </w:tc>
        <w:tc>
          <w:tcPr>
            <w:tcW w:w="6460" w:type="dxa"/>
          </w:tcPr>
          <w:p w14:paraId="46CBA75E" w14:textId="77777777" w:rsidR="00771627" w:rsidRPr="00F8190E" w:rsidRDefault="00771627" w:rsidP="00B60A89">
            <w:pPr>
              <w:spacing w:line="276" w:lineRule="auto"/>
              <w:jc w:val="both"/>
              <w:rPr>
                <w:rFonts w:ascii="Times New Roman" w:hAnsi="Times New Roman" w:cs="Times New Roman"/>
                <w:b/>
              </w:rPr>
            </w:pPr>
            <w:r w:rsidRPr="00F8190E">
              <w:rPr>
                <w:rFonts w:ascii="Times New Roman" w:hAnsi="Times New Roman" w:cs="Times New Roman"/>
                <w:b/>
              </w:rPr>
              <w:t>Neatsižvelgta.</w:t>
            </w:r>
          </w:p>
          <w:p w14:paraId="45356368" w14:textId="00EF9292" w:rsidR="00554B48" w:rsidRPr="00F8190E" w:rsidRDefault="00DB2434" w:rsidP="00B60A89">
            <w:pPr>
              <w:spacing w:line="276" w:lineRule="auto"/>
              <w:jc w:val="both"/>
              <w:rPr>
                <w:rFonts w:ascii="Times New Roman" w:hAnsi="Times New Roman" w:cs="Times New Roman"/>
                <w:b/>
              </w:rPr>
            </w:pPr>
            <w:r w:rsidRPr="00F8190E">
              <w:rPr>
                <w:rFonts w:ascii="Times New Roman" w:hAnsi="Times New Roman" w:cs="Times New Roman"/>
              </w:rPr>
              <w:t>Dėl ženklių investicijų Energetikos ministerija taiko griežtesnę nuostatą, kuri numatoma visuose Energetikos ministerijos kuruojamų priemonių PFSA</w:t>
            </w:r>
            <w:r w:rsidR="00771627" w:rsidRPr="00F8190E">
              <w:rPr>
                <w:rFonts w:ascii="Times New Roman" w:hAnsi="Times New Roman" w:cs="Times New Roman"/>
                <w:color w:val="0D0D0D"/>
              </w:rPr>
              <w:t>, be to siekiama suvienodinti d</w:t>
            </w:r>
            <w:r w:rsidR="00890A36" w:rsidRPr="00F8190E">
              <w:rPr>
                <w:rFonts w:ascii="Times New Roman" w:hAnsi="Times New Roman" w:cs="Times New Roman"/>
                <w:color w:val="0D0D0D"/>
              </w:rPr>
              <w:t>aiktinių teisių galiojimo (29.7 papunktis) ir turto draudimo galiojimo (82 punktas) terminus.</w:t>
            </w:r>
          </w:p>
        </w:tc>
      </w:tr>
      <w:tr w:rsidR="00771627" w:rsidRPr="00F8190E" w14:paraId="1214ACC5" w14:textId="77777777" w:rsidTr="00E60602">
        <w:trPr>
          <w:trHeight w:val="557"/>
        </w:trPr>
        <w:tc>
          <w:tcPr>
            <w:tcW w:w="574" w:type="dxa"/>
          </w:tcPr>
          <w:p w14:paraId="495FADA8" w14:textId="77777777" w:rsidR="00771627" w:rsidRPr="00F8190E" w:rsidRDefault="00771627" w:rsidP="00B60A89">
            <w:pPr>
              <w:pStyle w:val="ListParagraph"/>
              <w:numPr>
                <w:ilvl w:val="0"/>
                <w:numId w:val="7"/>
              </w:numPr>
              <w:spacing w:line="276" w:lineRule="auto"/>
              <w:ind w:left="357" w:hanging="357"/>
              <w:jc w:val="left"/>
              <w:rPr>
                <w:sz w:val="22"/>
                <w:szCs w:val="22"/>
              </w:rPr>
            </w:pPr>
          </w:p>
        </w:tc>
        <w:tc>
          <w:tcPr>
            <w:tcW w:w="6950" w:type="dxa"/>
          </w:tcPr>
          <w:p w14:paraId="7695D467" w14:textId="16398DE0" w:rsidR="00771627" w:rsidRPr="00F8190E" w:rsidRDefault="00890A36" w:rsidP="00B60A89">
            <w:pPr>
              <w:spacing w:line="276" w:lineRule="auto"/>
              <w:jc w:val="both"/>
              <w:rPr>
                <w:rFonts w:ascii="Times New Roman" w:hAnsi="Times New Roman" w:cs="Times New Roman"/>
              </w:rPr>
            </w:pPr>
            <w:r w:rsidRPr="00F8190E">
              <w:rPr>
                <w:rFonts w:ascii="Times New Roman" w:hAnsi="Times New Roman" w:cs="Times New Roman"/>
              </w:rPr>
              <w:t>Atkreipiamas dėmesys, kad 1 priede Aprašo 17 punkte nustatytas tinkamumo finansuoti reikalavimas nėra perkeltas į Aprašo 1 priedą.</w:t>
            </w:r>
          </w:p>
        </w:tc>
        <w:tc>
          <w:tcPr>
            <w:tcW w:w="6460" w:type="dxa"/>
          </w:tcPr>
          <w:p w14:paraId="08C9A655" w14:textId="00ED42DE" w:rsidR="00890A36" w:rsidRPr="00F8190E" w:rsidRDefault="00440B18" w:rsidP="00B60A89">
            <w:pPr>
              <w:spacing w:line="276" w:lineRule="auto"/>
              <w:jc w:val="both"/>
              <w:rPr>
                <w:rFonts w:ascii="Times New Roman" w:hAnsi="Times New Roman" w:cs="Times New Roman"/>
                <w:b/>
              </w:rPr>
            </w:pPr>
            <w:r w:rsidRPr="00F8190E">
              <w:rPr>
                <w:rFonts w:ascii="Times New Roman" w:hAnsi="Times New Roman" w:cs="Times New Roman"/>
                <w:b/>
              </w:rPr>
              <w:t>Atsižvelgta</w:t>
            </w:r>
            <w:r w:rsidR="005043D2" w:rsidRPr="00F8190E">
              <w:rPr>
                <w:rFonts w:ascii="Times New Roman" w:hAnsi="Times New Roman" w:cs="Times New Roman"/>
                <w:b/>
              </w:rPr>
              <w:t>.</w:t>
            </w:r>
          </w:p>
          <w:p w14:paraId="09EBC624" w14:textId="5EB5D57A" w:rsidR="004E3602" w:rsidRPr="00F8190E" w:rsidRDefault="005043D2" w:rsidP="00B60A89">
            <w:pPr>
              <w:spacing w:line="276" w:lineRule="auto"/>
              <w:jc w:val="both"/>
              <w:rPr>
                <w:rFonts w:ascii="Times New Roman" w:hAnsi="Times New Roman" w:cs="Times New Roman"/>
              </w:rPr>
            </w:pPr>
            <w:r w:rsidRPr="00F8190E">
              <w:rPr>
                <w:rFonts w:ascii="Times New Roman" w:hAnsi="Times New Roman" w:cs="Times New Roman"/>
              </w:rPr>
              <w:t xml:space="preserve">Reikalavimas </w:t>
            </w:r>
            <w:r w:rsidR="00AB6903" w:rsidRPr="00F8190E">
              <w:rPr>
                <w:rFonts w:ascii="Times New Roman" w:hAnsi="Times New Roman" w:cs="Times New Roman"/>
              </w:rPr>
              <w:t xml:space="preserve">jau </w:t>
            </w:r>
            <w:r w:rsidR="00DB2434" w:rsidRPr="00F8190E">
              <w:rPr>
                <w:rFonts w:ascii="Times New Roman" w:hAnsi="Times New Roman" w:cs="Times New Roman"/>
              </w:rPr>
              <w:t xml:space="preserve">derinamame PFSA projekte </w:t>
            </w:r>
            <w:r w:rsidR="00440B18" w:rsidRPr="00F8190E">
              <w:rPr>
                <w:rFonts w:ascii="Times New Roman" w:hAnsi="Times New Roman" w:cs="Times New Roman"/>
              </w:rPr>
              <w:t>buvo</w:t>
            </w:r>
            <w:r w:rsidRPr="00F8190E">
              <w:rPr>
                <w:rFonts w:ascii="Times New Roman" w:hAnsi="Times New Roman" w:cs="Times New Roman"/>
              </w:rPr>
              <w:t xml:space="preserve"> perkeltas į </w:t>
            </w:r>
            <w:r w:rsidR="004E3602" w:rsidRPr="00F8190E">
              <w:rPr>
                <w:rFonts w:ascii="Times New Roman" w:hAnsi="Times New Roman" w:cs="Times New Roman"/>
              </w:rPr>
              <w:t>1 priedą:</w:t>
            </w:r>
          </w:p>
          <w:p w14:paraId="6D027378" w14:textId="6FB166D5" w:rsidR="00771627" w:rsidRPr="00F8190E" w:rsidRDefault="004E3602" w:rsidP="00B60A89">
            <w:pPr>
              <w:spacing w:line="276" w:lineRule="auto"/>
              <w:jc w:val="both"/>
              <w:rPr>
                <w:rFonts w:ascii="Times New Roman" w:hAnsi="Times New Roman" w:cs="Times New Roman"/>
              </w:rPr>
            </w:pPr>
            <w:r w:rsidRPr="00F8190E">
              <w:rPr>
                <w:rFonts w:ascii="Times New Roman" w:hAnsi="Times New Roman" w:cs="Times New Roman"/>
              </w:rPr>
              <w:t xml:space="preserve">LVPA vertindama, ar </w:t>
            </w:r>
            <w:r w:rsidRPr="00F8190E">
              <w:rPr>
                <w:rFonts w:ascii="Times New Roman" w:eastAsia="Times New Roman" w:hAnsi="Times New Roman" w:cs="Times New Roman"/>
                <w:lang w:eastAsia="lt-LT"/>
              </w:rPr>
              <w:t xml:space="preserve">projektas atitinka kitus su projekto veiklomis susijusius projektų finansavimo sąlygų apraše nustatytus reikalavimus, turi patikrinti, ar projektas atitinka „kitus su projekto veiklomis susijusius šio Aprašo 17, 24 ir 36 punktuose nustatytus reikalavimus“. Žr. 1 priedo 1.3 papunktį. </w:t>
            </w:r>
          </w:p>
        </w:tc>
      </w:tr>
      <w:tr w:rsidR="00771627" w:rsidRPr="00F8190E" w14:paraId="12368555" w14:textId="77777777" w:rsidTr="00E60602">
        <w:trPr>
          <w:trHeight w:val="557"/>
        </w:trPr>
        <w:tc>
          <w:tcPr>
            <w:tcW w:w="574" w:type="dxa"/>
          </w:tcPr>
          <w:p w14:paraId="5137FAE6" w14:textId="77777777" w:rsidR="00771627" w:rsidRPr="00F8190E" w:rsidRDefault="00771627" w:rsidP="00B60A89">
            <w:pPr>
              <w:pStyle w:val="ListParagraph"/>
              <w:numPr>
                <w:ilvl w:val="0"/>
                <w:numId w:val="7"/>
              </w:numPr>
              <w:spacing w:line="276" w:lineRule="auto"/>
              <w:ind w:left="357" w:hanging="357"/>
              <w:jc w:val="left"/>
              <w:rPr>
                <w:sz w:val="22"/>
                <w:szCs w:val="22"/>
              </w:rPr>
            </w:pPr>
          </w:p>
        </w:tc>
        <w:tc>
          <w:tcPr>
            <w:tcW w:w="6950" w:type="dxa"/>
          </w:tcPr>
          <w:p w14:paraId="6BA126C3" w14:textId="24D6E243" w:rsidR="00771627" w:rsidRPr="00F8190E" w:rsidRDefault="00446770" w:rsidP="00B60A89">
            <w:pPr>
              <w:spacing w:line="276" w:lineRule="auto"/>
              <w:jc w:val="both"/>
              <w:rPr>
                <w:rFonts w:ascii="Times New Roman" w:hAnsi="Times New Roman" w:cs="Times New Roman"/>
              </w:rPr>
            </w:pPr>
            <w:r w:rsidRPr="00F8190E">
              <w:rPr>
                <w:rFonts w:ascii="Times New Roman" w:hAnsi="Times New Roman" w:cs="Times New Roman"/>
              </w:rPr>
              <w:t>Siūloma reikalavimą</w:t>
            </w:r>
            <w:r w:rsidR="00355512" w:rsidRPr="00F8190E">
              <w:rPr>
                <w:rFonts w:ascii="Times New Roman" w:hAnsi="Times New Roman" w:cs="Times New Roman"/>
              </w:rPr>
              <w:t>, numatytą 2 priedo 1 punkte</w:t>
            </w:r>
            <w:r w:rsidR="006D4CAA" w:rsidRPr="00F8190E">
              <w:rPr>
                <w:rFonts w:ascii="Times New Roman" w:hAnsi="Times New Roman" w:cs="Times New Roman"/>
              </w:rPr>
              <w:t xml:space="preserve"> „</w:t>
            </w:r>
            <w:r w:rsidR="006D4CAA" w:rsidRPr="00F8190E">
              <w:rPr>
                <w:rFonts w:ascii="Times New Roman" w:eastAsia="Calibri" w:hAnsi="Times New Roman" w:cs="Times New Roman"/>
              </w:rPr>
              <w:t>Projektuojant kogeneracijos įrenginio (toliau – įrenginys) galią, turi būti atsižvelgta į tai, kad įrenginys galėtų veikti visus metus (ne trumpiau nei 8 000 h) kogeneracijos režimu“ numatyti ir PFSA.</w:t>
            </w:r>
          </w:p>
        </w:tc>
        <w:tc>
          <w:tcPr>
            <w:tcW w:w="6460" w:type="dxa"/>
          </w:tcPr>
          <w:p w14:paraId="60D1CBC9" w14:textId="261008E8" w:rsidR="00F120BD" w:rsidRPr="00F8190E" w:rsidRDefault="002A4B4A"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Atsižvelgta.</w:t>
            </w:r>
          </w:p>
          <w:p w14:paraId="5032738A" w14:textId="3132C7A0" w:rsidR="002A4B4A" w:rsidRPr="00F8190E" w:rsidRDefault="002A4B4A"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17 punktas papildytas:</w:t>
            </w:r>
          </w:p>
          <w:p w14:paraId="2059058C" w14:textId="2FD0BE9B" w:rsidR="00771627" w:rsidRPr="00F8190E" w:rsidRDefault="00A8780B" w:rsidP="00A82282">
            <w:pPr>
              <w:spacing w:line="276" w:lineRule="auto"/>
              <w:jc w:val="both"/>
              <w:rPr>
                <w:rFonts w:ascii="Times New Roman" w:hAnsi="Times New Roman" w:cs="Times New Roman"/>
                <w:b/>
              </w:rPr>
            </w:pPr>
            <w:r w:rsidRPr="00F8190E">
              <w:rPr>
                <w:rFonts w:ascii="Times New Roman" w:eastAsia="Times New Roman" w:hAnsi="Times New Roman" w:cs="Times New Roman"/>
              </w:rPr>
              <w:t>„</w:t>
            </w:r>
            <w:r w:rsidRPr="00F8190E">
              <w:rPr>
                <w:rFonts w:ascii="Times New Roman" w:eastAsia="Times New Roman" w:hAnsi="Times New Roman" w:cs="Times New Roman"/>
                <w:b/>
              </w:rPr>
              <w:t xml:space="preserve">Projektuojant kogeneracijos įrenginio (toliau – įrenginys) galią, turi būti atsižvelgta į tai, kad įrenginys galėtų veikti visus metus (ne trumpiau nei 8 000 </w:t>
            </w:r>
            <w:r w:rsidR="009B757D" w:rsidRPr="00F8190E">
              <w:rPr>
                <w:rFonts w:ascii="Times New Roman" w:eastAsia="Times New Roman" w:hAnsi="Times New Roman" w:cs="Times New Roman"/>
                <w:b/>
              </w:rPr>
              <w:t>val.</w:t>
            </w:r>
            <w:r w:rsidRPr="00F8190E">
              <w:rPr>
                <w:rFonts w:ascii="Times New Roman" w:eastAsia="Times New Roman" w:hAnsi="Times New Roman" w:cs="Times New Roman"/>
                <w:b/>
              </w:rPr>
              <w:t>)</w:t>
            </w:r>
            <w:r w:rsidRPr="00F8190E">
              <w:rPr>
                <w:rFonts w:ascii="Times New Roman" w:eastAsia="Times New Roman" w:hAnsi="Times New Roman" w:cs="Times New Roman"/>
              </w:rPr>
              <w:t>.&lt;...&gt;</w:t>
            </w:r>
            <w:r w:rsidR="009B757D" w:rsidRPr="00F8190E">
              <w:rPr>
                <w:rFonts w:ascii="Times New Roman" w:eastAsia="Times New Roman" w:hAnsi="Times New Roman" w:cs="Times New Roman"/>
              </w:rPr>
              <w:t>“</w:t>
            </w:r>
            <w:r w:rsidRPr="00F8190E">
              <w:rPr>
                <w:rFonts w:ascii="Times New Roman" w:eastAsia="Times New Roman" w:hAnsi="Times New Roman" w:cs="Times New Roman"/>
              </w:rPr>
              <w:t>.</w:t>
            </w:r>
          </w:p>
        </w:tc>
      </w:tr>
      <w:tr w:rsidR="00A8780B" w:rsidRPr="00F8190E" w14:paraId="2FF87192" w14:textId="77777777" w:rsidTr="00E60602">
        <w:trPr>
          <w:trHeight w:val="557"/>
        </w:trPr>
        <w:tc>
          <w:tcPr>
            <w:tcW w:w="574" w:type="dxa"/>
          </w:tcPr>
          <w:p w14:paraId="7B85298B" w14:textId="77777777" w:rsidR="00A8780B" w:rsidRPr="00F8190E" w:rsidRDefault="00A8780B" w:rsidP="00B60A89">
            <w:pPr>
              <w:pStyle w:val="ListParagraph"/>
              <w:numPr>
                <w:ilvl w:val="0"/>
                <w:numId w:val="7"/>
              </w:numPr>
              <w:spacing w:line="276" w:lineRule="auto"/>
              <w:ind w:left="357" w:hanging="357"/>
              <w:jc w:val="left"/>
              <w:rPr>
                <w:sz w:val="22"/>
                <w:szCs w:val="22"/>
              </w:rPr>
            </w:pPr>
          </w:p>
        </w:tc>
        <w:tc>
          <w:tcPr>
            <w:tcW w:w="6950" w:type="dxa"/>
          </w:tcPr>
          <w:p w14:paraId="3E97BC3F" w14:textId="792A53C5" w:rsidR="00A8780B" w:rsidRPr="00F8190E" w:rsidRDefault="00A8780B" w:rsidP="00B60A89">
            <w:pPr>
              <w:spacing w:line="276" w:lineRule="auto"/>
              <w:jc w:val="both"/>
              <w:rPr>
                <w:rFonts w:ascii="Times New Roman" w:hAnsi="Times New Roman" w:cs="Times New Roman"/>
              </w:rPr>
            </w:pPr>
            <w:r w:rsidRPr="00F8190E">
              <w:rPr>
                <w:rFonts w:ascii="Times New Roman" w:hAnsi="Times New Roman" w:cs="Times New Roman"/>
              </w:rPr>
              <w:t>2 priedo 2 punkte nurodyta, kad „0 balų suteikiama, jeigu įgyvendinus projektą hidrauliškai izoliuotoje centralizuoto šilumos tiekimo sistemoje bendra biokurą naudojančių įrenginių įrengtoji šiluminė galia (MW) 2021 m. padengs daugiau kaip 70 proc. vidutinio metinio š</w:t>
            </w:r>
            <w:r w:rsidR="00441F17" w:rsidRPr="00F8190E">
              <w:rPr>
                <w:rFonts w:ascii="Times New Roman" w:hAnsi="Times New Roman" w:cs="Times New Roman"/>
              </w:rPr>
              <w:t>ilumos poreikio (MWh)“. A</w:t>
            </w:r>
            <w:r w:rsidRPr="00F8190E">
              <w:rPr>
                <w:rFonts w:ascii="Times New Roman" w:hAnsi="Times New Roman" w:cs="Times New Roman"/>
              </w:rPr>
              <w:t>tkreipiamas dėmesys, kad pagal Aprašo 17  p., „Projektas negali būti įgyvendinamas centralizuoto šilumos tiekimo sistemoje, kurioje biokuro dalis šilumos gamybos kuro balanse sudaro daugiau kaip 70 procentų“, tokie projektai bus atmesti kaip neatitinkantys tinkamumo finansuoti reikalavimų ir tokiems projektams nauda ir kokybė nebus vertinama.</w:t>
            </w:r>
          </w:p>
        </w:tc>
        <w:tc>
          <w:tcPr>
            <w:tcW w:w="6460" w:type="dxa"/>
          </w:tcPr>
          <w:p w14:paraId="0CFAAB68" w14:textId="01F62411" w:rsidR="00A8780B" w:rsidRPr="00F8190E" w:rsidRDefault="00410299"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Paaiškinimas</w:t>
            </w:r>
            <w:r w:rsidR="00A8780B" w:rsidRPr="00F8190E">
              <w:rPr>
                <w:rFonts w:ascii="Times New Roman" w:eastAsia="Times New Roman" w:hAnsi="Times New Roman" w:cs="Times New Roman"/>
                <w:b/>
              </w:rPr>
              <w:t>.</w:t>
            </w:r>
          </w:p>
          <w:p w14:paraId="0F971B65" w14:textId="28CF9944" w:rsidR="00410299" w:rsidRPr="00F8190E" w:rsidRDefault="00A8780B"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17 p. nuostat</w:t>
            </w:r>
            <w:r w:rsidR="00BD0260" w:rsidRPr="00F8190E">
              <w:rPr>
                <w:rFonts w:ascii="Times New Roman" w:eastAsia="Times New Roman" w:hAnsi="Times New Roman" w:cs="Times New Roman"/>
              </w:rPr>
              <w:t xml:space="preserve">os ir 2 priedo 2 punkte nurodytas atrankos kriterijus yra </w:t>
            </w:r>
            <w:r w:rsidR="002D03A6" w:rsidRPr="00F8190E">
              <w:rPr>
                <w:rFonts w:ascii="Times New Roman" w:eastAsia="Times New Roman" w:hAnsi="Times New Roman" w:cs="Times New Roman"/>
              </w:rPr>
              <w:t xml:space="preserve"> ir turi būti skirtingi</w:t>
            </w:r>
            <w:r w:rsidR="00A82282" w:rsidRPr="00F8190E">
              <w:rPr>
                <w:rFonts w:ascii="Times New Roman" w:eastAsia="Times New Roman" w:hAnsi="Times New Roman" w:cs="Times New Roman"/>
              </w:rPr>
              <w:t>.</w:t>
            </w:r>
            <w:r w:rsidR="002D03A6" w:rsidRPr="00F8190E">
              <w:rPr>
                <w:rFonts w:ascii="Times New Roman" w:eastAsia="Times New Roman" w:hAnsi="Times New Roman" w:cs="Times New Roman"/>
              </w:rPr>
              <w:t xml:space="preserve"> </w:t>
            </w:r>
            <w:r w:rsidR="00A82282" w:rsidRPr="00F8190E">
              <w:rPr>
                <w:rFonts w:ascii="Times New Roman" w:eastAsia="Times New Roman" w:hAnsi="Times New Roman" w:cs="Times New Roman"/>
              </w:rPr>
              <w:t>P</w:t>
            </w:r>
            <w:r w:rsidRPr="00F8190E">
              <w:rPr>
                <w:rFonts w:ascii="Times New Roman" w:eastAsia="Times New Roman" w:hAnsi="Times New Roman" w:cs="Times New Roman"/>
              </w:rPr>
              <w:t>rioritetinio atrankos kriterijaus skaičiavimai skiriasi</w:t>
            </w:r>
            <w:r w:rsidR="00410299" w:rsidRPr="00F8190E">
              <w:rPr>
                <w:rFonts w:ascii="Times New Roman" w:eastAsia="Times New Roman" w:hAnsi="Times New Roman" w:cs="Times New Roman"/>
              </w:rPr>
              <w:t xml:space="preserve"> tuo, kad </w:t>
            </w:r>
            <w:r w:rsidR="00F95BFD" w:rsidRPr="00F8190E">
              <w:rPr>
                <w:rFonts w:ascii="Times New Roman" w:eastAsia="Times New Roman" w:hAnsi="Times New Roman" w:cs="Times New Roman"/>
              </w:rPr>
              <w:t>taikant 17 p nuostatą, skaičiavimai atliekami neįtraukiant į skaičiavimus planuojamo įgyvendinti projekto</w:t>
            </w:r>
            <w:r w:rsidR="00682C53" w:rsidRPr="00F8190E">
              <w:rPr>
                <w:rFonts w:ascii="Times New Roman" w:eastAsia="Times New Roman" w:hAnsi="Times New Roman" w:cs="Times New Roman"/>
              </w:rPr>
              <w:t xml:space="preserve"> (toliau – projektas)</w:t>
            </w:r>
            <w:r w:rsidR="00F95BFD" w:rsidRPr="00F8190E">
              <w:rPr>
                <w:rFonts w:ascii="Times New Roman" w:eastAsia="Times New Roman" w:hAnsi="Times New Roman" w:cs="Times New Roman"/>
              </w:rPr>
              <w:t xml:space="preserve">, o atliekant skaičiavimus pagal 2 priedo 2 punkte nurodytą atrankos kriterijų – įtraukiant </w:t>
            </w:r>
            <w:r w:rsidR="002D03A6" w:rsidRPr="00F8190E">
              <w:rPr>
                <w:rFonts w:ascii="Times New Roman" w:eastAsia="Times New Roman" w:hAnsi="Times New Roman" w:cs="Times New Roman"/>
              </w:rPr>
              <w:t>projektą</w:t>
            </w:r>
            <w:r w:rsidR="00A82282" w:rsidRPr="00F8190E">
              <w:rPr>
                <w:rFonts w:ascii="Times New Roman" w:eastAsia="Times New Roman" w:hAnsi="Times New Roman" w:cs="Times New Roman"/>
              </w:rPr>
              <w:t>.</w:t>
            </w:r>
            <w:r w:rsidR="002D03A6" w:rsidRPr="00F8190E">
              <w:rPr>
                <w:rFonts w:ascii="Times New Roman" w:eastAsia="Times New Roman" w:hAnsi="Times New Roman" w:cs="Times New Roman"/>
              </w:rPr>
              <w:t xml:space="preserve"> </w:t>
            </w:r>
            <w:r w:rsidR="00A82282" w:rsidRPr="00F8190E">
              <w:rPr>
                <w:rFonts w:ascii="Times New Roman" w:eastAsia="Times New Roman" w:hAnsi="Times New Roman" w:cs="Times New Roman"/>
              </w:rPr>
              <w:t>T</w:t>
            </w:r>
            <w:r w:rsidR="002D03A6" w:rsidRPr="00F8190E">
              <w:rPr>
                <w:rFonts w:ascii="Times New Roman" w:eastAsia="Times New Roman" w:hAnsi="Times New Roman" w:cs="Times New Roman"/>
              </w:rPr>
              <w:t xml:space="preserve">aikant 17 p. nuostatą, skaičiavimai atliekami imant </w:t>
            </w:r>
            <w:r w:rsidR="00A82282" w:rsidRPr="00F8190E">
              <w:rPr>
                <w:rFonts w:ascii="Times New Roman" w:eastAsia="Times New Roman" w:hAnsi="Times New Roman" w:cs="Times New Roman"/>
              </w:rPr>
              <w:t xml:space="preserve">trejų kalendorinių metų iki </w:t>
            </w:r>
            <w:r w:rsidR="00233816" w:rsidRPr="00F8190E">
              <w:rPr>
                <w:rFonts w:ascii="Times New Roman" w:eastAsia="Times New Roman" w:hAnsi="Times New Roman" w:cs="Times New Roman"/>
                <w:b/>
              </w:rPr>
              <w:t xml:space="preserve">paraiškos </w:t>
            </w:r>
            <w:r w:rsidR="00A82282" w:rsidRPr="00F8190E">
              <w:rPr>
                <w:rFonts w:ascii="Times New Roman" w:eastAsia="Times New Roman" w:hAnsi="Times New Roman" w:cs="Times New Roman"/>
              </w:rPr>
              <w:t xml:space="preserve"> dienos pagamintą šilumos kiekį, o 2 priedo 2 punkte nurodytą atrankos kriterijų </w:t>
            </w:r>
            <w:r w:rsidR="006465B6" w:rsidRPr="00F8190E">
              <w:rPr>
                <w:rFonts w:ascii="Times New Roman" w:eastAsia="Times New Roman" w:hAnsi="Times New Roman" w:cs="Times New Roman"/>
              </w:rPr>
              <w:t>–</w:t>
            </w:r>
            <w:r w:rsidR="00A82282" w:rsidRPr="00F8190E">
              <w:rPr>
                <w:rFonts w:ascii="Times New Roman" w:eastAsia="Times New Roman" w:hAnsi="Times New Roman" w:cs="Times New Roman"/>
              </w:rPr>
              <w:t xml:space="preserve"> </w:t>
            </w:r>
            <w:r w:rsidR="006465B6" w:rsidRPr="00F8190E">
              <w:rPr>
                <w:rFonts w:ascii="Times New Roman" w:eastAsia="Times New Roman" w:hAnsi="Times New Roman" w:cs="Times New Roman"/>
              </w:rPr>
              <w:t xml:space="preserve">įrenginių šiluminę galią 2021 m. </w:t>
            </w:r>
            <w:r w:rsidR="00A82282" w:rsidRPr="00F8190E">
              <w:rPr>
                <w:rFonts w:ascii="Times New Roman" w:eastAsia="Times New Roman" w:hAnsi="Times New Roman" w:cs="Times New Roman"/>
              </w:rPr>
              <w:t xml:space="preserve">  </w:t>
            </w:r>
            <w:r w:rsidR="002D03A6" w:rsidRPr="00F8190E">
              <w:rPr>
                <w:rFonts w:ascii="Times New Roman" w:eastAsia="Times New Roman" w:hAnsi="Times New Roman" w:cs="Times New Roman"/>
              </w:rPr>
              <w:t xml:space="preserve"> </w:t>
            </w:r>
            <w:r w:rsidR="00F95BFD" w:rsidRPr="00F8190E">
              <w:rPr>
                <w:rFonts w:ascii="Times New Roman" w:eastAsia="Times New Roman" w:hAnsi="Times New Roman" w:cs="Times New Roman"/>
              </w:rPr>
              <w:t xml:space="preserve"> </w:t>
            </w:r>
          </w:p>
          <w:p w14:paraId="5E1D9560" w14:textId="4B0B5F5E" w:rsidR="00A8780B" w:rsidRPr="00F8190E" w:rsidRDefault="002D1EA2"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Pagal prioritetinį atrankos kriterijų, nurodytą 2 priedo 2 punkte</w:t>
            </w:r>
            <w:r w:rsidR="009B757D" w:rsidRPr="00F8190E">
              <w:rPr>
                <w:rFonts w:ascii="Times New Roman" w:eastAsia="Times New Roman" w:hAnsi="Times New Roman" w:cs="Times New Roman"/>
              </w:rPr>
              <w:t>,</w:t>
            </w:r>
            <w:r w:rsidRPr="00F8190E">
              <w:rPr>
                <w:rFonts w:ascii="Times New Roman" w:eastAsia="Times New Roman" w:hAnsi="Times New Roman" w:cs="Times New Roman"/>
              </w:rPr>
              <w:t xml:space="preserve"> projektai reitinguojami taikant griežtesnius reikalavimus</w:t>
            </w:r>
            <w:r w:rsidR="00F95BFD" w:rsidRPr="00F8190E">
              <w:rPr>
                <w:rFonts w:ascii="Times New Roman" w:eastAsia="Times New Roman" w:hAnsi="Times New Roman" w:cs="Times New Roman"/>
              </w:rPr>
              <w:t>, siekiant neperinvestuoti.</w:t>
            </w:r>
          </w:p>
        </w:tc>
      </w:tr>
      <w:tr w:rsidR="00410299" w:rsidRPr="00F8190E" w14:paraId="6A8C19C5" w14:textId="77777777" w:rsidTr="00E60602">
        <w:trPr>
          <w:trHeight w:val="557"/>
        </w:trPr>
        <w:tc>
          <w:tcPr>
            <w:tcW w:w="574" w:type="dxa"/>
          </w:tcPr>
          <w:p w14:paraId="60BA3912" w14:textId="77777777" w:rsidR="00410299" w:rsidRPr="00F8190E" w:rsidRDefault="00410299" w:rsidP="00B60A89">
            <w:pPr>
              <w:pStyle w:val="ListParagraph"/>
              <w:numPr>
                <w:ilvl w:val="0"/>
                <w:numId w:val="7"/>
              </w:numPr>
              <w:spacing w:line="276" w:lineRule="auto"/>
              <w:ind w:left="357" w:hanging="357"/>
              <w:jc w:val="left"/>
              <w:rPr>
                <w:sz w:val="22"/>
                <w:szCs w:val="22"/>
              </w:rPr>
            </w:pPr>
          </w:p>
        </w:tc>
        <w:tc>
          <w:tcPr>
            <w:tcW w:w="6950" w:type="dxa"/>
          </w:tcPr>
          <w:p w14:paraId="632C4918" w14:textId="59734678" w:rsidR="00410299" w:rsidRPr="00F8190E" w:rsidRDefault="00F95BFD" w:rsidP="00B60A89">
            <w:pPr>
              <w:spacing w:line="276" w:lineRule="auto"/>
              <w:jc w:val="both"/>
              <w:rPr>
                <w:rFonts w:ascii="Times New Roman" w:hAnsi="Times New Roman" w:cs="Times New Roman"/>
              </w:rPr>
            </w:pPr>
            <w:r w:rsidRPr="00F8190E">
              <w:rPr>
                <w:rFonts w:ascii="Times New Roman" w:hAnsi="Times New Roman" w:cs="Times New Roman"/>
              </w:rPr>
              <w:t>Rekomenduojama suvienodinti Aprašo 2 priedo 2 punkto formuluotes ir skaičiavimus su Aprašo 17 punkto formuluotėmis, t. y., kad abiem punktams skaičiavimai būtų atliekami vienodai – arba įtraukiant planuojamą įgyvendinti projektą ir kitus toje pačioje centralizuotoje šilumos tiekimo sistemoje planuojamus įgyvendinti projektus, arba jų neįtraukiant.</w:t>
            </w:r>
          </w:p>
        </w:tc>
        <w:tc>
          <w:tcPr>
            <w:tcW w:w="6460" w:type="dxa"/>
          </w:tcPr>
          <w:p w14:paraId="5D962400" w14:textId="77777777" w:rsidR="00F95BFD" w:rsidRPr="00F8190E" w:rsidRDefault="00F95BFD"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Neatsižvelgta.</w:t>
            </w:r>
          </w:p>
          <w:p w14:paraId="34FD0A97" w14:textId="7A4307BB" w:rsidR="00410299" w:rsidRPr="00F8190E" w:rsidRDefault="00682C53"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 xml:space="preserve">Žr. derinimo pažymos 18 punkte pateiktą paaiškinimą. </w:t>
            </w:r>
          </w:p>
        </w:tc>
      </w:tr>
      <w:tr w:rsidR="00682C53" w:rsidRPr="00F8190E" w14:paraId="3862D354" w14:textId="77777777" w:rsidTr="00E60602">
        <w:trPr>
          <w:trHeight w:val="557"/>
        </w:trPr>
        <w:tc>
          <w:tcPr>
            <w:tcW w:w="574" w:type="dxa"/>
          </w:tcPr>
          <w:p w14:paraId="67CB0DCF" w14:textId="77777777" w:rsidR="00682C53" w:rsidRPr="00F8190E" w:rsidRDefault="00682C53" w:rsidP="00B60A89">
            <w:pPr>
              <w:pStyle w:val="ListParagraph"/>
              <w:numPr>
                <w:ilvl w:val="0"/>
                <w:numId w:val="7"/>
              </w:numPr>
              <w:spacing w:line="276" w:lineRule="auto"/>
              <w:ind w:left="357" w:hanging="357"/>
              <w:jc w:val="left"/>
              <w:rPr>
                <w:sz w:val="22"/>
                <w:szCs w:val="22"/>
              </w:rPr>
            </w:pPr>
          </w:p>
        </w:tc>
        <w:tc>
          <w:tcPr>
            <w:tcW w:w="6950" w:type="dxa"/>
          </w:tcPr>
          <w:p w14:paraId="73DDA812" w14:textId="29C3448A" w:rsidR="00682C53" w:rsidRPr="00F8190E" w:rsidRDefault="001A53C2" w:rsidP="00B60A89">
            <w:pPr>
              <w:spacing w:line="276" w:lineRule="auto"/>
              <w:jc w:val="both"/>
              <w:rPr>
                <w:rFonts w:ascii="Times New Roman" w:hAnsi="Times New Roman" w:cs="Times New Roman"/>
              </w:rPr>
            </w:pPr>
            <w:r w:rsidRPr="00F8190E">
              <w:rPr>
                <w:rFonts w:ascii="Times New Roman" w:hAnsi="Times New Roman" w:cs="Times New Roman"/>
              </w:rPr>
              <w:t>Neapibrėžta kaip skiriami balai projektams, kuriuos įgyvendinus hidrauliškai vientisoje centralizuoto šilumos tiekimo sistemoje biokurą naudojančių įrenginių šiluminė galia 2021 m. padengs nuo 0 iki 10 proc. vidutinio metinio šilumos poreikio.</w:t>
            </w:r>
          </w:p>
        </w:tc>
        <w:tc>
          <w:tcPr>
            <w:tcW w:w="6460" w:type="dxa"/>
          </w:tcPr>
          <w:p w14:paraId="7EF9FEB3" w14:textId="77777777" w:rsidR="001A53C2" w:rsidRPr="00F8190E" w:rsidRDefault="001A53C2"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Paaiškinimas.</w:t>
            </w:r>
          </w:p>
          <w:p w14:paraId="08557274" w14:textId="77777777" w:rsidR="001A53C2" w:rsidRPr="00F8190E" w:rsidRDefault="001A53C2"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Prašytume vadovautis išaiškinimu pateiktu derinant priemonės PFSA Nr. 1:</w:t>
            </w:r>
          </w:p>
          <w:p w14:paraId="1985ADA2" w14:textId="63AC6431" w:rsidR="00682C53" w:rsidRPr="00F8190E" w:rsidRDefault="001A53C2"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rPr>
              <w:t>„</w:t>
            </w:r>
            <w:r w:rsidRPr="00F8190E">
              <w:rPr>
                <w:rFonts w:ascii="Times New Roman" w:hAnsi="Times New Roman" w:cs="Times New Roman"/>
                <w:color w:val="0D0D0D"/>
              </w:rPr>
              <w:t>J</w:t>
            </w:r>
            <w:r w:rsidRPr="00F8190E">
              <w:rPr>
                <w:rFonts w:ascii="Times New Roman" w:hAnsi="Times New Roman" w:cs="Times New Roman"/>
              </w:rPr>
              <w:t xml:space="preserve">eigu įgyvendinus projektą hidrauliškai izoliuotoje centralizuoto šilumos tiekimo sistemoje bendra biokurą naudojančių įrenginių įrengtoji šiluminė galia (MW) 2021 m. </w:t>
            </w:r>
            <w:r w:rsidRPr="00F8190E">
              <w:rPr>
                <w:rFonts w:ascii="Times New Roman" w:hAnsi="Times New Roman" w:cs="Times New Roman"/>
                <w:color w:val="0D0D0D"/>
              </w:rPr>
              <w:t>bus iki 10 proc., tokiam projektui balai nėra skaičiuojami, o suteikiamas 0 balų.“</w:t>
            </w:r>
          </w:p>
        </w:tc>
      </w:tr>
      <w:tr w:rsidR="001A53C2" w:rsidRPr="00F8190E" w14:paraId="7DA14473" w14:textId="77777777" w:rsidTr="00E60602">
        <w:trPr>
          <w:trHeight w:val="557"/>
        </w:trPr>
        <w:tc>
          <w:tcPr>
            <w:tcW w:w="574" w:type="dxa"/>
          </w:tcPr>
          <w:p w14:paraId="4D2D5AF1" w14:textId="77777777" w:rsidR="001A53C2" w:rsidRPr="00F8190E" w:rsidRDefault="001A53C2" w:rsidP="00B60A89">
            <w:pPr>
              <w:pStyle w:val="ListParagraph"/>
              <w:numPr>
                <w:ilvl w:val="0"/>
                <w:numId w:val="7"/>
              </w:numPr>
              <w:spacing w:line="276" w:lineRule="auto"/>
              <w:ind w:left="357" w:hanging="357"/>
              <w:jc w:val="left"/>
              <w:rPr>
                <w:sz w:val="22"/>
                <w:szCs w:val="22"/>
              </w:rPr>
            </w:pPr>
          </w:p>
        </w:tc>
        <w:tc>
          <w:tcPr>
            <w:tcW w:w="6950" w:type="dxa"/>
          </w:tcPr>
          <w:p w14:paraId="6006AC16" w14:textId="21B9157D" w:rsidR="001A53C2" w:rsidRPr="00F8190E" w:rsidRDefault="002E23A1" w:rsidP="00B60A89">
            <w:pPr>
              <w:spacing w:line="276" w:lineRule="auto"/>
              <w:jc w:val="both"/>
              <w:rPr>
                <w:rFonts w:ascii="Times New Roman" w:hAnsi="Times New Roman" w:cs="Times New Roman"/>
              </w:rPr>
            </w:pPr>
            <w:r w:rsidRPr="00F8190E">
              <w:rPr>
                <w:rFonts w:ascii="Times New Roman" w:hAnsi="Times New Roman" w:cs="Times New Roman"/>
              </w:rPr>
              <w:t xml:space="preserve">Rekomenduojama Apraše nurodyti, kad 2 priedo 1 ir 2 p. nurodyti atrankos kriterijai yra bendri visiems paraiškų teikėjams taip pat apsivarstyti pareiškėjo </w:t>
            </w:r>
            <w:r w:rsidR="008612C7" w:rsidRPr="00F8190E">
              <w:rPr>
                <w:rFonts w:ascii="Times New Roman" w:hAnsi="Times New Roman" w:cs="Times New Roman"/>
              </w:rPr>
              <w:t>realias galimybes pateikti duomenis apie kitų juridinių asmenų (konkurentų) planuojamus vykdyti projektus (pvz. kitų projektų įrengtąją šiluminę galią).</w:t>
            </w:r>
          </w:p>
        </w:tc>
        <w:tc>
          <w:tcPr>
            <w:tcW w:w="6460" w:type="dxa"/>
          </w:tcPr>
          <w:p w14:paraId="2983DD68" w14:textId="77777777" w:rsidR="008612C7" w:rsidRPr="00F8190E" w:rsidRDefault="008612C7"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Atsižvelgta iš dalies.</w:t>
            </w:r>
          </w:p>
          <w:p w14:paraId="5C517754" w14:textId="72E89B28" w:rsidR="008612C7" w:rsidRPr="00F8190E" w:rsidRDefault="008612C7"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 xml:space="preserve">Visi 2 priede nurodyti atrankos kriterijai yra bendri visiems paraiškų teikėjams, todėl </w:t>
            </w:r>
            <w:r w:rsidR="00DF5CF1" w:rsidRPr="00F8190E">
              <w:rPr>
                <w:rFonts w:ascii="Times New Roman" w:eastAsia="Times New Roman" w:hAnsi="Times New Roman" w:cs="Times New Roman"/>
              </w:rPr>
              <w:t xml:space="preserve">1 ir 2 kriterijų </w:t>
            </w:r>
            <w:r w:rsidRPr="00F8190E">
              <w:rPr>
                <w:rFonts w:ascii="Times New Roman" w:eastAsia="Times New Roman" w:hAnsi="Times New Roman" w:cs="Times New Roman"/>
              </w:rPr>
              <w:t>akcentavimas būtų klaidinantis.</w:t>
            </w:r>
          </w:p>
          <w:p w14:paraId="7B04AE57" w14:textId="52190508" w:rsidR="001A53C2" w:rsidRPr="00F8190E" w:rsidRDefault="008612C7"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rPr>
              <w:t xml:space="preserve">Energetikos ministerija, atsižvelgdama </w:t>
            </w:r>
            <w:r w:rsidR="00960558" w:rsidRPr="00F8190E">
              <w:rPr>
                <w:rFonts w:ascii="Times New Roman" w:eastAsia="Times New Roman" w:hAnsi="Times New Roman" w:cs="Times New Roman"/>
              </w:rPr>
              <w:t xml:space="preserve">į pareiškėjų patiriamus sunkumus pateikti objektyvią informaciją apie kitų juridinių asmenų planuojamus vykdyti projektus, </w:t>
            </w:r>
            <w:r w:rsidR="000556BB" w:rsidRPr="00F8190E">
              <w:rPr>
                <w:rFonts w:ascii="Times New Roman" w:eastAsia="Times New Roman" w:hAnsi="Times New Roman" w:cs="Times New Roman"/>
              </w:rPr>
              <w:t xml:space="preserve">viešai </w:t>
            </w:r>
            <w:r w:rsidR="00960558" w:rsidRPr="00F8190E">
              <w:rPr>
                <w:rFonts w:ascii="Times New Roman" w:eastAsia="Times New Roman" w:hAnsi="Times New Roman" w:cs="Times New Roman"/>
              </w:rPr>
              <w:t>skelbs informaciją apie</w:t>
            </w:r>
            <w:r w:rsidR="000556BB" w:rsidRPr="00F8190E">
              <w:rPr>
                <w:rFonts w:ascii="Times New Roman" w:hAnsi="Times New Roman" w:cs="Times New Roman"/>
              </w:rPr>
              <w:t xml:space="preserve"> </w:t>
            </w:r>
            <w:r w:rsidR="000556BB" w:rsidRPr="00F8190E">
              <w:rPr>
                <w:rFonts w:ascii="Times New Roman" w:eastAsia="Times New Roman" w:hAnsi="Times New Roman" w:cs="Times New Roman"/>
              </w:rPr>
              <w:t>Energetikos ministerijos išduotus rašytinius pritarimus statinio projektui iki prašymo išduoti statybą leidžiantį dokumentą. Pareiškėjai, atsižvelgdami į viešai skelbiamą informaciją, investiciniuose projektuose galės pateikti objektyvesnę informaciją.</w:t>
            </w:r>
          </w:p>
        </w:tc>
      </w:tr>
      <w:tr w:rsidR="000556BB" w:rsidRPr="00F8190E" w14:paraId="42F835FC" w14:textId="77777777" w:rsidTr="00E60602">
        <w:trPr>
          <w:trHeight w:val="557"/>
        </w:trPr>
        <w:tc>
          <w:tcPr>
            <w:tcW w:w="574" w:type="dxa"/>
          </w:tcPr>
          <w:p w14:paraId="5BE69553" w14:textId="77777777" w:rsidR="000556BB" w:rsidRPr="00F8190E" w:rsidRDefault="000556BB" w:rsidP="00B60A89">
            <w:pPr>
              <w:pStyle w:val="ListParagraph"/>
              <w:numPr>
                <w:ilvl w:val="0"/>
                <w:numId w:val="7"/>
              </w:numPr>
              <w:spacing w:line="276" w:lineRule="auto"/>
              <w:ind w:left="357" w:hanging="357"/>
              <w:jc w:val="left"/>
              <w:rPr>
                <w:sz w:val="22"/>
                <w:szCs w:val="22"/>
              </w:rPr>
            </w:pPr>
          </w:p>
        </w:tc>
        <w:tc>
          <w:tcPr>
            <w:tcW w:w="6950" w:type="dxa"/>
          </w:tcPr>
          <w:p w14:paraId="37FB7E66" w14:textId="3EAE9717" w:rsidR="000556BB" w:rsidRPr="00F8190E" w:rsidRDefault="000556BB" w:rsidP="00B60A89">
            <w:pPr>
              <w:spacing w:line="276" w:lineRule="auto"/>
              <w:jc w:val="both"/>
              <w:rPr>
                <w:rFonts w:ascii="Times New Roman" w:hAnsi="Times New Roman" w:cs="Times New Roman"/>
              </w:rPr>
            </w:pPr>
            <w:r w:rsidRPr="00F8190E">
              <w:rPr>
                <w:rFonts w:ascii="Times New Roman" w:hAnsi="Times New Roman" w:cs="Times New Roman"/>
              </w:rPr>
              <w:t>5 priede siūloma aiškiai nurodyti, kuri suma turi būti traukiama į biudžetą: ar nurodyta stulpelyje „GDV“, ar stulpelyje „realiai“.</w:t>
            </w:r>
          </w:p>
        </w:tc>
        <w:tc>
          <w:tcPr>
            <w:tcW w:w="6460" w:type="dxa"/>
          </w:tcPr>
          <w:p w14:paraId="0E84A2DF" w14:textId="77777777" w:rsidR="000556BB" w:rsidRPr="00F8190E" w:rsidRDefault="000556BB"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Atsižvelgta.</w:t>
            </w:r>
          </w:p>
          <w:p w14:paraId="71B0B744" w14:textId="64CB0230" w:rsidR="00264F30" w:rsidRPr="00F8190E" w:rsidRDefault="00DB2434"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Vadovaujantis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w:t>
            </w:r>
            <w:r w:rsidR="00DE5552" w:rsidRPr="00F8190E">
              <w:rPr>
                <w:rFonts w:ascii="Times New Roman" w:eastAsia="Times New Roman" w:hAnsi="Times New Roman" w:cs="Times New Roman"/>
              </w:rPr>
              <w:t>, į</w:t>
            </w:r>
            <w:r w:rsidR="00264F30" w:rsidRPr="00F8190E">
              <w:rPr>
                <w:rFonts w:ascii="Times New Roman" w:eastAsia="Times New Roman" w:hAnsi="Times New Roman" w:cs="Times New Roman"/>
              </w:rPr>
              <w:t xml:space="preserve"> 5 priedą įtrauktas paaiškinimas:</w:t>
            </w:r>
          </w:p>
          <w:p w14:paraId="462CE273" w14:textId="46A85BFE" w:rsidR="000556BB" w:rsidRPr="00F8190E" w:rsidRDefault="00264F30"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w:t>
            </w:r>
            <w:r w:rsidR="00E60602" w:rsidRPr="00F8190E">
              <w:rPr>
                <w:rFonts w:ascii="Times New Roman" w:eastAsia="Times New Roman" w:hAnsi="Times New Roman" w:cs="Times New Roman"/>
                <w:b/>
              </w:rPr>
              <w:t>*** - Į projekto biudžetą traukiama suma nurodyta stulpelyje „realiai“.“</w:t>
            </w:r>
          </w:p>
        </w:tc>
      </w:tr>
      <w:tr w:rsidR="00F413F7" w:rsidRPr="00F8190E" w14:paraId="65D78D62" w14:textId="77777777" w:rsidTr="00E60602">
        <w:trPr>
          <w:trHeight w:val="557"/>
        </w:trPr>
        <w:tc>
          <w:tcPr>
            <w:tcW w:w="574" w:type="dxa"/>
          </w:tcPr>
          <w:p w14:paraId="6F565088" w14:textId="77777777" w:rsidR="00F413F7" w:rsidRPr="00F8190E" w:rsidRDefault="00F413F7" w:rsidP="00B60A89">
            <w:pPr>
              <w:pStyle w:val="ListParagraph"/>
              <w:numPr>
                <w:ilvl w:val="0"/>
                <w:numId w:val="7"/>
              </w:numPr>
              <w:spacing w:line="276" w:lineRule="auto"/>
              <w:ind w:left="357" w:hanging="357"/>
              <w:jc w:val="left"/>
              <w:rPr>
                <w:sz w:val="22"/>
                <w:szCs w:val="22"/>
              </w:rPr>
            </w:pPr>
          </w:p>
        </w:tc>
        <w:tc>
          <w:tcPr>
            <w:tcW w:w="6950" w:type="dxa"/>
          </w:tcPr>
          <w:p w14:paraId="186934E9" w14:textId="05F1E452" w:rsidR="00F413F7" w:rsidRPr="00F413F7" w:rsidRDefault="00F413F7" w:rsidP="00F413F7">
            <w:pPr>
              <w:spacing w:line="276" w:lineRule="auto"/>
              <w:jc w:val="both"/>
              <w:rPr>
                <w:rFonts w:ascii="Times New Roman" w:hAnsi="Times New Roman" w:cs="Times New Roman"/>
              </w:rPr>
            </w:pPr>
            <w:r w:rsidRPr="00F413F7">
              <w:rPr>
                <w:rFonts w:ascii="Times New Roman" w:hAnsi="Times New Roman" w:cs="Times New Roman"/>
              </w:rPr>
              <w:t>PFSA 17.1 ir 17.2 punktų atlikti pakeitimai neatitinka sustabdytos priemonės „Biokuro panaudojim</w:t>
            </w:r>
            <w:r>
              <w:rPr>
                <w:rFonts w:ascii="Times New Roman" w:hAnsi="Times New Roman" w:cs="Times New Roman"/>
              </w:rPr>
              <w:t xml:space="preserve">o skatinimas šilumos energijai </w:t>
            </w:r>
            <w:r w:rsidRPr="00F413F7">
              <w:rPr>
                <w:rFonts w:ascii="Times New Roman" w:hAnsi="Times New Roman" w:cs="Times New Roman"/>
              </w:rPr>
              <w:t>gaminti“ keičiamo PFSA atitinkamų 19.1 ir 19.2 punktų. Taip pat kelia abejonių, ar teisinga kad 17 p. nurodyta 8 000 val., o pakeistame 17.2 punkte nurodyta 4 000 val.</w:t>
            </w:r>
          </w:p>
          <w:p w14:paraId="171F7E60" w14:textId="77777777" w:rsidR="00F413F7" w:rsidRPr="00F413F7" w:rsidRDefault="00F413F7" w:rsidP="00F413F7">
            <w:pPr>
              <w:spacing w:line="276" w:lineRule="auto"/>
              <w:jc w:val="both"/>
              <w:rPr>
                <w:rFonts w:ascii="Times New Roman" w:hAnsi="Times New Roman" w:cs="Times New Roman"/>
              </w:rPr>
            </w:pPr>
            <w:r w:rsidRPr="00F413F7">
              <w:rPr>
                <w:rFonts w:ascii="Times New Roman" w:hAnsi="Times New Roman" w:cs="Times New Roman"/>
              </w:rPr>
              <w:lastRenderedPageBreak/>
              <w:t>Manome, kad abiejose priemonėse tokie patys reikalavimai projektams turėtų būti vertinami vienodai.</w:t>
            </w:r>
          </w:p>
          <w:p w14:paraId="5D5C738E" w14:textId="2E3FF767" w:rsidR="00F413F7" w:rsidRPr="00F8190E" w:rsidRDefault="00F413F7" w:rsidP="00F413F7">
            <w:pPr>
              <w:spacing w:line="276" w:lineRule="auto"/>
              <w:jc w:val="both"/>
              <w:rPr>
                <w:rFonts w:ascii="Times New Roman" w:hAnsi="Times New Roman" w:cs="Times New Roman"/>
              </w:rPr>
            </w:pPr>
            <w:r w:rsidRPr="00F413F7">
              <w:rPr>
                <w:rFonts w:ascii="Times New Roman" w:hAnsi="Times New Roman" w:cs="Times New Roman"/>
              </w:rPr>
              <w:t>Pastebime, kad „Biokuro panaudojimo skatinimas šilumos energijai gaminti“ priemonei pritarėme 2017-09-05 LVPA raštu su nuostata „iki paraiškos pateikimo“. LVPA vertinimu, pareiškėjams palankiau būtų nuostata „iki paraiškos pateikimo“.</w:t>
            </w:r>
          </w:p>
        </w:tc>
        <w:tc>
          <w:tcPr>
            <w:tcW w:w="6460" w:type="dxa"/>
          </w:tcPr>
          <w:p w14:paraId="4C56FABC" w14:textId="77777777" w:rsidR="00F413F7" w:rsidRDefault="00F413F7" w:rsidP="00B60A89">
            <w:pPr>
              <w:spacing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Atsižvelgta.</w:t>
            </w:r>
          </w:p>
          <w:p w14:paraId="4B7C0197" w14:textId="77777777" w:rsidR="00F413F7" w:rsidRDefault="00F413F7" w:rsidP="00B60A89">
            <w:pPr>
              <w:spacing w:line="276" w:lineRule="auto"/>
              <w:jc w:val="both"/>
              <w:rPr>
                <w:rFonts w:ascii="Times New Roman" w:eastAsia="Times New Roman" w:hAnsi="Times New Roman" w:cs="Times New Roman"/>
              </w:rPr>
            </w:pPr>
            <w:r w:rsidRPr="00F413F7">
              <w:rPr>
                <w:rFonts w:ascii="Times New Roman" w:eastAsia="Times New Roman" w:hAnsi="Times New Roman" w:cs="Times New Roman"/>
              </w:rPr>
              <w:t>PFSA nuostatos suvienodintos žr. derinimo pažymos 7 punktą, atitinkamai pakoreguotas ir 17.1 papunktis.</w:t>
            </w:r>
          </w:p>
          <w:p w14:paraId="43DBB543" w14:textId="2F68DD65" w:rsidR="00F413F7" w:rsidRDefault="00F413F7" w:rsidP="00B60A89">
            <w:pPr>
              <w:spacing w:line="276" w:lineRule="auto"/>
              <w:jc w:val="both"/>
              <w:rPr>
                <w:rFonts w:ascii="Times New Roman" w:eastAsia="Times New Roman" w:hAnsi="Times New Roman" w:cs="Times New Roman"/>
                <w:b/>
              </w:rPr>
            </w:pPr>
            <w:r w:rsidRPr="00F413F7">
              <w:rPr>
                <w:rFonts w:ascii="Times New Roman" w:eastAsia="Times New Roman" w:hAnsi="Times New Roman" w:cs="Times New Roman"/>
                <w:b/>
              </w:rPr>
              <w:t xml:space="preserve">Paaiškinimas. </w:t>
            </w:r>
          </w:p>
          <w:p w14:paraId="3EC9FC0E" w14:textId="61572649" w:rsidR="00F413F7" w:rsidRPr="00F413F7" w:rsidRDefault="00F413F7" w:rsidP="00581200">
            <w:pPr>
              <w:spacing w:line="276" w:lineRule="auto"/>
              <w:jc w:val="both"/>
              <w:rPr>
                <w:rFonts w:ascii="Times New Roman" w:eastAsia="Times New Roman" w:hAnsi="Times New Roman" w:cs="Times New Roman"/>
              </w:rPr>
            </w:pPr>
            <w:r w:rsidRPr="00F413F7">
              <w:rPr>
                <w:rFonts w:ascii="Times New Roman" w:eastAsia="Times New Roman" w:hAnsi="Times New Roman" w:cs="Times New Roman"/>
              </w:rPr>
              <w:lastRenderedPageBreak/>
              <w:t>4 000 valandų trukmė nustatyta modeliuojant tinklo apkrovos grafiką, atsižvelgiant į Lietuvos klimatinę zoną bei lyginant su faktiniais centralizuoto šilumos tiekimo rodikliais Lietuvoje. 4 000 valandų atitinka šilumos gamybos įrenginių išnaudojamo vidurkį tose centralizuoto šilumos tiekimo sistemose, kuriose biokuro dalis šilumos gamybos kuro balanse yra artima 70 proc.</w:t>
            </w:r>
          </w:p>
        </w:tc>
      </w:tr>
      <w:tr w:rsidR="00581200" w:rsidRPr="00F8190E" w14:paraId="1F4C5910" w14:textId="77777777" w:rsidTr="00E60602">
        <w:trPr>
          <w:trHeight w:val="557"/>
        </w:trPr>
        <w:tc>
          <w:tcPr>
            <w:tcW w:w="574" w:type="dxa"/>
          </w:tcPr>
          <w:p w14:paraId="18F3BD92" w14:textId="77777777" w:rsidR="00581200" w:rsidRPr="00F8190E" w:rsidRDefault="00581200" w:rsidP="00B60A89">
            <w:pPr>
              <w:pStyle w:val="ListParagraph"/>
              <w:numPr>
                <w:ilvl w:val="0"/>
                <w:numId w:val="7"/>
              </w:numPr>
              <w:spacing w:line="276" w:lineRule="auto"/>
              <w:ind w:left="357" w:hanging="357"/>
              <w:jc w:val="left"/>
              <w:rPr>
                <w:sz w:val="22"/>
                <w:szCs w:val="22"/>
              </w:rPr>
            </w:pPr>
          </w:p>
        </w:tc>
        <w:tc>
          <w:tcPr>
            <w:tcW w:w="6950" w:type="dxa"/>
          </w:tcPr>
          <w:p w14:paraId="776BB494" w14:textId="0A5D0CDA" w:rsidR="002E5250" w:rsidRPr="002E5250" w:rsidRDefault="002E5250" w:rsidP="002E5250">
            <w:pPr>
              <w:spacing w:line="276" w:lineRule="auto"/>
              <w:jc w:val="both"/>
              <w:rPr>
                <w:rFonts w:ascii="Times New Roman" w:hAnsi="Times New Roman" w:cs="Times New Roman"/>
              </w:rPr>
            </w:pPr>
            <w:r w:rsidRPr="002E5250">
              <w:rPr>
                <w:rFonts w:ascii="Times New Roman" w:hAnsi="Times New Roman" w:cs="Times New Roman"/>
              </w:rPr>
              <w:t>Dėl 2 prioritetinio kriterijaus 2 priedo 2 p. nurodyta: „5 balų įvertinimas suteikiamas p</w:t>
            </w:r>
            <w:r>
              <w:rPr>
                <w:rFonts w:ascii="Times New Roman" w:hAnsi="Times New Roman" w:cs="Times New Roman"/>
              </w:rPr>
              <w:t xml:space="preserve">rojektams, kuriuos įgyvendinus </w:t>
            </w:r>
            <w:r w:rsidRPr="002E5250">
              <w:rPr>
                <w:rFonts w:ascii="Times New Roman" w:hAnsi="Times New Roman" w:cs="Times New Roman"/>
                <w:b/>
              </w:rPr>
              <w:t>hidrauliškai vientisoje</w:t>
            </w:r>
            <w:r w:rsidRPr="002E5250">
              <w:rPr>
                <w:rFonts w:ascii="Times New Roman" w:hAnsi="Times New Roman" w:cs="Times New Roman"/>
              </w:rPr>
              <w:t xml:space="preserve"> centralizuoto šilumos tiekimo sistemoje bendra biokurą naudojančių įrenginių įrengtoji šiluminė galia (MW) 2021 m. padengs 70 proc. vidutinio metinio šilumos poreikio (MWh).</w:t>
            </w:r>
          </w:p>
          <w:p w14:paraId="79FB7BA3" w14:textId="77777777" w:rsidR="002E5250" w:rsidRPr="002E5250" w:rsidRDefault="002E5250" w:rsidP="002E5250">
            <w:pPr>
              <w:spacing w:line="276" w:lineRule="auto"/>
              <w:jc w:val="both"/>
              <w:rPr>
                <w:rFonts w:ascii="Times New Roman" w:hAnsi="Times New Roman" w:cs="Times New Roman"/>
              </w:rPr>
            </w:pPr>
            <w:r w:rsidRPr="002E5250">
              <w:rPr>
                <w:rFonts w:ascii="Times New Roman" w:hAnsi="Times New Roman" w:cs="Times New Roman"/>
              </w:rPr>
              <w:t xml:space="preserve">0 balų suteikiama, jeigu įgyvendinus projektą </w:t>
            </w:r>
            <w:r w:rsidRPr="002E5250">
              <w:rPr>
                <w:rFonts w:ascii="Times New Roman" w:hAnsi="Times New Roman" w:cs="Times New Roman"/>
                <w:b/>
              </w:rPr>
              <w:t>hidrauliškai izoliuotoje</w:t>
            </w:r>
            <w:r w:rsidRPr="002E5250">
              <w:rPr>
                <w:rFonts w:ascii="Times New Roman" w:hAnsi="Times New Roman" w:cs="Times New Roman"/>
              </w:rPr>
              <w:t xml:space="preserve"> centralizuoto šilumos tiekimo sistemoje bendra biokurą naudojančių įrenginių įrengtoji šiluminė galia (MW) 2021 m. padengs daugiau kaip 70 proc. vidutinio metinio šilumos poreikio (MWh).</w:t>
            </w:r>
          </w:p>
          <w:p w14:paraId="3FC30F61" w14:textId="77777777" w:rsidR="002E5250" w:rsidRPr="002E5250" w:rsidRDefault="002E5250" w:rsidP="002E5250">
            <w:pPr>
              <w:spacing w:line="276" w:lineRule="auto"/>
              <w:jc w:val="both"/>
              <w:rPr>
                <w:rFonts w:ascii="Times New Roman" w:hAnsi="Times New Roman" w:cs="Times New Roman"/>
              </w:rPr>
            </w:pPr>
            <w:r w:rsidRPr="002E5250">
              <w:rPr>
                <w:rFonts w:ascii="Times New Roman" w:hAnsi="Times New Roman" w:cs="Times New Roman"/>
              </w:rPr>
              <w:t xml:space="preserve">Apskaičiuojamieji balai suteikiami projektams, kuriuos įgyvendinus </w:t>
            </w:r>
            <w:r w:rsidRPr="002E5250">
              <w:rPr>
                <w:rFonts w:ascii="Times New Roman" w:hAnsi="Times New Roman" w:cs="Times New Roman"/>
                <w:b/>
              </w:rPr>
              <w:t>hidrauliškai vientisoje</w:t>
            </w:r>
            <w:r w:rsidRPr="002E5250">
              <w:rPr>
                <w:rFonts w:ascii="Times New Roman" w:hAnsi="Times New Roman" w:cs="Times New Roman"/>
              </w:rPr>
              <w:t xml:space="preserve"> centralizuoto šilumos tiekimo sistemoje bendra biokurą naudojančių įrenginių įrengtoji šiluminė galia (MW) 2021 m. padengs nuo 10 proc. (suteikiamas žemesnis apskaičiuojamasis balas) iki 70 proc. vidutinio metinio šilumos poreikio (MWh).“</w:t>
            </w:r>
          </w:p>
          <w:p w14:paraId="59BC593D" w14:textId="3931DD1F" w:rsidR="00581200" w:rsidRPr="00F413F7" w:rsidRDefault="002E5250" w:rsidP="002E5250">
            <w:pPr>
              <w:spacing w:line="276" w:lineRule="auto"/>
              <w:jc w:val="both"/>
              <w:rPr>
                <w:rFonts w:ascii="Times New Roman" w:hAnsi="Times New Roman" w:cs="Times New Roman"/>
              </w:rPr>
            </w:pPr>
            <w:r w:rsidRPr="002E5250">
              <w:rPr>
                <w:rFonts w:ascii="Times New Roman" w:hAnsi="Times New Roman" w:cs="Times New Roman"/>
              </w:rPr>
              <w:t>Atkreipiame dėmesį, jog šiame punkte klaidinančiai nurodomos sąvokos „hidrauliškai vientisoje“ ir „hidrauliškai izoliuotoje“, nes negali būti skaičiuojama vienos sistemos duomenys pagal kitos sistemos formulę.</w:t>
            </w:r>
          </w:p>
        </w:tc>
        <w:tc>
          <w:tcPr>
            <w:tcW w:w="6460" w:type="dxa"/>
          </w:tcPr>
          <w:p w14:paraId="3D6F9ABA" w14:textId="77777777" w:rsidR="002E5250" w:rsidRDefault="002E5250" w:rsidP="00B60A89">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Atsižvelgta.</w:t>
            </w:r>
          </w:p>
          <w:p w14:paraId="7649EA36" w14:textId="77777777" w:rsidR="00490FA4" w:rsidRPr="00490FA4" w:rsidRDefault="00490FA4" w:rsidP="00B60A89">
            <w:pPr>
              <w:spacing w:line="276" w:lineRule="auto"/>
              <w:jc w:val="both"/>
              <w:rPr>
                <w:rFonts w:ascii="Times New Roman" w:eastAsia="Times New Roman" w:hAnsi="Times New Roman" w:cs="Times New Roman"/>
              </w:rPr>
            </w:pPr>
            <w:r w:rsidRPr="00490FA4">
              <w:rPr>
                <w:rFonts w:ascii="Times New Roman" w:eastAsia="Times New Roman" w:hAnsi="Times New Roman" w:cs="Times New Roman"/>
              </w:rPr>
              <w:t>2 priede pateikta išnaša (paaiškinimas).</w:t>
            </w:r>
          </w:p>
          <w:p w14:paraId="22F01CA3" w14:textId="5E46FC14" w:rsidR="00490FA4" w:rsidRPr="00490FA4" w:rsidRDefault="00490FA4" w:rsidP="00490FA4">
            <w:pPr>
              <w:jc w:val="both"/>
              <w:rPr>
                <w:rFonts w:ascii="Times New Roman" w:eastAsia="Times New Roman" w:hAnsi="Times New Roman" w:cs="Times New Roman"/>
              </w:rPr>
            </w:pPr>
            <w:r w:rsidRPr="00710F07">
              <w:rPr>
                <w:rFonts w:ascii="Times New Roman" w:eastAsia="Times New Roman" w:hAnsi="Times New Roman" w:cs="Times New Roman"/>
                <w:vertAlign w:val="superscript"/>
              </w:rPr>
              <w:t>1</w:t>
            </w:r>
            <w:r w:rsidRPr="00490FA4">
              <w:rPr>
                <w:rFonts w:ascii="Times New Roman" w:eastAsia="Times New Roman" w:hAnsi="Times New Roman" w:cs="Times New Roman"/>
              </w:rPr>
              <w:t>Hidrauliškai izoliuota centralizuoto šilumos teikimo sistema suprantama taip, kaip hidrauliškai vientisa centralizuoto šilumos tiekimo sistema.</w:t>
            </w:r>
          </w:p>
          <w:p w14:paraId="29B852C7" w14:textId="5EC2E7F7" w:rsidR="00581200" w:rsidRDefault="00581200" w:rsidP="00B60A89">
            <w:pPr>
              <w:spacing w:line="276" w:lineRule="auto"/>
              <w:jc w:val="both"/>
              <w:rPr>
                <w:rFonts w:ascii="Times New Roman" w:eastAsia="Times New Roman" w:hAnsi="Times New Roman" w:cs="Times New Roman"/>
                <w:b/>
              </w:rPr>
            </w:pPr>
          </w:p>
        </w:tc>
      </w:tr>
      <w:tr w:rsidR="00E60602" w:rsidRPr="00F8190E" w14:paraId="3D949C92" w14:textId="77777777" w:rsidTr="00592E88">
        <w:trPr>
          <w:trHeight w:val="336"/>
        </w:trPr>
        <w:tc>
          <w:tcPr>
            <w:tcW w:w="13984" w:type="dxa"/>
            <w:gridSpan w:val="3"/>
            <w:shd w:val="clear" w:color="auto" w:fill="F2F2F2" w:themeFill="background1" w:themeFillShade="F2"/>
            <w:vAlign w:val="center"/>
          </w:tcPr>
          <w:p w14:paraId="523B0751" w14:textId="337713FB" w:rsidR="00E60602" w:rsidRPr="00F8190E" w:rsidRDefault="00E60602" w:rsidP="00592E88">
            <w:pPr>
              <w:spacing w:line="240" w:lineRule="atLeast"/>
              <w:jc w:val="center"/>
              <w:rPr>
                <w:rFonts w:ascii="Times New Roman" w:hAnsi="Times New Roman" w:cs="Times New Roman"/>
                <w:b/>
              </w:rPr>
            </w:pPr>
            <w:r w:rsidRPr="00F8190E">
              <w:rPr>
                <w:rFonts w:ascii="Times New Roman" w:hAnsi="Times New Roman" w:cs="Times New Roman"/>
                <w:b/>
              </w:rPr>
              <w:t>AB „Panevėžio energija“ 201</w:t>
            </w:r>
            <w:r w:rsidR="00627333" w:rsidRPr="00F8190E">
              <w:rPr>
                <w:rFonts w:ascii="Times New Roman" w:hAnsi="Times New Roman" w:cs="Times New Roman"/>
                <w:b/>
              </w:rPr>
              <w:t>7 m. rugpjūčio 30 d. raštas Nr. 2018-1255</w:t>
            </w:r>
          </w:p>
        </w:tc>
      </w:tr>
      <w:tr w:rsidR="00627333" w:rsidRPr="00F8190E" w14:paraId="233D2130" w14:textId="2F448A7C" w:rsidTr="00627333">
        <w:trPr>
          <w:trHeight w:val="557"/>
        </w:trPr>
        <w:tc>
          <w:tcPr>
            <w:tcW w:w="574" w:type="dxa"/>
          </w:tcPr>
          <w:p w14:paraId="595B6BA3" w14:textId="51684EA4" w:rsidR="00627333" w:rsidRPr="00F8190E" w:rsidRDefault="00627333" w:rsidP="00B60A89">
            <w:pPr>
              <w:pStyle w:val="ListParagraph"/>
              <w:numPr>
                <w:ilvl w:val="0"/>
                <w:numId w:val="7"/>
              </w:numPr>
              <w:spacing w:line="276" w:lineRule="auto"/>
              <w:ind w:left="357" w:hanging="357"/>
              <w:jc w:val="left"/>
              <w:rPr>
                <w:rFonts w:eastAsia="Times New Roman"/>
                <w:b/>
                <w:sz w:val="22"/>
                <w:szCs w:val="22"/>
              </w:rPr>
            </w:pPr>
          </w:p>
        </w:tc>
        <w:tc>
          <w:tcPr>
            <w:tcW w:w="6950" w:type="dxa"/>
          </w:tcPr>
          <w:p w14:paraId="73818A97" w14:textId="680AB893" w:rsidR="00627333" w:rsidRPr="00F8190E" w:rsidRDefault="00627333" w:rsidP="00B60A89">
            <w:pPr>
              <w:spacing w:line="276" w:lineRule="auto"/>
              <w:rPr>
                <w:rFonts w:ascii="Times New Roman" w:eastAsia="Times New Roman" w:hAnsi="Times New Roman" w:cs="Times New Roman"/>
                <w:b/>
              </w:rPr>
            </w:pPr>
            <w:r w:rsidRPr="00F8190E">
              <w:rPr>
                <w:rFonts w:ascii="Times New Roman" w:eastAsia="Times New Roman" w:hAnsi="Times New Roman" w:cs="Times New Roman"/>
              </w:rPr>
              <w:t>Siūloma 10 p. suformuluoti taip: „Pagal Aprašą remiama veikla – naujų didelio efektyvumo biokuro kogeneracijos įrenginių (iki 5 MW elektrinės galios, visas nominalus šiluminis našumas ne didesnis nei 20 MW</w:t>
            </w:r>
            <w:r w:rsidR="00F65F44" w:rsidRPr="00F8190E">
              <w:rPr>
                <w:rFonts w:ascii="Times New Roman" w:eastAsia="Times New Roman" w:hAnsi="Times New Roman" w:cs="Times New Roman"/>
              </w:rPr>
              <w:t xml:space="preserve"> </w:t>
            </w:r>
            <w:r w:rsidR="00F65F44" w:rsidRPr="00F8190E">
              <w:rPr>
                <w:rFonts w:ascii="Times New Roman" w:eastAsia="Times New Roman" w:hAnsi="Times New Roman" w:cs="Times New Roman"/>
                <w:b/>
              </w:rPr>
              <w:t xml:space="preserve">ir /ar naujų biokuro kogeneracinių elektrinių įrengimas, panaudojant esamų didelio efektyvumo kogeneracinių elektrinių įrenginius, </w:t>
            </w:r>
            <w:r w:rsidR="00F65F44" w:rsidRPr="00F8190E">
              <w:rPr>
                <w:rFonts w:ascii="Times New Roman" w:eastAsia="Times New Roman" w:hAnsi="Times New Roman" w:cs="Times New Roman"/>
              </w:rPr>
              <w:t>įrengimas centralizuoto  šilumos tiekimo sistemose (išskyrus Vilniaus ir Kauno miestų).“</w:t>
            </w:r>
            <w:r w:rsidRPr="00F8190E">
              <w:rPr>
                <w:rFonts w:ascii="Times New Roman" w:eastAsia="Times New Roman" w:hAnsi="Times New Roman" w:cs="Times New Roman"/>
                <w:b/>
              </w:rPr>
              <w:t xml:space="preserve"> </w:t>
            </w:r>
          </w:p>
        </w:tc>
        <w:tc>
          <w:tcPr>
            <w:tcW w:w="6460" w:type="dxa"/>
          </w:tcPr>
          <w:p w14:paraId="0959D4C1" w14:textId="77777777" w:rsidR="00F65F44" w:rsidRPr="00F8190E" w:rsidRDefault="00F65F44" w:rsidP="00592E88">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Neatsižvelgta.</w:t>
            </w:r>
          </w:p>
          <w:p w14:paraId="4BAEB100" w14:textId="74EF154B" w:rsidR="00627333" w:rsidRPr="00F8190E" w:rsidRDefault="00F65F44" w:rsidP="00592E88">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 xml:space="preserve">Pagal aprašą remiama veikla atitinka strateginio dokumento – </w:t>
            </w:r>
            <w:r w:rsidR="00AB6903" w:rsidRPr="00F8190E">
              <w:rPr>
                <w:rFonts w:ascii="Times New Roman" w:eastAsia="Times New Roman" w:hAnsi="Times New Roman" w:cs="Times New Roman"/>
              </w:rPr>
              <w:t>NŠŪ</w:t>
            </w:r>
            <w:r w:rsidR="0018366F" w:rsidRPr="00F8190E">
              <w:rPr>
                <w:rFonts w:ascii="Times New Roman" w:eastAsia="Times New Roman" w:hAnsi="Times New Roman" w:cs="Times New Roman"/>
              </w:rPr>
              <w:t xml:space="preserve">PP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w:t>
            </w:r>
            <w:proofErr w:type="spellStart"/>
            <w:r w:rsidR="0018366F" w:rsidRPr="00F8190E">
              <w:rPr>
                <w:rFonts w:ascii="Times New Roman" w:eastAsia="Times New Roman" w:hAnsi="Times New Roman" w:cs="Times New Roman"/>
              </w:rPr>
              <w:t>kogeneraciją</w:t>
            </w:r>
            <w:proofErr w:type="spellEnd"/>
            <w:r w:rsidR="0018366F" w:rsidRPr="00F8190E">
              <w:rPr>
                <w:rFonts w:ascii="Times New Roman" w:eastAsia="Times New Roman" w:hAnsi="Times New Roman" w:cs="Times New Roman"/>
              </w:rPr>
              <w:t xml:space="preserve">“ 1.1.3 priemonę „Statant naujus kogeneracinius pajėgumus, užtikrinti, kad kitų miestų centralizuoto šilumos tiekimo sistemoje papildomai būtų įrengta 43 </w:t>
            </w:r>
            <w:r w:rsidR="0018366F" w:rsidRPr="00F8190E">
              <w:rPr>
                <w:rFonts w:ascii="Times New Roman" w:eastAsia="Times New Roman" w:hAnsi="Times New Roman" w:cs="Times New Roman"/>
              </w:rPr>
              <w:lastRenderedPageBreak/>
              <w:t>MW elektrinės galios biokuro ir (ar) biodujų kogeneracinių įrenginių“ (2 priedo 1.1.3 papunktis).</w:t>
            </w:r>
            <w:r w:rsidRPr="00F8190E">
              <w:rPr>
                <w:rFonts w:ascii="Times New Roman" w:eastAsia="Times New Roman" w:hAnsi="Times New Roman" w:cs="Times New Roman"/>
              </w:rPr>
              <w:t xml:space="preserve"> </w:t>
            </w:r>
          </w:p>
        </w:tc>
      </w:tr>
      <w:tr w:rsidR="0018366F" w:rsidRPr="00F8190E" w14:paraId="3C8447CB" w14:textId="77777777" w:rsidTr="00627333">
        <w:trPr>
          <w:trHeight w:val="557"/>
        </w:trPr>
        <w:tc>
          <w:tcPr>
            <w:tcW w:w="574" w:type="dxa"/>
          </w:tcPr>
          <w:p w14:paraId="3ADA6F33" w14:textId="77777777" w:rsidR="0018366F" w:rsidRPr="00F8190E" w:rsidRDefault="0018366F" w:rsidP="00B60A89">
            <w:pPr>
              <w:pStyle w:val="ListParagraph"/>
              <w:numPr>
                <w:ilvl w:val="0"/>
                <w:numId w:val="7"/>
              </w:numPr>
              <w:spacing w:line="276" w:lineRule="auto"/>
              <w:ind w:left="357" w:hanging="357"/>
              <w:jc w:val="left"/>
              <w:rPr>
                <w:sz w:val="22"/>
                <w:szCs w:val="22"/>
              </w:rPr>
            </w:pPr>
          </w:p>
        </w:tc>
        <w:tc>
          <w:tcPr>
            <w:tcW w:w="6950" w:type="dxa"/>
          </w:tcPr>
          <w:p w14:paraId="68E8B9FD" w14:textId="54F27F70" w:rsidR="0018366F" w:rsidRPr="00F8190E" w:rsidRDefault="0018366F"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 xml:space="preserve">36 p. siūloma išbraukti didžiausią projektui galimų skirti lėšų (4 mln. Eur) sumą, argumentuojant, kad </w:t>
            </w:r>
            <w:r w:rsidR="00FB49A7" w:rsidRPr="00F8190E">
              <w:rPr>
                <w:rFonts w:ascii="Times New Roman" w:eastAsia="Times New Roman" w:hAnsi="Times New Roman" w:cs="Times New Roman"/>
              </w:rPr>
              <w:t>statant 5 MW elektrinės galios kogeneracinį įrenginį, realus investicijos rėmimo procentas bus mažesnis nei 20 proc.</w:t>
            </w:r>
          </w:p>
        </w:tc>
        <w:tc>
          <w:tcPr>
            <w:tcW w:w="6460" w:type="dxa"/>
          </w:tcPr>
          <w:p w14:paraId="31B68EFA" w14:textId="77777777" w:rsidR="00FB49A7" w:rsidRPr="00F8190E" w:rsidRDefault="00FB49A7" w:rsidP="00B60A89">
            <w:pPr>
              <w:spacing w:line="276" w:lineRule="auto"/>
              <w:jc w:val="both"/>
              <w:rPr>
                <w:rFonts w:ascii="Times New Roman" w:eastAsia="Times New Roman" w:hAnsi="Times New Roman" w:cs="Times New Roman"/>
                <w:b/>
              </w:rPr>
            </w:pPr>
            <w:r w:rsidRPr="00F8190E">
              <w:rPr>
                <w:rFonts w:ascii="Times New Roman" w:eastAsia="Times New Roman" w:hAnsi="Times New Roman" w:cs="Times New Roman"/>
                <w:b/>
              </w:rPr>
              <w:t>Atsižvelgta iš dalies.</w:t>
            </w:r>
          </w:p>
          <w:p w14:paraId="4333FD2C" w14:textId="644D6FA7" w:rsidR="0018366F" w:rsidRPr="00F8190E" w:rsidRDefault="00FB49A7" w:rsidP="00B60A89">
            <w:pPr>
              <w:spacing w:line="276" w:lineRule="auto"/>
              <w:jc w:val="both"/>
              <w:rPr>
                <w:rFonts w:ascii="Times New Roman" w:eastAsia="Times New Roman" w:hAnsi="Times New Roman" w:cs="Times New Roman"/>
              </w:rPr>
            </w:pPr>
            <w:r w:rsidRPr="00F8190E">
              <w:rPr>
                <w:rFonts w:ascii="Times New Roman" w:eastAsia="Times New Roman" w:hAnsi="Times New Roman" w:cs="Times New Roman"/>
              </w:rPr>
              <w:t xml:space="preserve">Suma nebus išbraukta, tačiau atsižvelgiant į 1 priemonės kvietimo rezultatus, kad vieninteliam teigiamai įvertinant projektui, kurį įgyvendinus bus pastatytas 2 MW </w:t>
            </w:r>
            <w:r w:rsidR="00241FDE" w:rsidRPr="00F8190E">
              <w:rPr>
                <w:rFonts w:ascii="Times New Roman" w:eastAsia="Times New Roman" w:hAnsi="Times New Roman" w:cs="Times New Roman"/>
              </w:rPr>
              <w:t xml:space="preserve">elektrinės galios </w:t>
            </w:r>
            <w:r w:rsidRPr="00F8190E">
              <w:rPr>
                <w:rFonts w:ascii="Times New Roman" w:eastAsia="Times New Roman" w:hAnsi="Times New Roman" w:cs="Times New Roman"/>
              </w:rPr>
              <w:t>kogenera</w:t>
            </w:r>
            <w:r w:rsidR="00241FDE" w:rsidRPr="00F8190E">
              <w:rPr>
                <w:rFonts w:ascii="Times New Roman" w:eastAsia="Times New Roman" w:hAnsi="Times New Roman" w:cs="Times New Roman"/>
              </w:rPr>
              <w:t>cijos įrenginys, paskirtas 3,56</w:t>
            </w:r>
            <w:r w:rsidRPr="00F8190E">
              <w:rPr>
                <w:rFonts w:ascii="Times New Roman" w:eastAsia="Times New Roman" w:hAnsi="Times New Roman" w:cs="Times New Roman"/>
              </w:rPr>
              <w:t xml:space="preserve"> mln. Eur. finansavimas, didžiausia galima skirti vienam projektui </w:t>
            </w:r>
            <w:r w:rsidR="00241FDE" w:rsidRPr="00F8190E">
              <w:rPr>
                <w:rFonts w:ascii="Times New Roman" w:eastAsia="Times New Roman" w:hAnsi="Times New Roman" w:cs="Times New Roman"/>
              </w:rPr>
              <w:t>lėšų suma bus padidinta iki 6 mln. Eur.</w:t>
            </w:r>
            <w:r w:rsidRPr="00F8190E">
              <w:rPr>
                <w:rFonts w:ascii="Times New Roman" w:eastAsia="Times New Roman" w:hAnsi="Times New Roman" w:cs="Times New Roman"/>
              </w:rPr>
              <w:t xml:space="preserve"> </w:t>
            </w:r>
          </w:p>
        </w:tc>
      </w:tr>
      <w:tr w:rsidR="002D405A" w:rsidRPr="00F8190E" w14:paraId="19E7AC82" w14:textId="77777777" w:rsidTr="00E74859">
        <w:trPr>
          <w:trHeight w:val="336"/>
        </w:trPr>
        <w:tc>
          <w:tcPr>
            <w:tcW w:w="13984" w:type="dxa"/>
            <w:gridSpan w:val="3"/>
            <w:shd w:val="clear" w:color="auto" w:fill="F2F2F2" w:themeFill="background1" w:themeFillShade="F2"/>
            <w:vAlign w:val="center"/>
          </w:tcPr>
          <w:p w14:paraId="11E5046E" w14:textId="076957E0" w:rsidR="002D405A" w:rsidRPr="00F8190E" w:rsidRDefault="002D405A" w:rsidP="00E74859">
            <w:pPr>
              <w:spacing w:line="240" w:lineRule="atLeast"/>
              <w:jc w:val="center"/>
              <w:rPr>
                <w:rFonts w:ascii="Times New Roman" w:hAnsi="Times New Roman" w:cs="Times New Roman"/>
                <w:b/>
              </w:rPr>
            </w:pPr>
            <w:r w:rsidRPr="00F8190E">
              <w:rPr>
                <w:rFonts w:ascii="Times New Roman" w:hAnsi="Times New Roman" w:cs="Times New Roman"/>
                <w:b/>
              </w:rPr>
              <w:t>Lietuvos savivaldybių asociacijos 2017 m. rugsėjo 7 d. raštas Nr. (21)-SD-679</w:t>
            </w:r>
          </w:p>
        </w:tc>
      </w:tr>
      <w:tr w:rsidR="002D405A" w:rsidRPr="00F8190E" w14:paraId="3CDFC919" w14:textId="22F88827" w:rsidTr="00DE5552">
        <w:trPr>
          <w:trHeight w:val="336"/>
        </w:trPr>
        <w:tc>
          <w:tcPr>
            <w:tcW w:w="574" w:type="dxa"/>
            <w:shd w:val="clear" w:color="auto" w:fill="FFFFFF" w:themeFill="background1"/>
          </w:tcPr>
          <w:p w14:paraId="3B7CC6B4" w14:textId="6E04BB91" w:rsidR="002D405A" w:rsidRPr="00F8190E" w:rsidRDefault="002D405A"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vAlign w:val="center"/>
          </w:tcPr>
          <w:p w14:paraId="338C1609" w14:textId="230728FF" w:rsidR="002D405A" w:rsidRPr="00F8190E" w:rsidRDefault="002D405A" w:rsidP="002D405A">
            <w:pPr>
              <w:spacing w:line="240" w:lineRule="atLeast"/>
              <w:jc w:val="both"/>
              <w:rPr>
                <w:rFonts w:ascii="Times New Roman" w:hAnsi="Times New Roman" w:cs="Times New Roman"/>
              </w:rPr>
            </w:pPr>
            <w:r w:rsidRPr="00F8190E">
              <w:rPr>
                <w:rFonts w:ascii="Times New Roman" w:hAnsi="Times New Roman" w:cs="Times New Roman"/>
              </w:rPr>
              <w:t xml:space="preserve">Kai kurios savivaldybės siūlo atsisakyti PFSA 17 punkte išdėstyto apribojimo, nustatančio, kad projektas negali būti įgyvendinams centralizuoto šilumos teikimo sistemoje, kurioje biokuro dalis šilumos gamybos kuro balanse sudaro daugiau kaip 70 proc., nes tai užkerta kelią įgyvendinti </w:t>
            </w:r>
            <w:r w:rsidR="00E876EF" w:rsidRPr="00F8190E">
              <w:rPr>
                <w:rFonts w:ascii="Times New Roman" w:hAnsi="Times New Roman" w:cs="Times New Roman"/>
              </w:rPr>
              <w:t xml:space="preserve">04.1.1-LVPA-K-110 </w:t>
            </w:r>
            <w:r w:rsidRPr="00F8190E">
              <w:rPr>
                <w:rFonts w:ascii="Times New Roman" w:hAnsi="Times New Roman" w:cs="Times New Roman"/>
              </w:rPr>
              <w:t>priemonės projektus tose savivaldybėse, kurių centralizuoto šilumos teikimo sistemoje biokuro dalis šilumos</w:t>
            </w:r>
            <w:r w:rsidR="0060632B" w:rsidRPr="00F8190E">
              <w:rPr>
                <w:rFonts w:ascii="Times New Roman" w:hAnsi="Times New Roman" w:cs="Times New Roman"/>
              </w:rPr>
              <w:t xml:space="preserve"> gamybos kuro balanse sudaro daugiau kaip 70 procentų.</w:t>
            </w:r>
          </w:p>
        </w:tc>
        <w:tc>
          <w:tcPr>
            <w:tcW w:w="6460" w:type="dxa"/>
            <w:shd w:val="clear" w:color="auto" w:fill="FFFFFF" w:themeFill="background1"/>
          </w:tcPr>
          <w:p w14:paraId="7C0CA6FD" w14:textId="77777777" w:rsidR="0060632B" w:rsidRPr="00F8190E" w:rsidRDefault="0060632B" w:rsidP="0060632B">
            <w:pPr>
              <w:spacing w:line="276" w:lineRule="auto"/>
              <w:jc w:val="both"/>
              <w:rPr>
                <w:rFonts w:ascii="Times New Roman" w:hAnsi="Times New Roman" w:cs="Times New Roman"/>
                <w:b/>
              </w:rPr>
            </w:pPr>
            <w:r w:rsidRPr="00F8190E">
              <w:rPr>
                <w:rFonts w:ascii="Times New Roman" w:hAnsi="Times New Roman" w:cs="Times New Roman"/>
                <w:b/>
              </w:rPr>
              <w:t>Neatsižvelgta.</w:t>
            </w:r>
          </w:p>
          <w:p w14:paraId="20363741" w14:textId="09FB8797" w:rsidR="002D405A" w:rsidRPr="00F8190E" w:rsidRDefault="0060632B" w:rsidP="0060632B">
            <w:pPr>
              <w:spacing w:line="276" w:lineRule="auto"/>
              <w:jc w:val="both"/>
              <w:rPr>
                <w:rFonts w:ascii="Times New Roman" w:hAnsi="Times New Roman" w:cs="Times New Roman"/>
                <w:b/>
              </w:rPr>
            </w:pPr>
            <w:r w:rsidRPr="00F8190E">
              <w:rPr>
                <w:rFonts w:ascii="Times New Roman" w:hAnsi="Times New Roman" w:cs="Times New Roman"/>
              </w:rPr>
              <w:t xml:space="preserve">Optimalus šilumos gamybos kuro balansas centralizuotai tiekiamos šilumos gamyboje nustatytas </w:t>
            </w:r>
            <w:r w:rsidR="00E876EF" w:rsidRPr="00F8190E">
              <w:rPr>
                <w:rFonts w:ascii="Times New Roman" w:hAnsi="Times New Roman" w:cs="Times New Roman"/>
              </w:rPr>
              <w:t xml:space="preserve">vadovaujantis </w:t>
            </w:r>
            <w:r w:rsidRPr="00F8190E">
              <w:rPr>
                <w:rFonts w:ascii="Times New Roman" w:hAnsi="Times New Roman" w:cs="Times New Roman"/>
              </w:rPr>
              <w:t xml:space="preserve">NŠŪPP </w:t>
            </w:r>
            <w:r w:rsidR="00E876EF" w:rsidRPr="00F8190E">
              <w:rPr>
                <w:rFonts w:ascii="Times New Roman" w:hAnsi="Times New Roman" w:cs="Times New Roman"/>
              </w:rPr>
              <w:t xml:space="preserve">24 </w:t>
            </w:r>
            <w:r w:rsidR="00DE5552" w:rsidRPr="00F8190E">
              <w:rPr>
                <w:rFonts w:ascii="Times New Roman" w:hAnsi="Times New Roman" w:cs="Times New Roman"/>
              </w:rPr>
              <w:t>punktu</w:t>
            </w:r>
            <w:r w:rsidR="00E876EF" w:rsidRPr="00F8190E">
              <w:rPr>
                <w:rFonts w:ascii="Times New Roman" w:hAnsi="Times New Roman" w:cs="Times New Roman"/>
              </w:rPr>
              <w:t>.</w:t>
            </w:r>
            <w:r w:rsidRPr="00F8190E">
              <w:rPr>
                <w:rFonts w:ascii="Times New Roman" w:hAnsi="Times New Roman" w:cs="Times New Roman"/>
              </w:rPr>
              <w:t xml:space="preserve"> </w:t>
            </w:r>
          </w:p>
        </w:tc>
      </w:tr>
      <w:tr w:rsidR="00233816" w:rsidRPr="00F8190E" w14:paraId="0CBB9699" w14:textId="77777777" w:rsidTr="00233816">
        <w:trPr>
          <w:trHeight w:val="336"/>
        </w:trPr>
        <w:tc>
          <w:tcPr>
            <w:tcW w:w="13984" w:type="dxa"/>
            <w:gridSpan w:val="3"/>
            <w:shd w:val="clear" w:color="auto" w:fill="F2F2F2" w:themeFill="background1" w:themeFillShade="F2"/>
            <w:vAlign w:val="center"/>
          </w:tcPr>
          <w:p w14:paraId="39A5124B" w14:textId="03AD665E" w:rsidR="00233816" w:rsidRPr="00F8190E" w:rsidRDefault="00233816" w:rsidP="00233816">
            <w:pPr>
              <w:spacing w:line="240" w:lineRule="atLeast"/>
              <w:jc w:val="center"/>
              <w:rPr>
                <w:rFonts w:ascii="Times New Roman" w:hAnsi="Times New Roman" w:cs="Times New Roman"/>
                <w:b/>
              </w:rPr>
            </w:pPr>
            <w:r w:rsidRPr="00F8190E">
              <w:rPr>
                <w:rFonts w:ascii="Times New Roman" w:hAnsi="Times New Roman" w:cs="Times New Roman"/>
                <w:b/>
              </w:rPr>
              <w:t>Valstybinės kainų ir energetikos kontrolės komisijos 2017 m. rugsėjo 15 d. raštas Nr. R2-Š-2499</w:t>
            </w:r>
          </w:p>
        </w:tc>
      </w:tr>
      <w:tr w:rsidR="00233816" w:rsidRPr="00F8190E" w14:paraId="4EE0421A" w14:textId="77777777" w:rsidTr="00DE5552">
        <w:trPr>
          <w:trHeight w:val="336"/>
        </w:trPr>
        <w:tc>
          <w:tcPr>
            <w:tcW w:w="574" w:type="dxa"/>
            <w:shd w:val="clear" w:color="auto" w:fill="FFFFFF" w:themeFill="background1"/>
          </w:tcPr>
          <w:p w14:paraId="6C220863" w14:textId="77777777" w:rsidR="00233816" w:rsidRPr="00F8190E" w:rsidRDefault="00233816"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vAlign w:val="center"/>
          </w:tcPr>
          <w:p w14:paraId="70A8C0A3" w14:textId="6DAF5704" w:rsidR="00233816" w:rsidRPr="00F8190E" w:rsidRDefault="00233816" w:rsidP="00233816">
            <w:pPr>
              <w:spacing w:line="240" w:lineRule="atLeast"/>
              <w:jc w:val="both"/>
              <w:rPr>
                <w:rFonts w:ascii="Times New Roman" w:hAnsi="Times New Roman" w:cs="Times New Roman"/>
              </w:rPr>
            </w:pPr>
            <w:r w:rsidRPr="00F8190E">
              <w:rPr>
                <w:rFonts w:ascii="Times New Roman" w:hAnsi="Times New Roman" w:cs="Times New Roman"/>
              </w:rPr>
              <w:t>Komisijos nuomone, Projekto 17 punkte aprašytas centralizuotų šilumos tiekimo sistemų (toliau – CŠTS) kuro balanso skaičiavimas yra netikslus, nes skaičiavime neįvertinama, kaip ateityje (tai yra per numatomą naujos nedidelės galios biokuro kogeneracinės jėgainės eksploatavimo laikotarpį) keisis prie CŠTS prijungtų biokuro šilumos (ir elektros) generavimo įrenginių (toliau – Įrenginiai) nusidėvėjimas, neįvertinama, kaip ateityje keisis Įrenginių apkrovos dėl jų nusidėvėjimo ir išėmimo iš eksploatacijos, neįvertinama, kaip keisis prognozuojamas šilumos suvartojimas CŠTS. Atsižvelgdami į tai, siūlome tobulinti Projektą, įvertinant Komisijos nurodytų veiksnių įtaką kuro balanso skaičiavimams.</w:t>
            </w:r>
          </w:p>
        </w:tc>
        <w:tc>
          <w:tcPr>
            <w:tcW w:w="6460" w:type="dxa"/>
            <w:shd w:val="clear" w:color="auto" w:fill="FFFFFF" w:themeFill="background1"/>
          </w:tcPr>
          <w:p w14:paraId="4D5B71AE" w14:textId="2DAC3998" w:rsidR="00350015" w:rsidRPr="00F8190E" w:rsidRDefault="00350015" w:rsidP="0060632B">
            <w:pPr>
              <w:spacing w:line="276" w:lineRule="auto"/>
              <w:jc w:val="both"/>
              <w:rPr>
                <w:rFonts w:ascii="Times New Roman" w:hAnsi="Times New Roman" w:cs="Times New Roman"/>
                <w:b/>
              </w:rPr>
            </w:pPr>
            <w:bookmarkStart w:id="2" w:name="_Hlk493671907"/>
            <w:r w:rsidRPr="00F8190E">
              <w:rPr>
                <w:rFonts w:ascii="Times New Roman" w:hAnsi="Times New Roman" w:cs="Times New Roman"/>
                <w:b/>
              </w:rPr>
              <w:t>Neatsižvelgta.</w:t>
            </w:r>
          </w:p>
          <w:p w14:paraId="432A34CA" w14:textId="5DBB4291" w:rsidR="00350015" w:rsidRPr="00F8190E" w:rsidRDefault="003157DA" w:rsidP="0060632B">
            <w:pPr>
              <w:spacing w:line="276" w:lineRule="auto"/>
              <w:jc w:val="both"/>
              <w:rPr>
                <w:rFonts w:ascii="Times New Roman" w:hAnsi="Times New Roman" w:cs="Times New Roman"/>
                <w:b/>
              </w:rPr>
            </w:pPr>
            <w:r w:rsidRPr="00F8190E">
              <w:rPr>
                <w:rFonts w:ascii="Times New Roman" w:hAnsi="Times New Roman" w:cs="Times New Roman"/>
              </w:rPr>
              <w:t>Nėra tikslinga į skaičiavimus įtraukti ateities prognozių, nes kintamųjų  gali būti ir daugiau pvz.</w:t>
            </w:r>
            <w:r w:rsidR="00725624">
              <w:rPr>
                <w:rFonts w:ascii="Times New Roman" w:hAnsi="Times New Roman" w:cs="Times New Roman"/>
              </w:rPr>
              <w:t>,</w:t>
            </w:r>
            <w:r w:rsidRPr="00F8190E">
              <w:rPr>
                <w:rFonts w:ascii="Times New Roman" w:hAnsi="Times New Roman" w:cs="Times New Roman"/>
              </w:rPr>
              <w:t xml:space="preserve"> kuro kainų pokyčiai, priklausiantys nuo įvairių veiksnių (pvz.</w:t>
            </w:r>
            <w:r w:rsidR="002411CF">
              <w:rPr>
                <w:rFonts w:ascii="Times New Roman" w:hAnsi="Times New Roman" w:cs="Times New Roman"/>
              </w:rPr>
              <w:t>:</w:t>
            </w:r>
            <w:r w:rsidRPr="00F8190E">
              <w:rPr>
                <w:rFonts w:ascii="Times New Roman" w:hAnsi="Times New Roman" w:cs="Times New Roman"/>
              </w:rPr>
              <w:t xml:space="preserve"> pokyčių biržoje, paklausos ir pasiūlos pokyčių, gyventojų skaičiaus ir t.t.), apsiribojama objektyviai paskaičiuojamais ir vertinamais duomenimis iki paraiškos pateikimo.</w:t>
            </w:r>
          </w:p>
          <w:bookmarkEnd w:id="2"/>
          <w:p w14:paraId="14F32507" w14:textId="2F939F85" w:rsidR="00233816" w:rsidRPr="00F8190E" w:rsidRDefault="00233816" w:rsidP="0060632B">
            <w:pPr>
              <w:spacing w:line="276" w:lineRule="auto"/>
              <w:jc w:val="both"/>
              <w:rPr>
                <w:rFonts w:ascii="Times New Roman" w:hAnsi="Times New Roman" w:cs="Times New Roman"/>
                <w:b/>
              </w:rPr>
            </w:pPr>
          </w:p>
        </w:tc>
      </w:tr>
    </w:tbl>
    <w:p w14:paraId="1495735E" w14:textId="3160BF66" w:rsidR="00771627" w:rsidRPr="00F8190E" w:rsidRDefault="00771627" w:rsidP="00B60A89">
      <w:pPr>
        <w:spacing w:after="0" w:line="276" w:lineRule="auto"/>
        <w:rPr>
          <w:rFonts w:ascii="Times New Roman" w:hAnsi="Times New Roman" w:cs="Times New Roman"/>
          <w:sz w:val="24"/>
          <w:szCs w:val="24"/>
        </w:rPr>
      </w:pPr>
    </w:p>
    <w:p w14:paraId="5686B240" w14:textId="77777777" w:rsidR="0082185F" w:rsidRPr="00F8190E" w:rsidRDefault="00061283" w:rsidP="00B60A89">
      <w:pPr>
        <w:tabs>
          <w:tab w:val="left" w:pos="7905"/>
        </w:tabs>
        <w:spacing w:after="0" w:line="276" w:lineRule="auto"/>
        <w:jc w:val="center"/>
        <w:rPr>
          <w:rFonts w:ascii="Times New Roman" w:hAnsi="Times New Roman" w:cs="Times New Roman"/>
          <w:sz w:val="24"/>
          <w:szCs w:val="24"/>
        </w:rPr>
      </w:pPr>
      <w:r w:rsidRPr="00F8190E">
        <w:rPr>
          <w:rFonts w:ascii="Times New Roman" w:hAnsi="Times New Roman" w:cs="Times New Roman"/>
          <w:sz w:val="24"/>
          <w:szCs w:val="24"/>
        </w:rPr>
        <w:t>______________________________</w:t>
      </w:r>
    </w:p>
    <w:sectPr w:rsidR="0082185F" w:rsidRPr="00F8190E" w:rsidSect="00AC02D6">
      <w:headerReference w:type="default" r:id="rId9"/>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3DD8C" w14:textId="77777777" w:rsidR="00581200" w:rsidRDefault="00581200" w:rsidP="00DD2F63">
      <w:pPr>
        <w:spacing w:after="0" w:line="240" w:lineRule="auto"/>
      </w:pPr>
      <w:r>
        <w:separator/>
      </w:r>
    </w:p>
  </w:endnote>
  <w:endnote w:type="continuationSeparator" w:id="0">
    <w:p w14:paraId="64552964" w14:textId="77777777" w:rsidR="00581200" w:rsidRDefault="00581200" w:rsidP="00DD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07A8E" w14:textId="77777777" w:rsidR="00581200" w:rsidRDefault="00581200" w:rsidP="00DD2F63">
      <w:pPr>
        <w:spacing w:after="0" w:line="240" w:lineRule="auto"/>
      </w:pPr>
      <w:r>
        <w:separator/>
      </w:r>
    </w:p>
  </w:footnote>
  <w:footnote w:type="continuationSeparator" w:id="0">
    <w:p w14:paraId="72C99E7D" w14:textId="77777777" w:rsidR="00581200" w:rsidRDefault="00581200" w:rsidP="00DD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35900993"/>
      <w:docPartObj>
        <w:docPartGallery w:val="Page Numbers (Top of Page)"/>
        <w:docPartUnique/>
      </w:docPartObj>
    </w:sdtPr>
    <w:sdtEndPr/>
    <w:sdtContent>
      <w:p w14:paraId="53F38855" w14:textId="3D630FF2" w:rsidR="00581200" w:rsidRPr="007510F9" w:rsidRDefault="00581200">
        <w:pPr>
          <w:pStyle w:val="Header"/>
          <w:jc w:val="center"/>
          <w:rPr>
            <w:rFonts w:ascii="Times New Roman" w:hAnsi="Times New Roman" w:cs="Times New Roman"/>
          </w:rPr>
        </w:pPr>
        <w:r w:rsidRPr="007510F9">
          <w:rPr>
            <w:rFonts w:ascii="Times New Roman" w:hAnsi="Times New Roman" w:cs="Times New Roman"/>
          </w:rPr>
          <w:fldChar w:fldCharType="begin"/>
        </w:r>
        <w:r w:rsidRPr="007510F9">
          <w:rPr>
            <w:rFonts w:ascii="Times New Roman" w:hAnsi="Times New Roman" w:cs="Times New Roman"/>
          </w:rPr>
          <w:instrText>PAGE   \* MERGEFORMAT</w:instrText>
        </w:r>
        <w:r w:rsidRPr="007510F9">
          <w:rPr>
            <w:rFonts w:ascii="Times New Roman" w:hAnsi="Times New Roman" w:cs="Times New Roman"/>
          </w:rPr>
          <w:fldChar w:fldCharType="separate"/>
        </w:r>
        <w:r w:rsidR="000116E9">
          <w:rPr>
            <w:rFonts w:ascii="Times New Roman" w:hAnsi="Times New Roman" w:cs="Times New Roman"/>
            <w:noProof/>
          </w:rPr>
          <w:t>10</w:t>
        </w:r>
        <w:r w:rsidRPr="007510F9">
          <w:rPr>
            <w:rFonts w:ascii="Times New Roman" w:hAnsi="Times New Roman" w:cs="Times New Roman"/>
          </w:rPr>
          <w:fldChar w:fldCharType="end"/>
        </w:r>
      </w:p>
    </w:sdtContent>
  </w:sdt>
  <w:p w14:paraId="40C21A38" w14:textId="77777777" w:rsidR="00581200" w:rsidRDefault="0058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7D1"/>
    <w:multiLevelType w:val="multilevel"/>
    <w:tmpl w:val="6664730C"/>
    <w:lvl w:ilvl="0">
      <w:start w:val="58"/>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33A7"/>
    <w:multiLevelType w:val="hybridMultilevel"/>
    <w:tmpl w:val="7DD85E52"/>
    <w:lvl w:ilvl="0" w:tplc="EC983988">
      <w:start w:val="17"/>
      <w:numFmt w:val="decimal"/>
      <w:lvlText w:val="%1."/>
      <w:lvlJc w:val="left"/>
      <w:pPr>
        <w:ind w:left="1211" w:hanging="360"/>
      </w:pPr>
      <w:rPr>
        <w:rFonts w:hint="default"/>
        <w:i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C7E23EB"/>
    <w:multiLevelType w:val="hybridMultilevel"/>
    <w:tmpl w:val="800AA876"/>
    <w:lvl w:ilvl="0" w:tplc="4ED24168">
      <w:start w:val="1"/>
      <w:numFmt w:val="decimal"/>
      <w:lvlText w:val="%1."/>
      <w:lvlJc w:val="left"/>
      <w:pPr>
        <w:ind w:left="76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571CF5"/>
    <w:multiLevelType w:val="hybridMultilevel"/>
    <w:tmpl w:val="363AA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486948"/>
    <w:multiLevelType w:val="multilevel"/>
    <w:tmpl w:val="57BEA7C8"/>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715818"/>
    <w:multiLevelType w:val="multilevel"/>
    <w:tmpl w:val="AB94E7E2"/>
    <w:lvl w:ilvl="0">
      <w:start w:val="4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6879258E"/>
    <w:multiLevelType w:val="multilevel"/>
    <w:tmpl w:val="D10090E4"/>
    <w:lvl w:ilvl="0">
      <w:start w:val="4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0871"/>
    <w:rsid w:val="000056DB"/>
    <w:rsid w:val="00005966"/>
    <w:rsid w:val="000100E3"/>
    <w:rsid w:val="000116E9"/>
    <w:rsid w:val="00011FBD"/>
    <w:rsid w:val="000131E0"/>
    <w:rsid w:val="00013E2C"/>
    <w:rsid w:val="00016325"/>
    <w:rsid w:val="000163BC"/>
    <w:rsid w:val="00017B28"/>
    <w:rsid w:val="000201AC"/>
    <w:rsid w:val="0002252E"/>
    <w:rsid w:val="00022E5F"/>
    <w:rsid w:val="00025A92"/>
    <w:rsid w:val="00036754"/>
    <w:rsid w:val="00036DE1"/>
    <w:rsid w:val="00045CBC"/>
    <w:rsid w:val="00050F95"/>
    <w:rsid w:val="00051D73"/>
    <w:rsid w:val="00053424"/>
    <w:rsid w:val="000556BB"/>
    <w:rsid w:val="00061283"/>
    <w:rsid w:val="000655CF"/>
    <w:rsid w:val="00066B66"/>
    <w:rsid w:val="00066EB8"/>
    <w:rsid w:val="0006731B"/>
    <w:rsid w:val="0007139E"/>
    <w:rsid w:val="00071B99"/>
    <w:rsid w:val="00076F3A"/>
    <w:rsid w:val="00077028"/>
    <w:rsid w:val="000813FB"/>
    <w:rsid w:val="000819D0"/>
    <w:rsid w:val="00082774"/>
    <w:rsid w:val="00086B4D"/>
    <w:rsid w:val="00091786"/>
    <w:rsid w:val="00091950"/>
    <w:rsid w:val="00096782"/>
    <w:rsid w:val="000978FA"/>
    <w:rsid w:val="000B3A43"/>
    <w:rsid w:val="000B433B"/>
    <w:rsid w:val="000B634F"/>
    <w:rsid w:val="000B6BD1"/>
    <w:rsid w:val="000C0DDE"/>
    <w:rsid w:val="000C1968"/>
    <w:rsid w:val="000C5606"/>
    <w:rsid w:val="000C67D4"/>
    <w:rsid w:val="000C7359"/>
    <w:rsid w:val="000D1BE6"/>
    <w:rsid w:val="000D3BA5"/>
    <w:rsid w:val="000E31E0"/>
    <w:rsid w:val="000E6FA6"/>
    <w:rsid w:val="000E7CB0"/>
    <w:rsid w:val="000F0594"/>
    <w:rsid w:val="000F169E"/>
    <w:rsid w:val="000F2F68"/>
    <w:rsid w:val="000F535F"/>
    <w:rsid w:val="000F5CB8"/>
    <w:rsid w:val="00106EDC"/>
    <w:rsid w:val="0011066F"/>
    <w:rsid w:val="00115DF1"/>
    <w:rsid w:val="001170C3"/>
    <w:rsid w:val="00122B35"/>
    <w:rsid w:val="00123FEE"/>
    <w:rsid w:val="001247C1"/>
    <w:rsid w:val="00131792"/>
    <w:rsid w:val="0013493C"/>
    <w:rsid w:val="00135942"/>
    <w:rsid w:val="00141179"/>
    <w:rsid w:val="00142860"/>
    <w:rsid w:val="001428C3"/>
    <w:rsid w:val="00142977"/>
    <w:rsid w:val="001435B4"/>
    <w:rsid w:val="001435E2"/>
    <w:rsid w:val="0014387B"/>
    <w:rsid w:val="001506A1"/>
    <w:rsid w:val="001550EF"/>
    <w:rsid w:val="00160598"/>
    <w:rsid w:val="00160673"/>
    <w:rsid w:val="001650B1"/>
    <w:rsid w:val="00165796"/>
    <w:rsid w:val="00166C3D"/>
    <w:rsid w:val="00173929"/>
    <w:rsid w:val="00173C81"/>
    <w:rsid w:val="00180D71"/>
    <w:rsid w:val="00181213"/>
    <w:rsid w:val="0018366F"/>
    <w:rsid w:val="00183D66"/>
    <w:rsid w:val="00184777"/>
    <w:rsid w:val="00184B49"/>
    <w:rsid w:val="0018565E"/>
    <w:rsid w:val="00190FEE"/>
    <w:rsid w:val="00191F6A"/>
    <w:rsid w:val="001932DA"/>
    <w:rsid w:val="0019568B"/>
    <w:rsid w:val="001A42AA"/>
    <w:rsid w:val="001A444D"/>
    <w:rsid w:val="001A53C2"/>
    <w:rsid w:val="001A5F35"/>
    <w:rsid w:val="001A75F5"/>
    <w:rsid w:val="001B017E"/>
    <w:rsid w:val="001B025C"/>
    <w:rsid w:val="001B04F2"/>
    <w:rsid w:val="001B4938"/>
    <w:rsid w:val="001B75CF"/>
    <w:rsid w:val="001C2E82"/>
    <w:rsid w:val="001C48C0"/>
    <w:rsid w:val="001D4A2A"/>
    <w:rsid w:val="001D5EDA"/>
    <w:rsid w:val="001D6C55"/>
    <w:rsid w:val="001D706C"/>
    <w:rsid w:val="001E1562"/>
    <w:rsid w:val="001E1C1D"/>
    <w:rsid w:val="001E4CA4"/>
    <w:rsid w:val="001E5311"/>
    <w:rsid w:val="001E6472"/>
    <w:rsid w:val="001F16A9"/>
    <w:rsid w:val="001F16BC"/>
    <w:rsid w:val="001F2C0D"/>
    <w:rsid w:val="001F39C9"/>
    <w:rsid w:val="001F4777"/>
    <w:rsid w:val="001F622B"/>
    <w:rsid w:val="001F77C1"/>
    <w:rsid w:val="00206D96"/>
    <w:rsid w:val="00207D2F"/>
    <w:rsid w:val="00213015"/>
    <w:rsid w:val="002157B8"/>
    <w:rsid w:val="002215CB"/>
    <w:rsid w:val="00222229"/>
    <w:rsid w:val="00231CC0"/>
    <w:rsid w:val="0023271F"/>
    <w:rsid w:val="00233816"/>
    <w:rsid w:val="00234510"/>
    <w:rsid w:val="00237224"/>
    <w:rsid w:val="002376DC"/>
    <w:rsid w:val="002411CF"/>
    <w:rsid w:val="00241FDE"/>
    <w:rsid w:val="0024508C"/>
    <w:rsid w:val="002566A0"/>
    <w:rsid w:val="00257F43"/>
    <w:rsid w:val="0026151A"/>
    <w:rsid w:val="00261CA4"/>
    <w:rsid w:val="00264ADB"/>
    <w:rsid w:val="00264F30"/>
    <w:rsid w:val="00272632"/>
    <w:rsid w:val="002732A4"/>
    <w:rsid w:val="002736F7"/>
    <w:rsid w:val="00283810"/>
    <w:rsid w:val="002865CD"/>
    <w:rsid w:val="00286F93"/>
    <w:rsid w:val="00287441"/>
    <w:rsid w:val="00292665"/>
    <w:rsid w:val="00293FE4"/>
    <w:rsid w:val="002943DF"/>
    <w:rsid w:val="002A1BBA"/>
    <w:rsid w:val="002A2705"/>
    <w:rsid w:val="002A33B6"/>
    <w:rsid w:val="002A374C"/>
    <w:rsid w:val="002A4B4A"/>
    <w:rsid w:val="002A54D1"/>
    <w:rsid w:val="002A5512"/>
    <w:rsid w:val="002A7608"/>
    <w:rsid w:val="002B059E"/>
    <w:rsid w:val="002B2CBF"/>
    <w:rsid w:val="002B4859"/>
    <w:rsid w:val="002B4963"/>
    <w:rsid w:val="002B672F"/>
    <w:rsid w:val="002C0B21"/>
    <w:rsid w:val="002C61E1"/>
    <w:rsid w:val="002C6571"/>
    <w:rsid w:val="002C7DE0"/>
    <w:rsid w:val="002D0391"/>
    <w:rsid w:val="002D03A6"/>
    <w:rsid w:val="002D1EA2"/>
    <w:rsid w:val="002D262D"/>
    <w:rsid w:val="002D2AEF"/>
    <w:rsid w:val="002D405A"/>
    <w:rsid w:val="002D75A8"/>
    <w:rsid w:val="002E02B4"/>
    <w:rsid w:val="002E23A1"/>
    <w:rsid w:val="002E5250"/>
    <w:rsid w:val="002E559F"/>
    <w:rsid w:val="002E59CC"/>
    <w:rsid w:val="002F133D"/>
    <w:rsid w:val="002F1DBA"/>
    <w:rsid w:val="002F6D5D"/>
    <w:rsid w:val="00304641"/>
    <w:rsid w:val="0031320E"/>
    <w:rsid w:val="00313988"/>
    <w:rsid w:val="003151FA"/>
    <w:rsid w:val="003157DA"/>
    <w:rsid w:val="003161A8"/>
    <w:rsid w:val="00316FDB"/>
    <w:rsid w:val="003174EE"/>
    <w:rsid w:val="0031780A"/>
    <w:rsid w:val="00322ABE"/>
    <w:rsid w:val="00324DFA"/>
    <w:rsid w:val="003278CF"/>
    <w:rsid w:val="00331A7D"/>
    <w:rsid w:val="00337352"/>
    <w:rsid w:val="003408F5"/>
    <w:rsid w:val="00350015"/>
    <w:rsid w:val="00355512"/>
    <w:rsid w:val="003605D7"/>
    <w:rsid w:val="00362B87"/>
    <w:rsid w:val="00365030"/>
    <w:rsid w:val="00366FFA"/>
    <w:rsid w:val="00372064"/>
    <w:rsid w:val="00372C39"/>
    <w:rsid w:val="00373760"/>
    <w:rsid w:val="00376C57"/>
    <w:rsid w:val="00380F05"/>
    <w:rsid w:val="0038177F"/>
    <w:rsid w:val="0038332E"/>
    <w:rsid w:val="00384DF1"/>
    <w:rsid w:val="00385A57"/>
    <w:rsid w:val="003861EB"/>
    <w:rsid w:val="003902B7"/>
    <w:rsid w:val="00393795"/>
    <w:rsid w:val="00393B76"/>
    <w:rsid w:val="00395062"/>
    <w:rsid w:val="00397828"/>
    <w:rsid w:val="003A3481"/>
    <w:rsid w:val="003A57BD"/>
    <w:rsid w:val="003C13B4"/>
    <w:rsid w:val="003C1E74"/>
    <w:rsid w:val="003C2F2A"/>
    <w:rsid w:val="003C68D8"/>
    <w:rsid w:val="003C7A52"/>
    <w:rsid w:val="003D2D26"/>
    <w:rsid w:val="003D2E78"/>
    <w:rsid w:val="003D6708"/>
    <w:rsid w:val="003E1008"/>
    <w:rsid w:val="003E157E"/>
    <w:rsid w:val="003E2A64"/>
    <w:rsid w:val="003E6069"/>
    <w:rsid w:val="003E77B8"/>
    <w:rsid w:val="003F094A"/>
    <w:rsid w:val="003F31FA"/>
    <w:rsid w:val="003F417B"/>
    <w:rsid w:val="00401A47"/>
    <w:rsid w:val="00402E18"/>
    <w:rsid w:val="00410299"/>
    <w:rsid w:val="004139D3"/>
    <w:rsid w:val="004139DB"/>
    <w:rsid w:val="00417192"/>
    <w:rsid w:val="0041763A"/>
    <w:rsid w:val="00417A3B"/>
    <w:rsid w:val="00417E90"/>
    <w:rsid w:val="00421254"/>
    <w:rsid w:val="00421C7A"/>
    <w:rsid w:val="004238C0"/>
    <w:rsid w:val="004276E7"/>
    <w:rsid w:val="0043779C"/>
    <w:rsid w:val="004407FB"/>
    <w:rsid w:val="00440B18"/>
    <w:rsid w:val="00441F17"/>
    <w:rsid w:val="00442DCA"/>
    <w:rsid w:val="004431A1"/>
    <w:rsid w:val="00445060"/>
    <w:rsid w:val="00446770"/>
    <w:rsid w:val="00447969"/>
    <w:rsid w:val="00447A35"/>
    <w:rsid w:val="00454949"/>
    <w:rsid w:val="00462F00"/>
    <w:rsid w:val="0046379C"/>
    <w:rsid w:val="00464AD4"/>
    <w:rsid w:val="004671A7"/>
    <w:rsid w:val="0047671B"/>
    <w:rsid w:val="004769E3"/>
    <w:rsid w:val="0048045E"/>
    <w:rsid w:val="004827C0"/>
    <w:rsid w:val="00485D87"/>
    <w:rsid w:val="00487B63"/>
    <w:rsid w:val="00490FA4"/>
    <w:rsid w:val="00493034"/>
    <w:rsid w:val="00493A30"/>
    <w:rsid w:val="004A2B33"/>
    <w:rsid w:val="004A2B6E"/>
    <w:rsid w:val="004A525E"/>
    <w:rsid w:val="004B0CB9"/>
    <w:rsid w:val="004B1E80"/>
    <w:rsid w:val="004B33A5"/>
    <w:rsid w:val="004C0B7A"/>
    <w:rsid w:val="004D01F9"/>
    <w:rsid w:val="004D1FDF"/>
    <w:rsid w:val="004D3B7F"/>
    <w:rsid w:val="004E262E"/>
    <w:rsid w:val="004E3602"/>
    <w:rsid w:val="004E50F5"/>
    <w:rsid w:val="004F09F0"/>
    <w:rsid w:val="004F12F9"/>
    <w:rsid w:val="004F36DA"/>
    <w:rsid w:val="004F3EB2"/>
    <w:rsid w:val="004F49D9"/>
    <w:rsid w:val="004F505C"/>
    <w:rsid w:val="004F5AC2"/>
    <w:rsid w:val="00500523"/>
    <w:rsid w:val="00501858"/>
    <w:rsid w:val="00502C8A"/>
    <w:rsid w:val="005043D2"/>
    <w:rsid w:val="00506E39"/>
    <w:rsid w:val="00510E59"/>
    <w:rsid w:val="00522A49"/>
    <w:rsid w:val="0052799B"/>
    <w:rsid w:val="005410E1"/>
    <w:rsid w:val="00552C0F"/>
    <w:rsid w:val="00554B48"/>
    <w:rsid w:val="00555F40"/>
    <w:rsid w:val="00563EA3"/>
    <w:rsid w:val="00564EEE"/>
    <w:rsid w:val="005653FE"/>
    <w:rsid w:val="005657AB"/>
    <w:rsid w:val="00567EA5"/>
    <w:rsid w:val="0057118C"/>
    <w:rsid w:val="00575C4B"/>
    <w:rsid w:val="00581200"/>
    <w:rsid w:val="00584399"/>
    <w:rsid w:val="00585148"/>
    <w:rsid w:val="00586354"/>
    <w:rsid w:val="005912A0"/>
    <w:rsid w:val="005927FB"/>
    <w:rsid w:val="00592B69"/>
    <w:rsid w:val="00592E88"/>
    <w:rsid w:val="00594CB2"/>
    <w:rsid w:val="005A228C"/>
    <w:rsid w:val="005A3CF8"/>
    <w:rsid w:val="005A4015"/>
    <w:rsid w:val="005A55A4"/>
    <w:rsid w:val="005A56D9"/>
    <w:rsid w:val="005C3D17"/>
    <w:rsid w:val="005C4ED6"/>
    <w:rsid w:val="005D02A3"/>
    <w:rsid w:val="005D078A"/>
    <w:rsid w:val="005D1650"/>
    <w:rsid w:val="005D4349"/>
    <w:rsid w:val="005D518E"/>
    <w:rsid w:val="005E3733"/>
    <w:rsid w:val="005E3DF9"/>
    <w:rsid w:val="005F7F4F"/>
    <w:rsid w:val="0060145B"/>
    <w:rsid w:val="006053AC"/>
    <w:rsid w:val="0060632B"/>
    <w:rsid w:val="0060791C"/>
    <w:rsid w:val="006157C1"/>
    <w:rsid w:val="00616AA4"/>
    <w:rsid w:val="00623222"/>
    <w:rsid w:val="00625C8D"/>
    <w:rsid w:val="00626831"/>
    <w:rsid w:val="00627333"/>
    <w:rsid w:val="0063012D"/>
    <w:rsid w:val="00630253"/>
    <w:rsid w:val="00630756"/>
    <w:rsid w:val="00632BAD"/>
    <w:rsid w:val="0063546C"/>
    <w:rsid w:val="00636D7C"/>
    <w:rsid w:val="00637CE9"/>
    <w:rsid w:val="00641A1E"/>
    <w:rsid w:val="006465B6"/>
    <w:rsid w:val="00646CB3"/>
    <w:rsid w:val="00656C7E"/>
    <w:rsid w:val="00660D49"/>
    <w:rsid w:val="00663F21"/>
    <w:rsid w:val="0066768B"/>
    <w:rsid w:val="00672A34"/>
    <w:rsid w:val="00674237"/>
    <w:rsid w:val="0067782D"/>
    <w:rsid w:val="00680B6E"/>
    <w:rsid w:val="00681710"/>
    <w:rsid w:val="00682C53"/>
    <w:rsid w:val="00682F89"/>
    <w:rsid w:val="00683EA7"/>
    <w:rsid w:val="006841AD"/>
    <w:rsid w:val="006853C7"/>
    <w:rsid w:val="00685449"/>
    <w:rsid w:val="00686FAB"/>
    <w:rsid w:val="006952E3"/>
    <w:rsid w:val="006A04CA"/>
    <w:rsid w:val="006A0C46"/>
    <w:rsid w:val="006A1B56"/>
    <w:rsid w:val="006A40E6"/>
    <w:rsid w:val="006B2C21"/>
    <w:rsid w:val="006C02F5"/>
    <w:rsid w:val="006C06E8"/>
    <w:rsid w:val="006C0B2B"/>
    <w:rsid w:val="006C1944"/>
    <w:rsid w:val="006C33DF"/>
    <w:rsid w:val="006C4FE5"/>
    <w:rsid w:val="006C5A75"/>
    <w:rsid w:val="006D0984"/>
    <w:rsid w:val="006D108A"/>
    <w:rsid w:val="006D4CAA"/>
    <w:rsid w:val="006D6242"/>
    <w:rsid w:val="006D73B5"/>
    <w:rsid w:val="006E015F"/>
    <w:rsid w:val="006E34EC"/>
    <w:rsid w:val="006E3DCC"/>
    <w:rsid w:val="006E4C09"/>
    <w:rsid w:val="006F01DF"/>
    <w:rsid w:val="006F391C"/>
    <w:rsid w:val="006F3A73"/>
    <w:rsid w:val="006F606E"/>
    <w:rsid w:val="00705C60"/>
    <w:rsid w:val="00705EC2"/>
    <w:rsid w:val="00710F07"/>
    <w:rsid w:val="0071364D"/>
    <w:rsid w:val="00715545"/>
    <w:rsid w:val="0071728A"/>
    <w:rsid w:val="007201C2"/>
    <w:rsid w:val="00722273"/>
    <w:rsid w:val="00722C53"/>
    <w:rsid w:val="00725624"/>
    <w:rsid w:val="0072711D"/>
    <w:rsid w:val="00731ACF"/>
    <w:rsid w:val="00731C27"/>
    <w:rsid w:val="00732E1A"/>
    <w:rsid w:val="0074095D"/>
    <w:rsid w:val="00742EDA"/>
    <w:rsid w:val="007510F9"/>
    <w:rsid w:val="0075575A"/>
    <w:rsid w:val="00756588"/>
    <w:rsid w:val="00760225"/>
    <w:rsid w:val="00761A36"/>
    <w:rsid w:val="007622BE"/>
    <w:rsid w:val="00764AD7"/>
    <w:rsid w:val="00766EE4"/>
    <w:rsid w:val="00771627"/>
    <w:rsid w:val="00774078"/>
    <w:rsid w:val="007754B5"/>
    <w:rsid w:val="007848C6"/>
    <w:rsid w:val="00785157"/>
    <w:rsid w:val="007867FF"/>
    <w:rsid w:val="007913C9"/>
    <w:rsid w:val="007958E4"/>
    <w:rsid w:val="007A1B02"/>
    <w:rsid w:val="007A2795"/>
    <w:rsid w:val="007A58AE"/>
    <w:rsid w:val="007A62D9"/>
    <w:rsid w:val="007C0EFE"/>
    <w:rsid w:val="007C0F6B"/>
    <w:rsid w:val="007C4853"/>
    <w:rsid w:val="007C58FE"/>
    <w:rsid w:val="007C751D"/>
    <w:rsid w:val="007D0923"/>
    <w:rsid w:val="007D09F9"/>
    <w:rsid w:val="007D59FA"/>
    <w:rsid w:val="007E02F7"/>
    <w:rsid w:val="007E17F3"/>
    <w:rsid w:val="007E7C57"/>
    <w:rsid w:val="007F1CC3"/>
    <w:rsid w:val="007F38B8"/>
    <w:rsid w:val="007F6FC5"/>
    <w:rsid w:val="008000CD"/>
    <w:rsid w:val="00802ECC"/>
    <w:rsid w:val="0080682F"/>
    <w:rsid w:val="00812D33"/>
    <w:rsid w:val="008152C8"/>
    <w:rsid w:val="00817BC0"/>
    <w:rsid w:val="0082185F"/>
    <w:rsid w:val="00824030"/>
    <w:rsid w:val="008263E2"/>
    <w:rsid w:val="00837F5D"/>
    <w:rsid w:val="008466DB"/>
    <w:rsid w:val="00851EB5"/>
    <w:rsid w:val="00856511"/>
    <w:rsid w:val="008606F3"/>
    <w:rsid w:val="008612C7"/>
    <w:rsid w:val="00872EFE"/>
    <w:rsid w:val="0087567D"/>
    <w:rsid w:val="008768B4"/>
    <w:rsid w:val="008769F6"/>
    <w:rsid w:val="0087750C"/>
    <w:rsid w:val="008806A6"/>
    <w:rsid w:val="00880D84"/>
    <w:rsid w:val="008820ED"/>
    <w:rsid w:val="008839A3"/>
    <w:rsid w:val="008856DB"/>
    <w:rsid w:val="00885EC5"/>
    <w:rsid w:val="00886723"/>
    <w:rsid w:val="00890A36"/>
    <w:rsid w:val="0089469A"/>
    <w:rsid w:val="008950C1"/>
    <w:rsid w:val="00897DD7"/>
    <w:rsid w:val="008A0C52"/>
    <w:rsid w:val="008A1168"/>
    <w:rsid w:val="008A4665"/>
    <w:rsid w:val="008A73E1"/>
    <w:rsid w:val="008B0608"/>
    <w:rsid w:val="008B12BF"/>
    <w:rsid w:val="008B63DB"/>
    <w:rsid w:val="008C1B4E"/>
    <w:rsid w:val="008C2B4C"/>
    <w:rsid w:val="008C400C"/>
    <w:rsid w:val="008C42A7"/>
    <w:rsid w:val="008C7897"/>
    <w:rsid w:val="008D1596"/>
    <w:rsid w:val="008D675C"/>
    <w:rsid w:val="008E1FD6"/>
    <w:rsid w:val="008E27A8"/>
    <w:rsid w:val="008E3B09"/>
    <w:rsid w:val="008E5498"/>
    <w:rsid w:val="008F4ADE"/>
    <w:rsid w:val="008F4C8E"/>
    <w:rsid w:val="009060C7"/>
    <w:rsid w:val="00906CC9"/>
    <w:rsid w:val="0090770D"/>
    <w:rsid w:val="009128CE"/>
    <w:rsid w:val="00914AD6"/>
    <w:rsid w:val="0091531B"/>
    <w:rsid w:val="00915340"/>
    <w:rsid w:val="0091581D"/>
    <w:rsid w:val="00915F43"/>
    <w:rsid w:val="009224FE"/>
    <w:rsid w:val="009252D1"/>
    <w:rsid w:val="00936979"/>
    <w:rsid w:val="00940596"/>
    <w:rsid w:val="00940FC8"/>
    <w:rsid w:val="00941BAE"/>
    <w:rsid w:val="00944A13"/>
    <w:rsid w:val="0094518F"/>
    <w:rsid w:val="00945B71"/>
    <w:rsid w:val="00947440"/>
    <w:rsid w:val="00950B46"/>
    <w:rsid w:val="009552FA"/>
    <w:rsid w:val="00956659"/>
    <w:rsid w:val="00956BB0"/>
    <w:rsid w:val="00960558"/>
    <w:rsid w:val="00967C02"/>
    <w:rsid w:val="009751DC"/>
    <w:rsid w:val="00977B92"/>
    <w:rsid w:val="00983050"/>
    <w:rsid w:val="0098483F"/>
    <w:rsid w:val="00984FFF"/>
    <w:rsid w:val="00995035"/>
    <w:rsid w:val="00996B71"/>
    <w:rsid w:val="009A0809"/>
    <w:rsid w:val="009A53F4"/>
    <w:rsid w:val="009B1A88"/>
    <w:rsid w:val="009B74F2"/>
    <w:rsid w:val="009B757D"/>
    <w:rsid w:val="009C5B41"/>
    <w:rsid w:val="009C73C8"/>
    <w:rsid w:val="009D1781"/>
    <w:rsid w:val="009D6070"/>
    <w:rsid w:val="009D7B46"/>
    <w:rsid w:val="009E0852"/>
    <w:rsid w:val="009E4191"/>
    <w:rsid w:val="009E47AB"/>
    <w:rsid w:val="009E7707"/>
    <w:rsid w:val="009F0D14"/>
    <w:rsid w:val="009F44FD"/>
    <w:rsid w:val="009F508B"/>
    <w:rsid w:val="009F7606"/>
    <w:rsid w:val="009F79BE"/>
    <w:rsid w:val="00A02A3B"/>
    <w:rsid w:val="00A05092"/>
    <w:rsid w:val="00A06EFD"/>
    <w:rsid w:val="00A1018F"/>
    <w:rsid w:val="00A1072B"/>
    <w:rsid w:val="00A155A0"/>
    <w:rsid w:val="00A173F7"/>
    <w:rsid w:val="00A17872"/>
    <w:rsid w:val="00A17932"/>
    <w:rsid w:val="00A20A18"/>
    <w:rsid w:val="00A220BE"/>
    <w:rsid w:val="00A226B1"/>
    <w:rsid w:val="00A231D2"/>
    <w:rsid w:val="00A269D5"/>
    <w:rsid w:val="00A30D57"/>
    <w:rsid w:val="00A31194"/>
    <w:rsid w:val="00A31649"/>
    <w:rsid w:val="00A33E0D"/>
    <w:rsid w:val="00A3751B"/>
    <w:rsid w:val="00A375E7"/>
    <w:rsid w:val="00A42376"/>
    <w:rsid w:val="00A443C6"/>
    <w:rsid w:val="00A46464"/>
    <w:rsid w:val="00A54D78"/>
    <w:rsid w:val="00A6466A"/>
    <w:rsid w:val="00A64E25"/>
    <w:rsid w:val="00A66F8D"/>
    <w:rsid w:val="00A707F0"/>
    <w:rsid w:val="00A71C7B"/>
    <w:rsid w:val="00A72372"/>
    <w:rsid w:val="00A751AA"/>
    <w:rsid w:val="00A76907"/>
    <w:rsid w:val="00A81316"/>
    <w:rsid w:val="00A82282"/>
    <w:rsid w:val="00A83B72"/>
    <w:rsid w:val="00A84E28"/>
    <w:rsid w:val="00A8780B"/>
    <w:rsid w:val="00AA2E75"/>
    <w:rsid w:val="00AA6844"/>
    <w:rsid w:val="00AA76BC"/>
    <w:rsid w:val="00AB67F4"/>
    <w:rsid w:val="00AB68A9"/>
    <w:rsid w:val="00AB6903"/>
    <w:rsid w:val="00AC02D6"/>
    <w:rsid w:val="00AC0DDA"/>
    <w:rsid w:val="00AC14E3"/>
    <w:rsid w:val="00AC1A7E"/>
    <w:rsid w:val="00AC2513"/>
    <w:rsid w:val="00AC2BEC"/>
    <w:rsid w:val="00AC3E05"/>
    <w:rsid w:val="00AC5083"/>
    <w:rsid w:val="00AD115A"/>
    <w:rsid w:val="00AD4600"/>
    <w:rsid w:val="00AD52EB"/>
    <w:rsid w:val="00AD563A"/>
    <w:rsid w:val="00AD6E43"/>
    <w:rsid w:val="00AE322C"/>
    <w:rsid w:val="00AE57F8"/>
    <w:rsid w:val="00AF2FAF"/>
    <w:rsid w:val="00AF4A1E"/>
    <w:rsid w:val="00B00BB8"/>
    <w:rsid w:val="00B03C19"/>
    <w:rsid w:val="00B04FD6"/>
    <w:rsid w:val="00B05DCC"/>
    <w:rsid w:val="00B063B6"/>
    <w:rsid w:val="00B10F36"/>
    <w:rsid w:val="00B11D62"/>
    <w:rsid w:val="00B1333E"/>
    <w:rsid w:val="00B14D36"/>
    <w:rsid w:val="00B1563C"/>
    <w:rsid w:val="00B15840"/>
    <w:rsid w:val="00B15E76"/>
    <w:rsid w:val="00B22480"/>
    <w:rsid w:val="00B327E2"/>
    <w:rsid w:val="00B34BCA"/>
    <w:rsid w:val="00B363A8"/>
    <w:rsid w:val="00B369F0"/>
    <w:rsid w:val="00B417A6"/>
    <w:rsid w:val="00B419F0"/>
    <w:rsid w:val="00B4369C"/>
    <w:rsid w:val="00B44C66"/>
    <w:rsid w:val="00B458D7"/>
    <w:rsid w:val="00B45D75"/>
    <w:rsid w:val="00B47876"/>
    <w:rsid w:val="00B50B43"/>
    <w:rsid w:val="00B5185B"/>
    <w:rsid w:val="00B55AF5"/>
    <w:rsid w:val="00B575DE"/>
    <w:rsid w:val="00B60A89"/>
    <w:rsid w:val="00B67F8E"/>
    <w:rsid w:val="00B728AD"/>
    <w:rsid w:val="00B72CDC"/>
    <w:rsid w:val="00B738EB"/>
    <w:rsid w:val="00B74960"/>
    <w:rsid w:val="00B75338"/>
    <w:rsid w:val="00B810DE"/>
    <w:rsid w:val="00B82546"/>
    <w:rsid w:val="00B8365A"/>
    <w:rsid w:val="00B844B1"/>
    <w:rsid w:val="00B84847"/>
    <w:rsid w:val="00B8553A"/>
    <w:rsid w:val="00B860B6"/>
    <w:rsid w:val="00B90899"/>
    <w:rsid w:val="00B9375B"/>
    <w:rsid w:val="00B9781E"/>
    <w:rsid w:val="00BA105B"/>
    <w:rsid w:val="00BA3B29"/>
    <w:rsid w:val="00BA4812"/>
    <w:rsid w:val="00BA66F4"/>
    <w:rsid w:val="00BA7330"/>
    <w:rsid w:val="00BB0C27"/>
    <w:rsid w:val="00BB2B29"/>
    <w:rsid w:val="00BB2F49"/>
    <w:rsid w:val="00BB437C"/>
    <w:rsid w:val="00BC3763"/>
    <w:rsid w:val="00BD0260"/>
    <w:rsid w:val="00BD2285"/>
    <w:rsid w:val="00BD239A"/>
    <w:rsid w:val="00BD7323"/>
    <w:rsid w:val="00BD7325"/>
    <w:rsid w:val="00BD7A9D"/>
    <w:rsid w:val="00BE0262"/>
    <w:rsid w:val="00BE0F54"/>
    <w:rsid w:val="00BE3009"/>
    <w:rsid w:val="00BF0FC9"/>
    <w:rsid w:val="00BF4889"/>
    <w:rsid w:val="00BF73D8"/>
    <w:rsid w:val="00BF7692"/>
    <w:rsid w:val="00BF7A79"/>
    <w:rsid w:val="00C060A9"/>
    <w:rsid w:val="00C0666A"/>
    <w:rsid w:val="00C0702A"/>
    <w:rsid w:val="00C13F73"/>
    <w:rsid w:val="00C157D9"/>
    <w:rsid w:val="00C22D6F"/>
    <w:rsid w:val="00C25917"/>
    <w:rsid w:val="00C303BA"/>
    <w:rsid w:val="00C31B66"/>
    <w:rsid w:val="00C33F46"/>
    <w:rsid w:val="00C355F1"/>
    <w:rsid w:val="00C35EAB"/>
    <w:rsid w:val="00C423C2"/>
    <w:rsid w:val="00C50E1E"/>
    <w:rsid w:val="00C55116"/>
    <w:rsid w:val="00C5597B"/>
    <w:rsid w:val="00C56A46"/>
    <w:rsid w:val="00C60430"/>
    <w:rsid w:val="00C674E8"/>
    <w:rsid w:val="00C708FD"/>
    <w:rsid w:val="00C76E44"/>
    <w:rsid w:val="00C81503"/>
    <w:rsid w:val="00C83C0D"/>
    <w:rsid w:val="00C85B89"/>
    <w:rsid w:val="00C93FD3"/>
    <w:rsid w:val="00C97CBC"/>
    <w:rsid w:val="00CA139E"/>
    <w:rsid w:val="00CA3780"/>
    <w:rsid w:val="00CA6AAC"/>
    <w:rsid w:val="00CB0814"/>
    <w:rsid w:val="00CB1244"/>
    <w:rsid w:val="00CB15CC"/>
    <w:rsid w:val="00CB15F6"/>
    <w:rsid w:val="00CB1A67"/>
    <w:rsid w:val="00CB4563"/>
    <w:rsid w:val="00CB7985"/>
    <w:rsid w:val="00CC05BF"/>
    <w:rsid w:val="00CC2ABC"/>
    <w:rsid w:val="00CC560B"/>
    <w:rsid w:val="00CD0161"/>
    <w:rsid w:val="00CD2548"/>
    <w:rsid w:val="00CD4EF0"/>
    <w:rsid w:val="00CD6805"/>
    <w:rsid w:val="00CE19FF"/>
    <w:rsid w:val="00CF4513"/>
    <w:rsid w:val="00CF5EDD"/>
    <w:rsid w:val="00CF682A"/>
    <w:rsid w:val="00D104E9"/>
    <w:rsid w:val="00D13238"/>
    <w:rsid w:val="00D15C13"/>
    <w:rsid w:val="00D165D7"/>
    <w:rsid w:val="00D171C8"/>
    <w:rsid w:val="00D24C18"/>
    <w:rsid w:val="00D319CE"/>
    <w:rsid w:val="00D337AA"/>
    <w:rsid w:val="00D351E2"/>
    <w:rsid w:val="00D35833"/>
    <w:rsid w:val="00D40DE5"/>
    <w:rsid w:val="00D4793D"/>
    <w:rsid w:val="00D47BDE"/>
    <w:rsid w:val="00D51171"/>
    <w:rsid w:val="00D5123C"/>
    <w:rsid w:val="00D52AF4"/>
    <w:rsid w:val="00D544DE"/>
    <w:rsid w:val="00D610ED"/>
    <w:rsid w:val="00D6261F"/>
    <w:rsid w:val="00D65A02"/>
    <w:rsid w:val="00D7052F"/>
    <w:rsid w:val="00D71CEE"/>
    <w:rsid w:val="00D7215C"/>
    <w:rsid w:val="00D72D14"/>
    <w:rsid w:val="00D80CBF"/>
    <w:rsid w:val="00D82D5B"/>
    <w:rsid w:val="00D83ABF"/>
    <w:rsid w:val="00D84800"/>
    <w:rsid w:val="00D84E47"/>
    <w:rsid w:val="00D861F6"/>
    <w:rsid w:val="00D86EBF"/>
    <w:rsid w:val="00D902BD"/>
    <w:rsid w:val="00D92ACD"/>
    <w:rsid w:val="00D95E12"/>
    <w:rsid w:val="00D95E64"/>
    <w:rsid w:val="00D9651E"/>
    <w:rsid w:val="00D96F48"/>
    <w:rsid w:val="00DA177B"/>
    <w:rsid w:val="00DA44D5"/>
    <w:rsid w:val="00DB2434"/>
    <w:rsid w:val="00DC13D2"/>
    <w:rsid w:val="00DC6A84"/>
    <w:rsid w:val="00DD223C"/>
    <w:rsid w:val="00DD2F63"/>
    <w:rsid w:val="00DD483A"/>
    <w:rsid w:val="00DD70B5"/>
    <w:rsid w:val="00DE5552"/>
    <w:rsid w:val="00DE5D64"/>
    <w:rsid w:val="00DF512D"/>
    <w:rsid w:val="00DF5CF1"/>
    <w:rsid w:val="00E01DBC"/>
    <w:rsid w:val="00E04B62"/>
    <w:rsid w:val="00E05A97"/>
    <w:rsid w:val="00E05F3E"/>
    <w:rsid w:val="00E1363C"/>
    <w:rsid w:val="00E21BE9"/>
    <w:rsid w:val="00E32A55"/>
    <w:rsid w:val="00E36C96"/>
    <w:rsid w:val="00E50204"/>
    <w:rsid w:val="00E503A0"/>
    <w:rsid w:val="00E5477B"/>
    <w:rsid w:val="00E556EE"/>
    <w:rsid w:val="00E5721D"/>
    <w:rsid w:val="00E578EC"/>
    <w:rsid w:val="00E60602"/>
    <w:rsid w:val="00E60B1D"/>
    <w:rsid w:val="00E632C3"/>
    <w:rsid w:val="00E712C4"/>
    <w:rsid w:val="00E72302"/>
    <w:rsid w:val="00E72A33"/>
    <w:rsid w:val="00E73337"/>
    <w:rsid w:val="00E74859"/>
    <w:rsid w:val="00E768AE"/>
    <w:rsid w:val="00E76D0B"/>
    <w:rsid w:val="00E876EF"/>
    <w:rsid w:val="00E900BD"/>
    <w:rsid w:val="00E90A38"/>
    <w:rsid w:val="00E93F72"/>
    <w:rsid w:val="00E95259"/>
    <w:rsid w:val="00EA39ED"/>
    <w:rsid w:val="00EA53AA"/>
    <w:rsid w:val="00EA6186"/>
    <w:rsid w:val="00EA672A"/>
    <w:rsid w:val="00EA7F50"/>
    <w:rsid w:val="00EB4065"/>
    <w:rsid w:val="00EB52E5"/>
    <w:rsid w:val="00EC1719"/>
    <w:rsid w:val="00EC1A1F"/>
    <w:rsid w:val="00EC425A"/>
    <w:rsid w:val="00EC5D45"/>
    <w:rsid w:val="00ED1F65"/>
    <w:rsid w:val="00ED3970"/>
    <w:rsid w:val="00ED7E29"/>
    <w:rsid w:val="00EE3ABC"/>
    <w:rsid w:val="00F05D8A"/>
    <w:rsid w:val="00F05DCB"/>
    <w:rsid w:val="00F0710A"/>
    <w:rsid w:val="00F07CA1"/>
    <w:rsid w:val="00F07FA0"/>
    <w:rsid w:val="00F120BD"/>
    <w:rsid w:val="00F31693"/>
    <w:rsid w:val="00F319EA"/>
    <w:rsid w:val="00F369EF"/>
    <w:rsid w:val="00F4061D"/>
    <w:rsid w:val="00F413F7"/>
    <w:rsid w:val="00F42FB3"/>
    <w:rsid w:val="00F52D92"/>
    <w:rsid w:val="00F61490"/>
    <w:rsid w:val="00F65E23"/>
    <w:rsid w:val="00F65F44"/>
    <w:rsid w:val="00F66F03"/>
    <w:rsid w:val="00F71A4F"/>
    <w:rsid w:val="00F729A1"/>
    <w:rsid w:val="00F77B5B"/>
    <w:rsid w:val="00F8190E"/>
    <w:rsid w:val="00F8704B"/>
    <w:rsid w:val="00F94F6B"/>
    <w:rsid w:val="00F95BFD"/>
    <w:rsid w:val="00FA182D"/>
    <w:rsid w:val="00FA5346"/>
    <w:rsid w:val="00FB162B"/>
    <w:rsid w:val="00FB49A7"/>
    <w:rsid w:val="00FB6BD3"/>
    <w:rsid w:val="00FC1A60"/>
    <w:rsid w:val="00FC1AE2"/>
    <w:rsid w:val="00FC2545"/>
    <w:rsid w:val="00FC4AAC"/>
    <w:rsid w:val="00FC5E0F"/>
    <w:rsid w:val="00FC7264"/>
    <w:rsid w:val="00FC73A5"/>
    <w:rsid w:val="00FD37C8"/>
    <w:rsid w:val="00FD6CDC"/>
    <w:rsid w:val="00FD7139"/>
    <w:rsid w:val="00FE226E"/>
    <w:rsid w:val="00FE5CEA"/>
    <w:rsid w:val="00FE64B0"/>
    <w:rsid w:val="00FF2059"/>
    <w:rsid w:val="00FF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FC60B56"/>
  <w15:docId w15:val="{5510A7E4-2C86-4581-9B1E-548F93AF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2F63"/>
  </w:style>
  <w:style w:type="paragraph" w:styleId="Footer">
    <w:name w:val="footer"/>
    <w:basedOn w:val="Normal"/>
    <w:link w:val="FooterChar"/>
    <w:uiPriority w:val="99"/>
    <w:unhideWhenUsed/>
    <w:rsid w:val="00DD2F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2F63"/>
  </w:style>
  <w:style w:type="paragraph" w:styleId="BalloonText">
    <w:name w:val="Balloon Text"/>
    <w:basedOn w:val="Normal"/>
    <w:link w:val="BalloonTextChar"/>
    <w:uiPriority w:val="99"/>
    <w:semiHidden/>
    <w:unhideWhenUsed/>
    <w:rsid w:val="00B8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47"/>
    <w:rPr>
      <w:rFonts w:ascii="Segoe UI" w:hAnsi="Segoe UI" w:cs="Segoe UI"/>
      <w:sz w:val="18"/>
      <w:szCs w:val="18"/>
    </w:rPr>
  </w:style>
  <w:style w:type="character" w:styleId="CommentReference">
    <w:name w:val="annotation reference"/>
    <w:basedOn w:val="DefaultParagraphFont"/>
    <w:uiPriority w:val="99"/>
    <w:semiHidden/>
    <w:unhideWhenUsed/>
    <w:rsid w:val="00376C57"/>
    <w:rPr>
      <w:sz w:val="16"/>
      <w:szCs w:val="16"/>
    </w:rPr>
  </w:style>
  <w:style w:type="paragraph" w:styleId="CommentText">
    <w:name w:val="annotation text"/>
    <w:basedOn w:val="Normal"/>
    <w:link w:val="CommentTextChar"/>
    <w:uiPriority w:val="99"/>
    <w:semiHidden/>
    <w:unhideWhenUsed/>
    <w:rsid w:val="00376C57"/>
    <w:pPr>
      <w:spacing w:line="240" w:lineRule="auto"/>
    </w:pPr>
    <w:rPr>
      <w:sz w:val="20"/>
      <w:szCs w:val="20"/>
    </w:rPr>
  </w:style>
  <w:style w:type="character" w:customStyle="1" w:styleId="CommentTextChar">
    <w:name w:val="Comment Text Char"/>
    <w:basedOn w:val="DefaultParagraphFont"/>
    <w:link w:val="CommentText"/>
    <w:uiPriority w:val="99"/>
    <w:semiHidden/>
    <w:rsid w:val="00376C57"/>
    <w:rPr>
      <w:sz w:val="20"/>
      <w:szCs w:val="20"/>
    </w:rPr>
  </w:style>
  <w:style w:type="paragraph" w:styleId="CommentSubject">
    <w:name w:val="annotation subject"/>
    <w:basedOn w:val="CommentText"/>
    <w:next w:val="CommentText"/>
    <w:link w:val="CommentSubjectChar"/>
    <w:uiPriority w:val="99"/>
    <w:semiHidden/>
    <w:unhideWhenUsed/>
    <w:rsid w:val="00376C57"/>
    <w:rPr>
      <w:b/>
      <w:bCs/>
    </w:rPr>
  </w:style>
  <w:style w:type="character" w:customStyle="1" w:styleId="CommentSubjectChar">
    <w:name w:val="Comment Subject Char"/>
    <w:basedOn w:val="CommentTextChar"/>
    <w:link w:val="CommentSubject"/>
    <w:uiPriority w:val="99"/>
    <w:semiHidden/>
    <w:rsid w:val="00376C57"/>
    <w:rPr>
      <w:b/>
      <w:bCs/>
      <w:sz w:val="20"/>
      <w:szCs w:val="20"/>
    </w:rPr>
  </w:style>
  <w:style w:type="paragraph" w:styleId="NormalWeb">
    <w:name w:val="Normal (Web)"/>
    <w:basedOn w:val="Normal"/>
    <w:uiPriority w:val="99"/>
    <w:unhideWhenUsed/>
    <w:rsid w:val="004804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8045E"/>
    <w:rPr>
      <w:b/>
      <w:bCs/>
    </w:rPr>
  </w:style>
  <w:style w:type="character" w:styleId="Hyperlink">
    <w:name w:val="Hyperlink"/>
    <w:basedOn w:val="DefaultParagraphFont"/>
    <w:uiPriority w:val="99"/>
    <w:unhideWhenUsed/>
    <w:rsid w:val="005A228C"/>
    <w:rPr>
      <w:color w:val="0563C1" w:themeColor="hyperlink"/>
      <w:u w:val="single"/>
    </w:rPr>
  </w:style>
  <w:style w:type="character" w:styleId="FollowedHyperlink">
    <w:name w:val="FollowedHyperlink"/>
    <w:basedOn w:val="DefaultParagraphFont"/>
    <w:uiPriority w:val="99"/>
    <w:semiHidden/>
    <w:unhideWhenUsed/>
    <w:rsid w:val="00705C60"/>
    <w:rPr>
      <w:color w:val="954F72" w:themeColor="followedHyperlink"/>
      <w:u w:val="single"/>
    </w:rPr>
  </w:style>
  <w:style w:type="paragraph" w:styleId="ListParagraph">
    <w:name w:val="List Paragraph"/>
    <w:basedOn w:val="Normal"/>
    <w:uiPriority w:val="34"/>
    <w:qFormat/>
    <w:rsid w:val="00293FE4"/>
    <w:pPr>
      <w:spacing w:after="0" w:line="240" w:lineRule="auto"/>
      <w:ind w:left="720" w:firstLine="851"/>
      <w:contextualSpacing/>
      <w:jc w:val="both"/>
    </w:pPr>
    <w:rPr>
      <w:rFonts w:ascii="Times New Roman" w:hAnsi="Times New Roman" w:cs="Times New Roman"/>
      <w:sz w:val="24"/>
      <w:szCs w:val="24"/>
    </w:rPr>
  </w:style>
  <w:style w:type="character" w:customStyle="1" w:styleId="footer-left-span1">
    <w:name w:val="footer-left-span1"/>
    <w:basedOn w:val="DefaultParagraphFont"/>
    <w:rsid w:val="005A3CF8"/>
    <w:rPr>
      <w:vanish w:val="0"/>
      <w:webHidden w:val="0"/>
      <w:specVanish w:val="0"/>
    </w:rPr>
  </w:style>
  <w:style w:type="paragraph" w:styleId="PlainText">
    <w:name w:val="Plain Text"/>
    <w:basedOn w:val="Normal"/>
    <w:link w:val="PlainTextChar"/>
    <w:uiPriority w:val="99"/>
    <w:unhideWhenUsed/>
    <w:rsid w:val="00CB124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B124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3270">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41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kasmetiniu-atostogu-ismoku-fiksuotuju-normu-nustatymo-tyrimo-ataska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15EA-CC62-478D-971B-3EAF02F6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18142</Words>
  <Characters>10342</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Kristina Marceliene</cp:lastModifiedBy>
  <cp:revision>9</cp:revision>
  <cp:lastPrinted>2017-09-08T07:40:00Z</cp:lastPrinted>
  <dcterms:created xsi:type="dcterms:W3CDTF">2017-09-12T08:39:00Z</dcterms:created>
  <dcterms:modified xsi:type="dcterms:W3CDTF">2017-09-27T08:43:00Z</dcterms:modified>
</cp:coreProperties>
</file>