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B9" w:rsidRPr="00FA03B9" w:rsidRDefault="00700649" w:rsidP="00700649">
      <w:pPr>
        <w:pStyle w:val="Antrat1"/>
      </w:pPr>
      <w:bookmarkStart w:id="0" w:name="_Toc493513160"/>
      <w:r w:rsidRPr="00FA03B9">
        <w:t xml:space="preserve">MOKSLINIŲ TYRIMŲ IR EKSPERIMENTINĖS PLĖTROS FINANSAVIMO 2014–2020 METŲ EUROPOS SĄJUNGOS STRUKTŪRINIŲ FONDŲ LĖŠOMIS IŠANKSTINIS VERTINIMO </w:t>
      </w:r>
      <w:r>
        <w:t xml:space="preserve">ATASKAITOS </w:t>
      </w:r>
      <w:r w:rsidRPr="00FA03B9">
        <w:t>SANTRAUKA</w:t>
      </w:r>
      <w:bookmarkEnd w:id="0"/>
    </w:p>
    <w:p w:rsidR="00FA03B9" w:rsidRPr="006530D9" w:rsidRDefault="00FA03B9" w:rsidP="00FA03B9">
      <w:pPr>
        <w:spacing w:before="240" w:after="240"/>
        <w:ind w:firstLine="709"/>
      </w:pPr>
      <w:r w:rsidRPr="006530D9">
        <w:t xml:space="preserve">Finansinės priemonės </w:t>
      </w:r>
      <w:r>
        <w:t xml:space="preserve">(toliau – </w:t>
      </w:r>
      <w:r w:rsidRPr="008B57D1">
        <w:t>FP</w:t>
      </w:r>
      <w:r>
        <w:t xml:space="preserve">) </w:t>
      </w:r>
      <w:r w:rsidRPr="006530D9">
        <w:t>– tai būdas panaudoti ribotus valstybės biudžeto išteklius, teikiant ne vienkartines negrąžinamas subsidijas įmonėms, o skolinant lėšas, investuojant jas į įmonių kapitalą, teikiant garantijas. FP privalumas – „atsinaujinančios“ lėšos, t. y. paskolinus ar investavus FP skirtas lėšas, dalis jų sugrįžta ir gali būti dar kartą panaudojamos tiems patiems tikslams, tokiu būdu naudojant tas pačias lėšas didesniam subjektų skaičiui suteikti finansavimą.</w:t>
      </w:r>
    </w:p>
    <w:p w:rsidR="00FA03B9" w:rsidRPr="00A23A64" w:rsidRDefault="00FA03B9" w:rsidP="00FA03B9">
      <w:pPr>
        <w:spacing w:before="240"/>
        <w:ind w:firstLine="709"/>
        <w:rPr>
          <w:highlight w:val="yellow"/>
        </w:rPr>
      </w:pPr>
      <w:r w:rsidRPr="006530D9">
        <w:rPr>
          <w:rFonts w:cs="Times New Roman"/>
        </w:rPr>
        <w:t xml:space="preserve">Prieš skiriant lėšas konkrečiai </w:t>
      </w:r>
      <w:r w:rsidRPr="006530D9">
        <w:rPr>
          <w:rFonts w:eastAsia="Times New Roman" w:cs="Times New Roman"/>
        </w:rPr>
        <w:t>Lietuvos 2014–2020 m. ES fondų investicijų veiksmų programos</w:t>
      </w:r>
      <w:r>
        <w:rPr>
          <w:rFonts w:eastAsia="Times New Roman" w:cs="Times New Roman"/>
        </w:rPr>
        <w:t xml:space="preserve"> (toliau – VP)</w:t>
      </w:r>
      <w:r w:rsidRPr="006530D9">
        <w:rPr>
          <w:rFonts w:cs="Times New Roman"/>
        </w:rPr>
        <w:t xml:space="preserve"> prioriteto įgyvendinimo priemonei, įgyvendinant FP, vadovaujantis </w:t>
      </w:r>
      <w:r w:rsidRPr="006530D9">
        <w:rPr>
          <w:rFonts w:cs="Times New Roman"/>
          <w:color w:val="000000" w:themeColor="text1"/>
        </w:rPr>
        <w:t xml:space="preserve">Reglamento (ES) Nr. 1303/2013, </w:t>
      </w:r>
      <w:r w:rsidRPr="006530D9">
        <w:rPr>
          <w:rFonts w:cs="Times New Roman"/>
        </w:rPr>
        <w:t>37</w:t>
      </w:r>
      <w:r>
        <w:rPr>
          <w:rFonts w:cs="Times New Roman"/>
        </w:rPr>
        <w:t> </w:t>
      </w:r>
      <w:r w:rsidRPr="006530D9">
        <w:rPr>
          <w:rFonts w:cs="Times New Roman"/>
        </w:rPr>
        <w:t xml:space="preserve">straipsnio reikalavimais, būtina atlikti išankstinį vertinimą. Atliekant šį vertinimą </w:t>
      </w:r>
      <w:r>
        <w:rPr>
          <w:rFonts w:cs="Times New Roman"/>
        </w:rPr>
        <w:t xml:space="preserve">buvo </w:t>
      </w:r>
      <w:r w:rsidRPr="006530D9">
        <w:rPr>
          <w:rFonts w:cs="Times New Roman"/>
        </w:rPr>
        <w:t>nustat</w:t>
      </w:r>
      <w:r>
        <w:rPr>
          <w:rFonts w:cs="Times New Roman"/>
        </w:rPr>
        <w:t>yti</w:t>
      </w:r>
      <w:r w:rsidRPr="006530D9">
        <w:rPr>
          <w:rFonts w:cs="Times New Roman"/>
        </w:rPr>
        <w:t xml:space="preserve"> rinkos trūkumai arba nepakankamos investavimo apimtys ir apskaičiuo</w:t>
      </w:r>
      <w:r>
        <w:rPr>
          <w:rFonts w:cs="Times New Roman"/>
        </w:rPr>
        <w:t>tas</w:t>
      </w:r>
      <w:r w:rsidRPr="006530D9">
        <w:rPr>
          <w:rFonts w:cs="Times New Roman"/>
        </w:rPr>
        <w:t xml:space="preserve"> viešųjų investicijų poreikio mastas bei apimtis, įskaitant finansuotinos FP tipą.</w:t>
      </w:r>
    </w:p>
    <w:p w:rsidR="00FA03B9" w:rsidRDefault="00FA03B9" w:rsidP="00FA03B9">
      <w:pPr>
        <w:spacing w:before="240"/>
        <w:ind w:firstLine="709"/>
      </w:pPr>
      <w:r w:rsidRPr="006530D9">
        <w:t xml:space="preserve">Pagrindinis vertinimo tikslas – pateikti įrodymus, kad planuojama FP bus nukreipta nustatytam rinkos nepakankamumui (efektyvios priemonės, skirtos </w:t>
      </w:r>
      <w:r>
        <w:t xml:space="preserve">mokslo ir studijų institucijoms (toliau – </w:t>
      </w:r>
      <w:r w:rsidRPr="006530D9">
        <w:t>MSI</w:t>
      </w:r>
      <w:r>
        <w:t xml:space="preserve">) </w:t>
      </w:r>
      <w:r w:rsidRPr="006530D9">
        <w:t>sukurtų</w:t>
      </w:r>
      <w:r>
        <w:t xml:space="preserve"> mokslinių tyrimų </w:t>
      </w:r>
      <w:proofErr w:type="gramStart"/>
      <w:r>
        <w:t>ir eksperimentinės plėtros ir inovacijų</w:t>
      </w:r>
      <w:proofErr w:type="gramEnd"/>
      <w:r w:rsidRPr="006530D9">
        <w:t xml:space="preserve"> </w:t>
      </w:r>
      <w:r>
        <w:t xml:space="preserve">(toliau – </w:t>
      </w:r>
      <w:r w:rsidRPr="006530D9">
        <w:t>MTEPI</w:t>
      </w:r>
      <w:r>
        <w:t>)</w:t>
      </w:r>
      <w:r w:rsidRPr="006530D9">
        <w:t xml:space="preserve"> rezultatų </w:t>
      </w:r>
      <w:proofErr w:type="spellStart"/>
      <w:r w:rsidRPr="006530D9">
        <w:t>komercinimui</w:t>
      </w:r>
      <w:proofErr w:type="spellEnd"/>
      <w:r w:rsidRPr="006530D9">
        <w:t>, trūkumui) išspręsti ir užtikrins, kad FP prisidės prie V</w:t>
      </w:r>
      <w:r>
        <w:t>P</w:t>
      </w:r>
      <w:r w:rsidRPr="006530D9">
        <w:t xml:space="preserve"> ir ES </w:t>
      </w:r>
      <w:r>
        <w:t>struktūrinių fondų</w:t>
      </w:r>
      <w:r w:rsidRPr="006530D9">
        <w:t xml:space="preserve"> tikslų įgyvendinimo. </w:t>
      </w:r>
    </w:p>
    <w:p w:rsidR="00FA03B9" w:rsidRPr="006530D9" w:rsidRDefault="00FA03B9" w:rsidP="00FA03B9">
      <w:pPr>
        <w:spacing w:before="240"/>
        <w:ind w:firstLine="709"/>
      </w:pPr>
      <w:r w:rsidRPr="006530D9">
        <w:rPr>
          <w:rFonts w:cs="Times New Roman"/>
          <w:noProof/>
        </w:rPr>
        <w:t>Šis vertinimas buvo atliktas vadovaujantis E</w:t>
      </w:r>
      <w:r w:rsidR="00700649">
        <w:rPr>
          <w:rFonts w:cs="Times New Roman"/>
          <w:noProof/>
        </w:rPr>
        <w:t xml:space="preserve">uropos </w:t>
      </w:r>
      <w:r w:rsidRPr="006530D9">
        <w:rPr>
          <w:rFonts w:cs="Times New Roman"/>
          <w:noProof/>
        </w:rPr>
        <w:t>K</w:t>
      </w:r>
      <w:r w:rsidR="00700649">
        <w:rPr>
          <w:rFonts w:cs="Times New Roman"/>
          <w:noProof/>
        </w:rPr>
        <w:t>omisijos</w:t>
      </w:r>
      <w:r w:rsidRPr="006530D9">
        <w:rPr>
          <w:rFonts w:cs="Times New Roman"/>
          <w:noProof/>
        </w:rPr>
        <w:t xml:space="preserve"> ir E</w:t>
      </w:r>
      <w:r w:rsidR="00700649">
        <w:rPr>
          <w:rFonts w:cs="Times New Roman"/>
          <w:noProof/>
        </w:rPr>
        <w:t xml:space="preserve">uropos investicijų banko </w:t>
      </w:r>
      <w:r w:rsidRPr="006530D9">
        <w:rPr>
          <w:rFonts w:cs="Times New Roman"/>
          <w:noProof/>
        </w:rPr>
        <w:t xml:space="preserve">užsakymu PriceWaterHouse Coopers </w:t>
      </w:r>
      <w:r w:rsidRPr="00E32D2C">
        <w:rPr>
          <w:rFonts w:cs="Times New Roman"/>
          <w:noProof/>
        </w:rPr>
        <w:t>(</w:t>
      </w:r>
      <w:r w:rsidR="00E32D2C" w:rsidRPr="00E32D2C">
        <w:rPr>
          <w:rFonts w:cs="Times New Roman"/>
          <w:noProof/>
        </w:rPr>
        <w:t xml:space="preserve">toliau – </w:t>
      </w:r>
      <w:r w:rsidRPr="00E32D2C">
        <w:rPr>
          <w:rFonts w:cs="Times New Roman"/>
          <w:noProof/>
        </w:rPr>
        <w:t>PwC) parengta</w:t>
      </w:r>
      <w:r w:rsidRPr="006530D9">
        <w:rPr>
          <w:rFonts w:cs="Times New Roman"/>
          <w:noProof/>
        </w:rPr>
        <w:t xml:space="preserve"> </w:t>
      </w:r>
      <w:r w:rsidRPr="006530D9">
        <w:rPr>
          <w:rFonts w:cs="Times New Roman"/>
        </w:rPr>
        <w:t>„</w:t>
      </w:r>
      <w:r w:rsidRPr="006530D9">
        <w:rPr>
          <w:rFonts w:cs="Times New Roman"/>
          <w:noProof/>
        </w:rPr>
        <w:t>Išankstinio vertinimo metodologija finansinėms priemonėms 2014–2020 m. programavimo laikotarpiu“ metodologija</w:t>
      </w:r>
      <w:r w:rsidR="0090221B">
        <w:rPr>
          <w:rFonts w:cs="Times New Roman"/>
          <w:noProof/>
        </w:rPr>
        <w:t xml:space="preserve"> (toliau – metodologija)</w:t>
      </w:r>
      <w:r w:rsidRPr="006530D9">
        <w:rPr>
          <w:rFonts w:cs="Times New Roman"/>
          <w:noProof/>
        </w:rPr>
        <w:t>.</w:t>
      </w:r>
    </w:p>
    <w:p w:rsidR="00FA03B9" w:rsidRDefault="00FA03B9" w:rsidP="00FA03B9">
      <w:pPr>
        <w:spacing w:before="240"/>
        <w:ind w:firstLine="709"/>
        <w:rPr>
          <w:rFonts w:cs="Times New Roman"/>
          <w:i/>
          <w:noProof/>
        </w:rPr>
      </w:pPr>
      <w:r w:rsidRPr="001B4E98">
        <w:rPr>
          <w:rFonts w:cs="Times New Roman"/>
          <w:noProof/>
        </w:rPr>
        <w:t xml:space="preserve">Vertinimo proceso koordinavimui ir vertinimo atlikimui FM 2014 m. birželio 26 d. įsakymu </w:t>
      </w:r>
      <w:r w:rsidRPr="001B4E98">
        <w:t>1K-195 „Dėl darbo grupės sudarymo“</w:t>
      </w:r>
      <w:r w:rsidRPr="001B4E98">
        <w:rPr>
          <w:rFonts w:cs="Times New Roman"/>
          <w:noProof/>
        </w:rPr>
        <w:t xml:space="preserve"> sudarė išankstinio vertinimo darbo grupę (toliau – darbo grupė),</w:t>
      </w:r>
      <w:r>
        <w:rPr>
          <w:rFonts w:cs="Times New Roman"/>
          <w:noProof/>
        </w:rPr>
        <w:t xml:space="preserve"> kurios sudėtis atnaujinta Finansų ministro 2017 m. liepos 20 d. įsakymu Nr. 1K-280. Darbo grupę sudaro</w:t>
      </w:r>
      <w:r w:rsidRPr="001B4E98">
        <w:rPr>
          <w:rFonts w:cs="Times New Roman"/>
          <w:noProof/>
        </w:rPr>
        <w:t xml:space="preserve"> F</w:t>
      </w:r>
      <w:r>
        <w:rPr>
          <w:rFonts w:cs="Times New Roman"/>
          <w:noProof/>
        </w:rPr>
        <w:t>inansų</w:t>
      </w:r>
      <w:r w:rsidRPr="001B4E98">
        <w:rPr>
          <w:rFonts w:cs="Times New Roman"/>
          <w:noProof/>
        </w:rPr>
        <w:t>, Ū</w:t>
      </w:r>
      <w:r>
        <w:rPr>
          <w:rFonts w:cs="Times New Roman"/>
          <w:noProof/>
        </w:rPr>
        <w:t>kio</w:t>
      </w:r>
      <w:r w:rsidRPr="001B4E98">
        <w:rPr>
          <w:rFonts w:cs="Times New Roman"/>
          <w:noProof/>
        </w:rPr>
        <w:t xml:space="preserve">, </w:t>
      </w:r>
      <w:r>
        <w:rPr>
          <w:rFonts w:cs="Times New Roman"/>
          <w:noProof/>
        </w:rPr>
        <w:t>Socialinės apsaugos ir darbo</w:t>
      </w:r>
      <w:r w:rsidRPr="001B4E98">
        <w:rPr>
          <w:rFonts w:cs="Times New Roman"/>
          <w:noProof/>
        </w:rPr>
        <w:t xml:space="preserve">, </w:t>
      </w:r>
      <w:r>
        <w:rPr>
          <w:rFonts w:cs="Times New Roman"/>
          <w:noProof/>
        </w:rPr>
        <w:t>Švietimo ir mokslo ministerijų</w:t>
      </w:r>
      <w:r w:rsidRPr="001B4E98">
        <w:rPr>
          <w:rFonts w:cs="Times New Roman"/>
          <w:noProof/>
        </w:rPr>
        <w:t xml:space="preserve"> ir </w:t>
      </w:r>
      <w:r>
        <w:rPr>
          <w:rFonts w:cs="Times New Roman"/>
          <w:noProof/>
        </w:rPr>
        <w:t>UAB „Investicijų ir verslo garantijos“</w:t>
      </w:r>
      <w:r w:rsidRPr="001B4E98">
        <w:rPr>
          <w:rFonts w:cs="Times New Roman"/>
          <w:noProof/>
        </w:rPr>
        <w:t xml:space="preserve"> atstovai, taip pat darbo grupės posėdžiuose buvo kviečiami dalyvauti ir socialinių–ekonominių partnerių (</w:t>
      </w:r>
      <w:r w:rsidRPr="008B57D1">
        <w:rPr>
          <w:rFonts w:cs="Times New Roman"/>
          <w:noProof/>
        </w:rPr>
        <w:t xml:space="preserve">Lietuvos banko asociacijos, </w:t>
      </w:r>
      <w:r w:rsidRPr="0004164C">
        <w:rPr>
          <w:rFonts w:cs="Times New Roman"/>
          <w:noProof/>
        </w:rPr>
        <w:t xml:space="preserve">Lietuvos rizikos kapitalo asociacijos, Lietuvos banko, </w:t>
      </w:r>
      <w:r w:rsidRPr="0004164C">
        <w:t>Lietuvos inovacijų centro, Mokslo ir studijų stebėsenos ir analizės centro, Lietuvos verslo paramos agentūros</w:t>
      </w:r>
      <w:r w:rsidRPr="0004164C">
        <w:rPr>
          <w:rFonts w:cs="Times New Roman"/>
        </w:rPr>
        <w:t>, asociacijos „</w:t>
      </w:r>
      <w:r w:rsidRPr="008B57D1">
        <w:rPr>
          <w:rFonts w:cs="Times New Roman"/>
        </w:rPr>
        <w:t xml:space="preserve">Žinių ekonomikos forumas“, Mokslo, inovacijų ir technologijų agentūros, Lietuvos pramonininkų konfederacijos, Lietuvos prekybos, pramonės ir amatų rūmų asociacijos, Lietuvos verslo darbdavių konfederacijos bei </w:t>
      </w:r>
      <w:r w:rsidRPr="008B57D1">
        <w:t>Lietuvos verslo konfederacijos</w:t>
      </w:r>
      <w:r w:rsidRPr="008B57D1">
        <w:rPr>
          <w:rFonts w:cs="Times New Roman"/>
        </w:rPr>
        <w:t xml:space="preserve"> </w:t>
      </w:r>
      <w:r w:rsidRPr="008B57D1">
        <w:rPr>
          <w:rFonts w:cs="Times New Roman"/>
          <w:noProof/>
        </w:rPr>
        <w:t>Vilniaus universiteto, Kauno technologijų universiteto</w:t>
      </w:r>
      <w:r>
        <w:rPr>
          <w:rFonts w:cs="Times New Roman"/>
          <w:noProof/>
        </w:rPr>
        <w:t>,</w:t>
      </w:r>
      <w:r w:rsidRPr="008B57D1">
        <w:rPr>
          <w:rFonts w:cs="Times New Roman"/>
          <w:noProof/>
        </w:rPr>
        <w:t xml:space="preserve"> Nacionalinio</w:t>
      </w:r>
      <w:r>
        <w:rPr>
          <w:rFonts w:cs="Times New Roman"/>
          <w:noProof/>
        </w:rPr>
        <w:t xml:space="preserve"> </w:t>
      </w:r>
      <w:r w:rsidRPr="008B57D1">
        <w:rPr>
          <w:rFonts w:cs="Times New Roman"/>
          <w:noProof/>
        </w:rPr>
        <w:t>fizinių ir technologinių mokslų centro bei VšĮ „Versli Lietuva“ atstovai</w:t>
      </w:r>
      <w:r w:rsidRPr="001B4E98">
        <w:rPr>
          <w:rFonts w:cs="Times New Roman"/>
          <w:noProof/>
        </w:rPr>
        <w:t xml:space="preserve">), </w:t>
      </w:r>
      <w:r w:rsidRPr="0009602E">
        <w:rPr>
          <w:rFonts w:cs="Times New Roman"/>
          <w:noProof/>
        </w:rPr>
        <w:t>kurių pasiūlymai buvo panaudoti atliekant vertinimą</w:t>
      </w:r>
      <w:r w:rsidRPr="001B4E98">
        <w:rPr>
          <w:rFonts w:cs="Times New Roman"/>
          <w:i/>
          <w:noProof/>
        </w:rPr>
        <w:t>.</w:t>
      </w:r>
    </w:p>
    <w:p w:rsidR="00E32D2C" w:rsidRDefault="00E32D2C" w:rsidP="00FA03B9">
      <w:pPr>
        <w:spacing w:before="240"/>
        <w:ind w:firstLine="709"/>
        <w:rPr>
          <w:rFonts w:cs="Times New Roman"/>
          <w:noProof/>
          <w:highlight w:val="yellow"/>
        </w:rPr>
      </w:pPr>
      <w:r w:rsidRPr="00826477">
        <w:t xml:space="preserve">Siekiant identifikuoti rinkos poreikius, buvo atlikta Lietuvoje veikiančių pradedančiųjų įmonių, kurios vykdo MTEPI veiklas, MSI, </w:t>
      </w:r>
      <w:r>
        <w:t>rizikos kapitalo fondų</w:t>
      </w:r>
      <w:r w:rsidRPr="00826477">
        <w:t xml:space="preserve"> ir </w:t>
      </w:r>
      <w:r w:rsidRPr="00B6254D">
        <w:t>L</w:t>
      </w:r>
      <w:r>
        <w:t xml:space="preserve">ietuvos rizikos ir privataus kapitalo asociacijos </w:t>
      </w:r>
      <w:r w:rsidRPr="00826477">
        <w:t>atstovų apklausa.</w:t>
      </w:r>
      <w:r w:rsidRPr="00B6254D">
        <w:t xml:space="preserve"> </w:t>
      </w:r>
      <w:r w:rsidRPr="00826477">
        <w:t xml:space="preserve">Apklausos rezultatai </w:t>
      </w:r>
      <w:r>
        <w:t>pa</w:t>
      </w:r>
      <w:r w:rsidRPr="00826477">
        <w:t>rod</w:t>
      </w:r>
      <w:r>
        <w:t>ė</w:t>
      </w:r>
      <w:r w:rsidRPr="00826477">
        <w:t xml:space="preserve">, kad MTEPI veiklos rezultatų </w:t>
      </w:r>
      <w:proofErr w:type="spellStart"/>
      <w:r w:rsidRPr="00826477">
        <w:t>komercinimui</w:t>
      </w:r>
      <w:proofErr w:type="spellEnd"/>
      <w:r w:rsidRPr="00826477">
        <w:t xml:space="preserve"> reikalingas papildomas finansavimas, tačiau jį gauti sudėtinga</w:t>
      </w:r>
      <w:r>
        <w:t>.</w:t>
      </w:r>
      <w:r w:rsidR="00CF1A2A">
        <w:t xml:space="preserve"> </w:t>
      </w:r>
    </w:p>
    <w:p w:rsidR="00FA03B9" w:rsidRDefault="00FA03B9" w:rsidP="00FA03B9">
      <w:pPr>
        <w:spacing w:before="240" w:after="240"/>
        <w:ind w:firstLine="709"/>
        <w:rPr>
          <w:color w:val="000000" w:themeColor="text1"/>
        </w:rPr>
      </w:pPr>
      <w:r w:rsidRPr="007B2D21">
        <w:rPr>
          <w:color w:val="000000" w:themeColor="text1"/>
        </w:rPr>
        <w:t xml:space="preserve">MTEPI veiklos rezultatus </w:t>
      </w:r>
      <w:proofErr w:type="spellStart"/>
      <w:r w:rsidRPr="007B2D21">
        <w:rPr>
          <w:color w:val="000000" w:themeColor="text1"/>
        </w:rPr>
        <w:t>komercina</w:t>
      </w:r>
      <w:r>
        <w:rPr>
          <w:color w:val="000000" w:themeColor="text1"/>
        </w:rPr>
        <w:t>n</w:t>
      </w:r>
      <w:r w:rsidRPr="007B2D21">
        <w:rPr>
          <w:color w:val="000000" w:themeColor="text1"/>
        </w:rPr>
        <w:t>čių</w:t>
      </w:r>
      <w:proofErr w:type="spellEnd"/>
      <w:r w:rsidRPr="007B2D21">
        <w:rPr>
          <w:color w:val="000000" w:themeColor="text1"/>
        </w:rPr>
        <w:t xml:space="preserve"> dalyvių apklausa parodė, kad finans</w:t>
      </w:r>
      <w:r>
        <w:rPr>
          <w:color w:val="000000" w:themeColor="text1"/>
        </w:rPr>
        <w:t>avimo poreikis yra 10 mln. EUR.</w:t>
      </w:r>
    </w:p>
    <w:p w:rsidR="00FA03B9" w:rsidRPr="00700649" w:rsidRDefault="0090221B" w:rsidP="0090221B">
      <w:pPr>
        <w:pStyle w:val="Antrat"/>
      </w:pPr>
      <w:r w:rsidRPr="00700649">
        <w:t>Ko-investicinis fondas MTEPI (bendrai investuojanti FP)įgyvendinimo strategija</w:t>
      </w:r>
    </w:p>
    <w:p w:rsidR="0090221B" w:rsidRPr="00700649" w:rsidDel="00C43F46" w:rsidRDefault="0090221B" w:rsidP="0090221B">
      <w:pPr>
        <w:rPr>
          <w:rFonts w:cs="Times New Roman"/>
        </w:rPr>
      </w:pP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>Preliminariai skiriama valstybės lėšų suma (su valdymo mokesčiais (išlaidomis)), mln. EUR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Iki 5, su galimybe padidinti iki 10</w:t>
            </w:r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>Finansavimo šaltiniai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00649">
              <w:rPr>
                <w:rFonts w:ascii="Times New Roman" w:eastAsia="Times New Roman" w:hAnsi="Times New Roman" w:cs="Times New Roman"/>
                <w:lang w:val="lt-LT" w:eastAsia="lt-LT"/>
              </w:rPr>
              <w:t>ES SF lėšos</w:t>
            </w:r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right="-108"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Privačios lėšos, proc. 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iki 10 proc.*</w:t>
            </w:r>
            <w:proofErr w:type="gramStart"/>
            <w:r w:rsidRPr="00700649">
              <w:rPr>
                <w:rFonts w:ascii="Times New Roman" w:hAnsi="Times New Roman" w:cs="Times New Roman"/>
                <w:lang w:val="lt-LT"/>
              </w:rPr>
              <w:t xml:space="preserve">  </w:t>
            </w:r>
            <w:proofErr w:type="gramEnd"/>
          </w:p>
        </w:tc>
      </w:tr>
      <w:tr w:rsidR="00700649" w:rsidRPr="00700649" w:rsidTr="006A7363">
        <w:trPr>
          <w:trHeight w:val="318"/>
        </w:trPr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00649">
              <w:rPr>
                <w:rFonts w:ascii="Times New Roman" w:hAnsi="Times New Roman" w:cs="Times New Roman"/>
                <w:b/>
              </w:rPr>
              <w:t xml:space="preserve">MSI </w:t>
            </w:r>
            <w:proofErr w:type="spellStart"/>
            <w:r w:rsidRPr="00700649">
              <w:rPr>
                <w:rFonts w:ascii="Times New Roman" w:hAnsi="Times New Roman" w:cs="Times New Roman"/>
                <w:b/>
              </w:rPr>
              <w:t>įnašas</w:t>
            </w:r>
            <w:proofErr w:type="spellEnd"/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00649">
              <w:rPr>
                <w:rFonts w:ascii="Times New Roman" w:hAnsi="Times New Roman" w:cs="Times New Roman"/>
              </w:rPr>
              <w:t>apytiksliai</w:t>
            </w:r>
            <w:proofErr w:type="spellEnd"/>
            <w:r w:rsidRPr="00700649">
              <w:rPr>
                <w:rFonts w:ascii="Times New Roman" w:hAnsi="Times New Roman" w:cs="Times New Roman"/>
              </w:rPr>
              <w:t xml:space="preserve"> 5 proc. </w:t>
            </w:r>
            <w:proofErr w:type="spellStart"/>
            <w:r w:rsidRPr="00700649">
              <w:rPr>
                <w:rFonts w:ascii="Times New Roman" w:hAnsi="Times New Roman" w:cs="Times New Roman"/>
              </w:rPr>
              <w:t>naujos</w:t>
            </w:r>
            <w:proofErr w:type="spellEnd"/>
            <w:r w:rsidRPr="00700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649">
              <w:rPr>
                <w:rFonts w:ascii="Times New Roman" w:hAnsi="Times New Roman" w:cs="Times New Roman"/>
              </w:rPr>
              <w:t>investicijos</w:t>
            </w:r>
            <w:proofErr w:type="spellEnd"/>
            <w:r w:rsidRPr="00700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649">
              <w:rPr>
                <w:rFonts w:ascii="Times New Roman" w:hAnsi="Times New Roman" w:cs="Times New Roman"/>
              </w:rPr>
              <w:t>vertės</w:t>
            </w:r>
            <w:proofErr w:type="spellEnd"/>
            <w:r w:rsidRPr="00700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649">
              <w:rPr>
                <w:rFonts w:ascii="Times New Roman" w:hAnsi="Times New Roman" w:cs="Times New Roman"/>
              </w:rPr>
              <w:t>arba</w:t>
            </w:r>
            <w:proofErr w:type="spellEnd"/>
            <w:r w:rsidRPr="00700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649">
              <w:rPr>
                <w:rFonts w:ascii="Times New Roman" w:hAnsi="Times New Roman" w:cs="Times New Roman"/>
              </w:rPr>
              <w:t>įmonės</w:t>
            </w:r>
            <w:proofErr w:type="spellEnd"/>
            <w:r w:rsidRPr="00700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649">
              <w:rPr>
                <w:rFonts w:ascii="Times New Roman" w:hAnsi="Times New Roman" w:cs="Times New Roman"/>
              </w:rPr>
              <w:t>įstatinio</w:t>
            </w:r>
            <w:proofErr w:type="spellEnd"/>
            <w:r w:rsidRPr="00700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649">
              <w:rPr>
                <w:rFonts w:ascii="Times New Roman" w:hAnsi="Times New Roman" w:cs="Times New Roman"/>
              </w:rPr>
              <w:t>kapitalo</w:t>
            </w:r>
            <w:proofErr w:type="spellEnd"/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lang w:val="lt-LT"/>
              </w:rPr>
              <w:t>Galutiniai naudos gavėjai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iCs/>
                <w:lang w:val="lt-LT"/>
              </w:rPr>
            </w:pPr>
            <w:r w:rsidRPr="00700649">
              <w:rPr>
                <w:rFonts w:ascii="Times New Roman" w:hAnsi="Times New Roman" w:cs="Times New Roman"/>
                <w:iCs/>
                <w:lang w:val="lt-LT"/>
              </w:rPr>
              <w:t xml:space="preserve">įmonės, veikiančios arba ketinančios pradėti naują ekonominę veiklą pažangiosios specializacijos srityse, ir kurių viena iš akcininkių yra MSI </w:t>
            </w:r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>Valstybės pagalba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Yra (pagal bendrosios išimties reglamentą)</w:t>
            </w:r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>Orientacinis maksimalus fondo investicijų į vieną MVĮ dydis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Iki 20 proc. fondo vertės</w:t>
            </w:r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>Investavimas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Į įmonių akcinį kapitalą arba į iš dalies akcinį įmonių pradinio augimo (pradinio, ankstyvo augimo ir plėtros) stadijose</w:t>
            </w:r>
          </w:p>
        </w:tc>
      </w:tr>
      <w:tr w:rsidR="00700649" w:rsidRPr="00700649" w:rsidTr="006A7363">
        <w:trPr>
          <w:trHeight w:val="618"/>
        </w:trPr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>MVĮ veiklos sektoriai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iCs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Ribojama pagal valstybės pagalbos schemą ir sumanios specializacijos strategiją</w:t>
            </w:r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700649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Apytikslis investuotojų (tik valstybės) gaunamas maksimalus grąžos dydis (ang. „cap“) </w:t>
            </w: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Ne daugiau 6 proc.</w:t>
            </w:r>
          </w:p>
        </w:tc>
      </w:tr>
      <w:tr w:rsidR="00700649" w:rsidRPr="00700649" w:rsidTr="006A7363">
        <w:tc>
          <w:tcPr>
            <w:tcW w:w="3969" w:type="dxa"/>
            <w:vAlign w:val="center"/>
          </w:tcPr>
          <w:p w:rsidR="00700649" w:rsidRPr="00700649" w:rsidRDefault="00700649" w:rsidP="006A7363">
            <w:pPr>
              <w:pStyle w:val="Default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00649">
              <w:rPr>
                <w:rFonts w:ascii="Times New Roman" w:hAnsi="Times New Roman"/>
                <w:b/>
              </w:rPr>
              <w:t>Kitos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formos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nei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subsidija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finansinę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paramą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gaunančių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įmonių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00649">
              <w:rPr>
                <w:rFonts w:ascii="Times New Roman" w:hAnsi="Times New Roman"/>
                <w:b/>
              </w:rPr>
              <w:t>skaičius</w:t>
            </w:r>
            <w:proofErr w:type="spellEnd"/>
            <w:r w:rsidRPr="00700649">
              <w:rPr>
                <w:rFonts w:ascii="Times New Roman" w:hAnsi="Times New Roman"/>
                <w:b/>
              </w:rPr>
              <w:t xml:space="preserve"> </w:t>
            </w:r>
          </w:p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5954" w:type="dxa"/>
            <w:vAlign w:val="center"/>
          </w:tcPr>
          <w:p w:rsidR="00700649" w:rsidRPr="00700649" w:rsidRDefault="00700649" w:rsidP="006A7363">
            <w:pPr>
              <w:ind w:firstLine="0"/>
              <w:rPr>
                <w:rFonts w:ascii="Times New Roman" w:hAnsi="Times New Roman" w:cs="Times New Roman"/>
                <w:lang w:val="lt-LT"/>
              </w:rPr>
            </w:pPr>
            <w:r w:rsidRPr="00700649">
              <w:rPr>
                <w:rFonts w:ascii="Times New Roman" w:hAnsi="Times New Roman" w:cs="Times New Roman"/>
                <w:lang w:val="lt-LT"/>
              </w:rPr>
              <w:t>4</w:t>
            </w:r>
          </w:p>
        </w:tc>
      </w:tr>
    </w:tbl>
    <w:p w:rsidR="00FA03B9" w:rsidRPr="00700649" w:rsidRDefault="00700649" w:rsidP="00FA03B9">
      <w:pPr>
        <w:spacing w:before="60"/>
        <w:rPr>
          <w:rFonts w:cs="Times New Roman"/>
          <w:color w:val="365F91" w:themeColor="accent1" w:themeShade="BF"/>
        </w:rPr>
      </w:pPr>
      <w:r w:rsidRPr="00700649">
        <w:rPr>
          <w:rFonts w:cs="Times New Roman"/>
        </w:rPr>
        <w:t>* privaloma pritraukti bent iki 10 proc. privačių lėšų, tačiau privatūs investuotojai skatinami skirti ir daugiau lėšų</w:t>
      </w:r>
      <w:proofErr w:type="gramStart"/>
      <w:r w:rsidRPr="00700649">
        <w:rPr>
          <w:rFonts w:cs="Times New Roman"/>
        </w:rPr>
        <w:t xml:space="preserve">  </w:t>
      </w:r>
      <w:proofErr w:type="gramEnd"/>
    </w:p>
    <w:p w:rsidR="00700649" w:rsidRDefault="00700649" w:rsidP="00FA03B9">
      <w:pPr>
        <w:ind w:firstLine="709"/>
        <w:rPr>
          <w:rFonts w:cs="Times New Roman"/>
        </w:rPr>
      </w:pPr>
    </w:p>
    <w:p w:rsidR="00FA03B9" w:rsidRDefault="00FA03B9" w:rsidP="00FA03B9">
      <w:pPr>
        <w:ind w:firstLine="709"/>
        <w:rPr>
          <w:rFonts w:cs="Times New Roman"/>
        </w:rPr>
      </w:pPr>
      <w:r w:rsidRPr="00FC43C4">
        <w:rPr>
          <w:rFonts w:cs="Times New Roman"/>
        </w:rPr>
        <w:t xml:space="preserve">Atsižvelgiant į problemas ir iššūkius, su kuriais susiduria </w:t>
      </w:r>
      <w:r>
        <w:rPr>
          <w:rFonts w:cs="Times New Roman"/>
        </w:rPr>
        <w:t xml:space="preserve">MTEPI veiklos rezultatus </w:t>
      </w:r>
      <w:proofErr w:type="spellStart"/>
      <w:r>
        <w:rPr>
          <w:rFonts w:cs="Times New Roman"/>
        </w:rPr>
        <w:t>komercinančios</w:t>
      </w:r>
      <w:proofErr w:type="spellEnd"/>
      <w:r>
        <w:rPr>
          <w:rFonts w:cs="Times New Roman"/>
        </w:rPr>
        <w:t xml:space="preserve"> MVĮ</w:t>
      </w:r>
      <w:r w:rsidRPr="00FC43C4">
        <w:rPr>
          <w:rFonts w:cs="Times New Roman"/>
        </w:rPr>
        <w:t xml:space="preserve">, remiantis įgyvendintų bei dar įgyvendinamų FP rezultatais, </w:t>
      </w:r>
      <w:r>
        <w:rPr>
          <w:rFonts w:cs="Times New Roman"/>
        </w:rPr>
        <w:t>Lietuvos ir užsienio patirtimi,</w:t>
      </w:r>
      <w:r w:rsidRPr="00FC43C4">
        <w:rPr>
          <w:rFonts w:cs="Times New Roman"/>
        </w:rPr>
        <w:t xml:space="preserve"> turima rinkos dalyvių apklausa ir nustatytu rinkos trūkumu, vertinime y</w:t>
      </w:r>
      <w:r>
        <w:rPr>
          <w:rFonts w:cs="Times New Roman"/>
        </w:rPr>
        <w:t>ra pateikiama siūloma</w:t>
      </w:r>
      <w:r w:rsidRPr="00FC43C4">
        <w:rPr>
          <w:rFonts w:cs="Times New Roman"/>
        </w:rPr>
        <w:t xml:space="preserve"> įgyvendinti FP. </w:t>
      </w:r>
    </w:p>
    <w:p w:rsidR="00FA03B9" w:rsidRDefault="00FA03B9" w:rsidP="00FA03B9">
      <w:pPr>
        <w:ind w:firstLine="709"/>
        <w:rPr>
          <w:rFonts w:cs="Times New Roman"/>
        </w:rPr>
      </w:pPr>
      <w:r>
        <w:rPr>
          <w:color w:val="000000" w:themeColor="text1"/>
        </w:rPr>
        <w:t>P</w:t>
      </w:r>
      <w:r w:rsidRPr="001B4E98">
        <w:rPr>
          <w:color w:val="000000" w:themeColor="text1"/>
          <w:lang w:eastAsia="lt-LT"/>
        </w:rPr>
        <w:t>lanuojama įgyvendinti bendrai investuojančią FP (</w:t>
      </w:r>
      <w:r w:rsidRPr="001B4E98">
        <w:rPr>
          <w:rFonts w:cs="Times New Roman"/>
        </w:rPr>
        <w:t>„</w:t>
      </w:r>
      <w:r w:rsidRPr="001B4E98">
        <w:rPr>
          <w:rFonts w:cs="Times New Roman"/>
          <w:noProof/>
        </w:rPr>
        <w:t>Ko-investicinis fondas</w:t>
      </w:r>
      <w:r>
        <w:rPr>
          <w:rFonts w:cs="Times New Roman"/>
          <w:noProof/>
        </w:rPr>
        <w:t xml:space="preserve"> MTEPI</w:t>
      </w:r>
      <w:r w:rsidRPr="001B4E98">
        <w:rPr>
          <w:rFonts w:cs="Times New Roman"/>
        </w:rPr>
        <w:t>“)</w:t>
      </w:r>
      <w:r>
        <w:rPr>
          <w:color w:val="000000" w:themeColor="text1"/>
          <w:lang w:eastAsia="lt-LT"/>
        </w:rPr>
        <w:t>, kuri būtų finansuojama</w:t>
      </w:r>
      <w:r w:rsidRPr="001B4E98">
        <w:rPr>
          <w:color w:val="000000" w:themeColor="text1"/>
          <w:lang w:eastAsia="lt-LT"/>
        </w:rPr>
        <w:t xml:space="preserve"> VP 1 prioritet</w:t>
      </w:r>
      <w:r>
        <w:rPr>
          <w:color w:val="000000" w:themeColor="text1"/>
          <w:lang w:eastAsia="lt-LT"/>
        </w:rPr>
        <w:t>o</w:t>
      </w:r>
      <w:r w:rsidRPr="001B4E98">
        <w:rPr>
          <w:color w:val="000000" w:themeColor="text1"/>
          <w:lang w:eastAsia="lt-LT"/>
        </w:rPr>
        <w:t xml:space="preserve"> lėšomis, ir kurios tikslas –</w:t>
      </w:r>
      <w:r>
        <w:rPr>
          <w:color w:val="000000" w:themeColor="text1"/>
          <w:lang w:eastAsia="lt-LT"/>
        </w:rPr>
        <w:t xml:space="preserve"> sudaryti sąlygas </w:t>
      </w:r>
      <w:r>
        <w:t xml:space="preserve">MSI steigti </w:t>
      </w:r>
      <w:proofErr w:type="spellStart"/>
      <w:r>
        <w:t>atžalines</w:t>
      </w:r>
      <w:proofErr w:type="spellEnd"/>
      <w:r>
        <w:t xml:space="preserve"> įmones taip įtraukiant pačius universitetus į juose vystomų MTEPI veiklų rezultatų </w:t>
      </w:r>
      <w:proofErr w:type="spellStart"/>
      <w:r>
        <w:t>komercinimą</w:t>
      </w:r>
      <w:proofErr w:type="spellEnd"/>
      <w:r>
        <w:t xml:space="preserve"> bei </w:t>
      </w:r>
      <w:r w:rsidRPr="001B4E98">
        <w:t>paskatinti</w:t>
      </w:r>
      <w:r>
        <w:t xml:space="preserve"> </w:t>
      </w:r>
      <w:proofErr w:type="spellStart"/>
      <w:r>
        <w:t>inovatyvių</w:t>
      </w:r>
      <w:proofErr w:type="spellEnd"/>
      <w:r>
        <w:t xml:space="preserve"> idėjų ekonominį panaudojimą ir </w:t>
      </w:r>
      <w:proofErr w:type="spellStart"/>
      <w:r>
        <w:t>atžalinių</w:t>
      </w:r>
      <w:proofErr w:type="spellEnd"/>
      <w:r>
        <w:t xml:space="preserve"> įmonių kūrimąsi, siekiant užtikrinti finansavimo šaltinių prieinamumą. </w:t>
      </w:r>
      <w:r w:rsidRPr="001B4E98">
        <w:rPr>
          <w:color w:val="000000" w:themeColor="text1"/>
        </w:rPr>
        <w:t>K</w:t>
      </w:r>
      <w:r w:rsidRPr="001B4E98">
        <w:rPr>
          <w:rFonts w:cs="Times New Roman"/>
        </w:rPr>
        <w:t xml:space="preserve">adangi MTEPI veiklas vykdančios įmonės, ypač iki idėjų </w:t>
      </w:r>
      <w:proofErr w:type="spellStart"/>
      <w:r w:rsidRPr="001B4E98">
        <w:rPr>
          <w:rFonts w:cs="Times New Roman"/>
        </w:rPr>
        <w:t>komercializavimo</w:t>
      </w:r>
      <w:proofErr w:type="spellEnd"/>
      <w:r w:rsidRPr="001B4E98">
        <w:rPr>
          <w:rFonts w:cs="Times New Roman"/>
        </w:rPr>
        <w:t xml:space="preserve"> etapo, </w:t>
      </w:r>
      <w:r w:rsidR="0090221B">
        <w:rPr>
          <w:rFonts w:cs="Times New Roman"/>
        </w:rPr>
        <w:t>kredito įstaigų</w:t>
      </w:r>
      <w:r w:rsidRPr="001B4E98">
        <w:rPr>
          <w:rFonts w:cs="Times New Roman"/>
        </w:rPr>
        <w:t xml:space="preserve"> požiūriu yra itin rizikingos ir ilgai neatsiperkančios, o todėl dažniausiai jų ir nefinansuotinos, </w:t>
      </w:r>
      <w:r>
        <w:rPr>
          <w:rFonts w:cs="Times New Roman"/>
        </w:rPr>
        <w:t xml:space="preserve">siūlomos FP </w:t>
      </w:r>
      <w:r w:rsidRPr="001B4E98">
        <w:rPr>
          <w:rFonts w:cs="Times New Roman"/>
        </w:rPr>
        <w:t>įgyvendinimui pasirinkt</w:t>
      </w:r>
      <w:r>
        <w:rPr>
          <w:rFonts w:cs="Times New Roman"/>
        </w:rPr>
        <w:t>a</w:t>
      </w:r>
      <w:r w:rsidRPr="001B4E98">
        <w:rPr>
          <w:rFonts w:cs="Times New Roman"/>
        </w:rPr>
        <w:t xml:space="preserve"> rizikos kapitalo FP, kuri savo esme labiausiai atitinka tokių įmonių poreikius. Be to, </w:t>
      </w:r>
      <w:r>
        <w:rPr>
          <w:rFonts w:cs="Times New Roman"/>
        </w:rPr>
        <w:t>investuotojų</w:t>
      </w:r>
      <w:r w:rsidRPr="001B4E98">
        <w:rPr>
          <w:rFonts w:cs="Times New Roman"/>
        </w:rPr>
        <w:t xml:space="preserve"> valdymo komanda be investuotų lėšų, prisideda prie įmonių augimo žiniomis ir ryšiais, padedančiais šioms įmonėms įgyvendinti gyvybingas idėjas.</w:t>
      </w:r>
      <w:r>
        <w:rPr>
          <w:rFonts w:cs="Times New Roman"/>
        </w:rPr>
        <w:t xml:space="preserve"> </w:t>
      </w:r>
      <w:r w:rsidRPr="002462EF">
        <w:rPr>
          <w:rFonts w:cs="Times New Roman"/>
        </w:rPr>
        <w:t>Siūloma priemonei skirti 5 mln. EUR</w:t>
      </w:r>
      <w:r w:rsidRPr="00F33A8C">
        <w:rPr>
          <w:rFonts w:cs="Times New Roman"/>
        </w:rPr>
        <w:t>,</w:t>
      </w:r>
      <w:r>
        <w:rPr>
          <w:rFonts w:cs="Times New Roman"/>
        </w:rPr>
        <w:t xml:space="preserve"> tačiau numat</w:t>
      </w:r>
      <w:r w:rsidR="00700649">
        <w:rPr>
          <w:rFonts w:cs="Times New Roman"/>
        </w:rPr>
        <w:t>oma</w:t>
      </w:r>
      <w:r>
        <w:rPr>
          <w:rFonts w:cs="Times New Roman"/>
        </w:rPr>
        <w:t xml:space="preserve"> galimyb</w:t>
      </w:r>
      <w:r w:rsidR="00700649">
        <w:rPr>
          <w:rFonts w:cs="Times New Roman"/>
        </w:rPr>
        <w:t>ė</w:t>
      </w:r>
      <w:r>
        <w:rPr>
          <w:rFonts w:cs="Times New Roman"/>
        </w:rPr>
        <w:t xml:space="preserve"> finansavimą jai padidinti iki 10 mln. EUR.</w:t>
      </w:r>
    </w:p>
    <w:p w:rsidR="00FA03B9" w:rsidRPr="001B4E98" w:rsidRDefault="00FA03B9" w:rsidP="00FA03B9">
      <w:pPr>
        <w:spacing w:before="240" w:after="240"/>
        <w:ind w:firstLine="709"/>
        <w:rPr>
          <w:rFonts w:cs="Times New Roman"/>
        </w:rPr>
      </w:pPr>
      <w:r w:rsidRPr="00C90983">
        <w:rPr>
          <w:rFonts w:cs="Times New Roman"/>
        </w:rPr>
        <w:t xml:space="preserve">2007–2013 m. ir </w:t>
      </w:r>
      <w:r w:rsidRPr="00C90983">
        <w:t xml:space="preserve">2014–2020 m. </w:t>
      </w:r>
      <w:r w:rsidRPr="00C90983">
        <w:rPr>
          <w:rFonts w:cs="Times New Roman"/>
        </w:rPr>
        <w:t xml:space="preserve">programavimo laikotarpiais Lietuva sukūrė skaidrų ir efektyvų FP įgyvendinimo modelį, </w:t>
      </w:r>
      <w:r w:rsidRPr="00C90983">
        <w:rPr>
          <w:rFonts w:cs="Times New Roman"/>
          <w:color w:val="000000"/>
        </w:rPr>
        <w:t xml:space="preserve">Lietuvoje veikiančios </w:t>
      </w:r>
      <w:r w:rsidRPr="00C90983">
        <w:rPr>
          <w:rFonts w:cs="Times New Roman"/>
        </w:rPr>
        <w:t>i</w:t>
      </w:r>
      <w:r w:rsidRPr="00C90983">
        <w:rPr>
          <w:rFonts w:cs="Times New Roman"/>
          <w:color w:val="000000"/>
        </w:rPr>
        <w:t>nstitucijos, kurios administruoja ir įgyvendina FP, turi pakankamai kompetencijų ir techninių galimybių, kad galėtų sukurti specifines FP, kurios atitiktų vers</w:t>
      </w:r>
      <w:r>
        <w:rPr>
          <w:rFonts w:cs="Times New Roman"/>
          <w:color w:val="000000"/>
        </w:rPr>
        <w:t>lo subjektų finansavimo poreikį.</w:t>
      </w:r>
      <w:r w:rsidRPr="00C90983">
        <w:rPr>
          <w:rFonts w:cs="Times New Roman"/>
          <w:color w:val="000000"/>
        </w:rPr>
        <w:t xml:space="preserve"> Be to, </w:t>
      </w:r>
      <w:r w:rsidRPr="00C90983">
        <w:rPr>
          <w:rFonts w:cs="Times New Roman"/>
        </w:rPr>
        <w:t xml:space="preserve">atliktos apklausos rodo, kad 2007–2013 m. programavimo laikotarpiu nacionaliniu lygmeniu įgyvendintos FP yra vertinamos teigiamai. </w:t>
      </w:r>
    </w:p>
    <w:p w:rsidR="00FA03B9" w:rsidRPr="001B4E98" w:rsidRDefault="00FA03B9" w:rsidP="00FA03B9">
      <w:pPr>
        <w:spacing w:before="240"/>
        <w:ind w:firstLine="709"/>
        <w:rPr>
          <w:rFonts w:cs="Times New Roman"/>
          <w:noProof/>
        </w:rPr>
      </w:pPr>
      <w:r w:rsidRPr="00FC43C4">
        <w:t>Vertinimas buvo atliktas pagal metodologiją, konsultuojantis su visomis suinteresuotomis institucijomis, vertinimas atliktas objektyviai ir nešališkai. Vertinimas gali būti keičiamas ar pildomas nepažeidžiant ir vadovaujantis Reglamento</w:t>
      </w:r>
      <w:r w:rsidRPr="00FC43C4">
        <w:rPr>
          <w:color w:val="000000" w:themeColor="text1"/>
        </w:rPr>
        <w:t xml:space="preserve"> Nr. 1303/2013</w:t>
      </w:r>
      <w:r w:rsidRPr="00FC43C4">
        <w:t xml:space="preserve"> nuostatomis.</w:t>
      </w:r>
    </w:p>
    <w:p w:rsidR="00A56B1D" w:rsidRDefault="00A56B1D"/>
    <w:sectPr w:rsidR="00A56B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974"/>
    <w:multiLevelType w:val="multilevel"/>
    <w:tmpl w:val="2EA4AE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pStyle w:val="Antrat3"/>
      <w:lvlText w:val=""/>
      <w:lvlJc w:val="left"/>
      <w:pPr>
        <w:ind w:left="2988" w:hanging="720"/>
      </w:pPr>
      <w:rPr>
        <w:rFonts w:ascii="Symbol" w:hAnsi="Symbol" w:hint="default"/>
        <w:b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/>
        <w:i w:val="0"/>
        <w:color w:val="auto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B9"/>
    <w:rsid w:val="00700649"/>
    <w:rsid w:val="0090221B"/>
    <w:rsid w:val="00A56B1D"/>
    <w:rsid w:val="00CF1A2A"/>
    <w:rsid w:val="00E32D2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03B9"/>
    <w:pPr>
      <w:spacing w:after="0"/>
      <w:ind w:firstLine="737"/>
      <w:jc w:val="both"/>
    </w:pPr>
    <w:rPr>
      <w:rFonts w:eastAsiaTheme="minorEastAsia"/>
      <w:szCs w:val="24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700649"/>
    <w:pPr>
      <w:keepNext/>
      <w:keepLines/>
      <w:tabs>
        <w:tab w:val="left" w:pos="0"/>
      </w:tabs>
      <w:ind w:left="432" w:firstLine="0"/>
      <w:jc w:val="center"/>
      <w:outlineLvl w:val="0"/>
    </w:pPr>
    <w:rPr>
      <w:rFonts w:eastAsiaTheme="majorEastAsia" w:cs="Times New Roman"/>
      <w:b/>
      <w:bCs/>
      <w:noProof/>
    </w:rPr>
  </w:style>
  <w:style w:type="paragraph" w:styleId="Antrat3">
    <w:name w:val="heading 3"/>
    <w:aliases w:val="Heading 3 (nevda),H3,Section Header3,Sub-Clause Paragraph,Diagrama14,Sub-Clause Paragraph Diagrama,Section Header3 Diagrama,Antraštė 31"/>
    <w:basedOn w:val="prastasis"/>
    <w:next w:val="prastasis"/>
    <w:link w:val="Antrat3Diagrama"/>
    <w:uiPriority w:val="99"/>
    <w:unhideWhenUsed/>
    <w:qFormat/>
    <w:rsid w:val="00FA03B9"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Times New Roman"/>
      <w:lang w:eastAsia="lt-LT"/>
    </w:rPr>
  </w:style>
  <w:style w:type="paragraph" w:styleId="Antrat4">
    <w:name w:val="heading 4"/>
    <w:aliases w:val="Heading 4 (nevda),H4,Sub-Clause Sub-paragraph,Heading 4 Char Char Char Char,Antraštė 41, Sub-Clause Sub-paragraph"/>
    <w:basedOn w:val="prastasis"/>
    <w:next w:val="prastasis"/>
    <w:link w:val="Antrat4Diagrama"/>
    <w:uiPriority w:val="99"/>
    <w:unhideWhenUsed/>
    <w:qFormat/>
    <w:rsid w:val="00FA03B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="Times New Roman"/>
      <w:b/>
      <w:bCs/>
      <w:iCs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unhideWhenUsed/>
    <w:qFormat/>
    <w:rsid w:val="00FA03B9"/>
    <w:pPr>
      <w:numPr>
        <w:ilvl w:val="4"/>
        <w:numId w:val="1"/>
      </w:numPr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FA03B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FA03B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FA03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FA03B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0649"/>
    <w:rPr>
      <w:rFonts w:eastAsiaTheme="majorEastAsia" w:cs="Times New Roman"/>
      <w:b/>
      <w:bCs/>
      <w:noProof/>
      <w:szCs w:val="24"/>
    </w:rPr>
  </w:style>
  <w:style w:type="character" w:customStyle="1" w:styleId="Antrat3Diagrama">
    <w:name w:val="Antraštė 3 Diagrama"/>
    <w:aliases w:val="Heading 3 (nevda) Diagrama,H3 Diagrama,Section Header3 Diagrama1,Sub-Clause Paragraph Diagrama1,Diagrama14 Diagrama,Sub-Clause Paragraph Diagrama Diagrama,Section Header3 Diagrama Diagrama,Antraštė 31 Diagrama"/>
    <w:basedOn w:val="Numatytasispastraiposriftas"/>
    <w:link w:val="Antrat3"/>
    <w:uiPriority w:val="99"/>
    <w:rsid w:val="00FA03B9"/>
    <w:rPr>
      <w:rFonts w:eastAsia="Times New Roman" w:cs="Times New Roman"/>
      <w:szCs w:val="24"/>
      <w:lang w:eastAsia="lt-LT"/>
    </w:rPr>
  </w:style>
  <w:style w:type="character" w:customStyle="1" w:styleId="Antrat4Diagrama">
    <w:name w:val="Antraštė 4 Diagrama"/>
    <w:aliases w:val="Heading 4 (nevda) Diagrama,H4 Diagrama,Sub-Clause Sub-paragraph Diagrama,Heading 4 Char Char Char Char Diagrama,Antraštė 41 Diagrama, Sub-Clause Sub-paragraph Diagrama"/>
    <w:basedOn w:val="Numatytasispastraiposriftas"/>
    <w:link w:val="Antrat4"/>
    <w:uiPriority w:val="99"/>
    <w:rsid w:val="00FA03B9"/>
    <w:rPr>
      <w:rFonts w:eastAsiaTheme="majorEastAsia" w:cs="Times New Roman"/>
      <w:b/>
      <w:bCs/>
      <w:iCs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FA03B9"/>
    <w:rPr>
      <w:rFonts w:eastAsiaTheme="minorEastAsia"/>
      <w:noProof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A03B9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A03B9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A03B9"/>
    <w:rPr>
      <w:rFonts w:ascii="Calibri" w:eastAsia="Times New Roman" w:hAnsi="Calibri" w:cs="Times New Roman"/>
      <w:i/>
      <w:iCs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A03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aliases w:val="Table caption,paveikslas,Paveikslo pavadinimas,Название объекта,Caption - Centre Graphic,Char Char Char,Caption1 Char Char Char Char Char Char Char Char,Caption1 Char Char Char Char Char Char Char Char Tegn Tegn Tegn Tegn Tegn,Char Car,topic,c"/>
    <w:basedOn w:val="prastasis"/>
    <w:next w:val="prastasis"/>
    <w:link w:val="AntratDiagrama"/>
    <w:autoRedefine/>
    <w:uiPriority w:val="35"/>
    <w:unhideWhenUsed/>
    <w:qFormat/>
    <w:rsid w:val="0090221B"/>
    <w:pPr>
      <w:spacing w:before="240"/>
      <w:ind w:firstLine="0"/>
      <w:jc w:val="center"/>
    </w:pPr>
    <w:rPr>
      <w:rFonts w:cs="Times New Roman"/>
      <w:b/>
      <w:bCs/>
      <w:noProof/>
    </w:rPr>
  </w:style>
  <w:style w:type="table" w:styleId="Lentelstinklelis">
    <w:name w:val="Table Grid"/>
    <w:aliases w:val="Smart Text Table"/>
    <w:basedOn w:val="prastojilentel"/>
    <w:uiPriority w:val="59"/>
    <w:rsid w:val="00FA03B9"/>
    <w:pPr>
      <w:spacing w:after="0" w:line="240" w:lineRule="auto"/>
    </w:pPr>
    <w:rPr>
      <w:rFonts w:asciiTheme="minorHAnsi" w:eastAsiaTheme="minorEastAsia" w:hAnsiTheme="minorHAns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Diagrama">
    <w:name w:val="Antraštė Diagrama"/>
    <w:aliases w:val="Table caption Diagrama,paveikslas Diagrama,Paveikslo pavadinimas Diagrama,Название объекта Diagrama,Caption - Centre Graphic Diagrama,Char Char Char Diagrama,Caption1 Char Char Char Char Char Char Char Char Diagrama,Char Car Diagrama"/>
    <w:link w:val="Antrat"/>
    <w:uiPriority w:val="35"/>
    <w:rsid w:val="0090221B"/>
    <w:rPr>
      <w:rFonts w:eastAsiaTheme="minorEastAsia" w:cs="Times New Roman"/>
      <w:b/>
      <w:bCs/>
      <w:noProof/>
      <w:szCs w:val="24"/>
    </w:rPr>
  </w:style>
  <w:style w:type="paragraph" w:customStyle="1" w:styleId="Default">
    <w:name w:val="Default"/>
    <w:rsid w:val="0070064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A03B9"/>
    <w:pPr>
      <w:spacing w:after="0"/>
      <w:ind w:firstLine="737"/>
      <w:jc w:val="both"/>
    </w:pPr>
    <w:rPr>
      <w:rFonts w:eastAsiaTheme="minorEastAsia"/>
      <w:szCs w:val="24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700649"/>
    <w:pPr>
      <w:keepNext/>
      <w:keepLines/>
      <w:tabs>
        <w:tab w:val="left" w:pos="0"/>
      </w:tabs>
      <w:ind w:left="432" w:firstLine="0"/>
      <w:jc w:val="center"/>
      <w:outlineLvl w:val="0"/>
    </w:pPr>
    <w:rPr>
      <w:rFonts w:eastAsiaTheme="majorEastAsia" w:cs="Times New Roman"/>
      <w:b/>
      <w:bCs/>
      <w:noProof/>
    </w:rPr>
  </w:style>
  <w:style w:type="paragraph" w:styleId="Antrat3">
    <w:name w:val="heading 3"/>
    <w:aliases w:val="Heading 3 (nevda),H3,Section Header3,Sub-Clause Paragraph,Diagrama14,Sub-Clause Paragraph Diagrama,Section Header3 Diagrama,Antraštė 31"/>
    <w:basedOn w:val="prastasis"/>
    <w:next w:val="prastasis"/>
    <w:link w:val="Antrat3Diagrama"/>
    <w:uiPriority w:val="99"/>
    <w:unhideWhenUsed/>
    <w:qFormat/>
    <w:rsid w:val="00FA03B9"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Times New Roman"/>
      <w:lang w:eastAsia="lt-LT"/>
    </w:rPr>
  </w:style>
  <w:style w:type="paragraph" w:styleId="Antrat4">
    <w:name w:val="heading 4"/>
    <w:aliases w:val="Heading 4 (nevda),H4,Sub-Clause Sub-paragraph,Heading 4 Char Char Char Char,Antraštė 41, Sub-Clause Sub-paragraph"/>
    <w:basedOn w:val="prastasis"/>
    <w:next w:val="prastasis"/>
    <w:link w:val="Antrat4Diagrama"/>
    <w:uiPriority w:val="99"/>
    <w:unhideWhenUsed/>
    <w:qFormat/>
    <w:rsid w:val="00FA03B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="Times New Roman"/>
      <w:b/>
      <w:bCs/>
      <w:iCs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unhideWhenUsed/>
    <w:qFormat/>
    <w:rsid w:val="00FA03B9"/>
    <w:pPr>
      <w:numPr>
        <w:ilvl w:val="4"/>
        <w:numId w:val="1"/>
      </w:numPr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FA03B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FA03B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FA03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FA03B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0649"/>
    <w:rPr>
      <w:rFonts w:eastAsiaTheme="majorEastAsia" w:cs="Times New Roman"/>
      <w:b/>
      <w:bCs/>
      <w:noProof/>
      <w:szCs w:val="24"/>
    </w:rPr>
  </w:style>
  <w:style w:type="character" w:customStyle="1" w:styleId="Antrat3Diagrama">
    <w:name w:val="Antraštė 3 Diagrama"/>
    <w:aliases w:val="Heading 3 (nevda) Diagrama,H3 Diagrama,Section Header3 Diagrama1,Sub-Clause Paragraph Diagrama1,Diagrama14 Diagrama,Sub-Clause Paragraph Diagrama Diagrama,Section Header3 Diagrama Diagrama,Antraštė 31 Diagrama"/>
    <w:basedOn w:val="Numatytasispastraiposriftas"/>
    <w:link w:val="Antrat3"/>
    <w:uiPriority w:val="99"/>
    <w:rsid w:val="00FA03B9"/>
    <w:rPr>
      <w:rFonts w:eastAsia="Times New Roman" w:cs="Times New Roman"/>
      <w:szCs w:val="24"/>
      <w:lang w:eastAsia="lt-LT"/>
    </w:rPr>
  </w:style>
  <w:style w:type="character" w:customStyle="1" w:styleId="Antrat4Diagrama">
    <w:name w:val="Antraštė 4 Diagrama"/>
    <w:aliases w:val="Heading 4 (nevda) Diagrama,H4 Diagrama,Sub-Clause Sub-paragraph Diagrama,Heading 4 Char Char Char Char Diagrama,Antraštė 41 Diagrama, Sub-Clause Sub-paragraph Diagrama"/>
    <w:basedOn w:val="Numatytasispastraiposriftas"/>
    <w:link w:val="Antrat4"/>
    <w:uiPriority w:val="99"/>
    <w:rsid w:val="00FA03B9"/>
    <w:rPr>
      <w:rFonts w:eastAsiaTheme="majorEastAsia" w:cs="Times New Roman"/>
      <w:b/>
      <w:bCs/>
      <w:iCs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FA03B9"/>
    <w:rPr>
      <w:rFonts w:eastAsiaTheme="minorEastAsia"/>
      <w:noProof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A03B9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A03B9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A03B9"/>
    <w:rPr>
      <w:rFonts w:ascii="Calibri" w:eastAsia="Times New Roman" w:hAnsi="Calibri" w:cs="Times New Roman"/>
      <w:i/>
      <w:iCs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A03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aliases w:val="Table caption,paveikslas,Paveikslo pavadinimas,Название объекта,Caption - Centre Graphic,Char Char Char,Caption1 Char Char Char Char Char Char Char Char,Caption1 Char Char Char Char Char Char Char Char Tegn Tegn Tegn Tegn Tegn,Char Car,topic,c"/>
    <w:basedOn w:val="prastasis"/>
    <w:next w:val="prastasis"/>
    <w:link w:val="AntratDiagrama"/>
    <w:autoRedefine/>
    <w:uiPriority w:val="35"/>
    <w:unhideWhenUsed/>
    <w:qFormat/>
    <w:rsid w:val="0090221B"/>
    <w:pPr>
      <w:spacing w:before="240"/>
      <w:ind w:firstLine="0"/>
      <w:jc w:val="center"/>
    </w:pPr>
    <w:rPr>
      <w:rFonts w:cs="Times New Roman"/>
      <w:b/>
      <w:bCs/>
      <w:noProof/>
    </w:rPr>
  </w:style>
  <w:style w:type="table" w:styleId="Lentelstinklelis">
    <w:name w:val="Table Grid"/>
    <w:aliases w:val="Smart Text Table"/>
    <w:basedOn w:val="prastojilentel"/>
    <w:uiPriority w:val="59"/>
    <w:rsid w:val="00FA03B9"/>
    <w:pPr>
      <w:spacing w:after="0" w:line="240" w:lineRule="auto"/>
    </w:pPr>
    <w:rPr>
      <w:rFonts w:asciiTheme="minorHAnsi" w:eastAsiaTheme="minorEastAsia" w:hAnsiTheme="minorHAns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Diagrama">
    <w:name w:val="Antraštė Diagrama"/>
    <w:aliases w:val="Table caption Diagrama,paveikslas Diagrama,Paveikslo pavadinimas Diagrama,Название объекта Diagrama,Caption - Centre Graphic Diagrama,Char Char Char Diagrama,Caption1 Char Char Char Char Char Char Char Char Diagrama,Char Car Diagrama"/>
    <w:link w:val="Antrat"/>
    <w:uiPriority w:val="35"/>
    <w:rsid w:val="0090221B"/>
    <w:rPr>
      <w:rFonts w:eastAsiaTheme="minorEastAsia" w:cs="Times New Roman"/>
      <w:b/>
      <w:bCs/>
      <w:noProof/>
      <w:szCs w:val="24"/>
    </w:rPr>
  </w:style>
  <w:style w:type="paragraph" w:customStyle="1" w:styleId="Default">
    <w:name w:val="Default"/>
    <w:rsid w:val="0070064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4266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Laurita Kazickienė</dc:creator>
  <cp:lastModifiedBy>Laurita Kazickienė</cp:lastModifiedBy>
  <cp:revision>3</cp:revision>
  <dcterms:created xsi:type="dcterms:W3CDTF">2017-09-19T10:13:00Z</dcterms:created>
  <dcterms:modified xsi:type="dcterms:W3CDTF">2017-10-03T08:48:00Z</dcterms:modified>
</cp:coreProperties>
</file>