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0D188" w14:textId="706F5C96" w:rsidR="007B71A0" w:rsidRDefault="007B71A0" w:rsidP="002B2873">
      <w:pPr>
        <w:tabs>
          <w:tab w:val="center" w:pos="4986"/>
          <w:tab w:val="right" w:pos="9972"/>
        </w:tabs>
        <w:rPr>
          <w:rFonts w:ascii="HelveticaLT" w:hAnsi="HelveticaLT"/>
          <w:sz w:val="20"/>
        </w:rPr>
      </w:pPr>
      <w:bookmarkStart w:id="0" w:name="_GoBack"/>
      <w:bookmarkEnd w:id="0"/>
    </w:p>
    <w:p w14:paraId="46A0D18C" w14:textId="2C702EDB" w:rsidR="007B71A0" w:rsidRDefault="002B2873">
      <w:pPr>
        <w:jc w:val="center"/>
        <w:rPr>
          <w:sz w:val="2"/>
          <w:szCs w:val="2"/>
        </w:rPr>
      </w:pPr>
      <w:r>
        <w:rPr>
          <w:b/>
          <w:bCs/>
          <w:noProof/>
          <w:szCs w:val="24"/>
          <w:lang w:eastAsia="lt-LT"/>
        </w:rPr>
        <w:drawing>
          <wp:inline distT="0" distB="0" distL="0" distR="0" wp14:anchorId="46A0D239" wp14:editId="46A0D23A">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3EFC088" w14:textId="77777777" w:rsidR="007B71A0" w:rsidRDefault="007B71A0">
      <w:pPr>
        <w:jc w:val="center"/>
        <w:rPr>
          <w:b/>
          <w:bCs/>
          <w:szCs w:val="24"/>
        </w:rPr>
      </w:pPr>
    </w:p>
    <w:p w14:paraId="46A0D190" w14:textId="4B329C37" w:rsidR="007B71A0" w:rsidRDefault="002B2873">
      <w:pPr>
        <w:jc w:val="center"/>
        <w:rPr>
          <w:b/>
          <w:bCs/>
          <w:szCs w:val="24"/>
        </w:rPr>
      </w:pPr>
      <w:r>
        <w:rPr>
          <w:b/>
          <w:bCs/>
          <w:szCs w:val="24"/>
        </w:rPr>
        <w:t>LIETUVOS RESPUBLIKOS ŠVIETIMO IR MOKSLO MINISTRAS</w:t>
      </w:r>
    </w:p>
    <w:p w14:paraId="0A9DC968" w14:textId="77777777" w:rsidR="007B71A0" w:rsidRDefault="007B71A0">
      <w:pPr>
        <w:overflowPunct w:val="0"/>
        <w:jc w:val="center"/>
        <w:textAlignment w:val="baseline"/>
        <w:rPr>
          <w:b/>
          <w:bCs/>
          <w:szCs w:val="24"/>
        </w:rPr>
      </w:pPr>
    </w:p>
    <w:p w14:paraId="24608582" w14:textId="77777777" w:rsidR="007B71A0" w:rsidRDefault="002B2873">
      <w:pPr>
        <w:overflowPunct w:val="0"/>
        <w:jc w:val="center"/>
        <w:textAlignment w:val="baseline"/>
        <w:rPr>
          <w:b/>
          <w:bCs/>
          <w:szCs w:val="24"/>
        </w:rPr>
      </w:pPr>
      <w:r>
        <w:rPr>
          <w:b/>
          <w:bCs/>
          <w:szCs w:val="24"/>
        </w:rPr>
        <w:t>ĮSAKYMAS</w:t>
      </w:r>
    </w:p>
    <w:p w14:paraId="60199619" w14:textId="05E414A2" w:rsidR="007B71A0" w:rsidRDefault="002B2873">
      <w:pPr>
        <w:overflowPunct w:val="0"/>
        <w:jc w:val="center"/>
        <w:textAlignment w:val="baseline"/>
        <w:rPr>
          <w:b/>
          <w:bCs/>
          <w:caps/>
          <w:szCs w:val="24"/>
        </w:rPr>
      </w:pPr>
      <w:r>
        <w:rPr>
          <w:b/>
          <w:bCs/>
          <w:szCs w:val="24"/>
        </w:rPr>
        <w:t xml:space="preserve">DĖL </w:t>
      </w:r>
      <w:r>
        <w:rPr>
          <w:b/>
          <w:bCs/>
          <w:caps/>
          <w:szCs w:val="24"/>
        </w:rPr>
        <w:t>ŠVIETIMO IR MOKSLO MINISTRO 2015 M. kovo 9 D. ĮSAKYMO NR. V-193 „DĖL 2014–2020 METŲ EUROPOS SĄJUNGOS FONDŲ INVESTICIJŲ VEIKSMŲ PROGRAMOS 9 PRIORITETO „VISUOMENĖS ŠVIETIMAS IR ŽMOGIŠKŲJŲ IŠTEKLIŲ POTENCIALO DIDINIMAS“ 09.3.3-ESFA-V-711 PRIEMONĖS „MOKSLININKŲ IR KITŲ TYRĖJŲ GEBĖJIMŲ STIPRINIMAS“ PROJEKTŲ FINANSAVIMO SĄLYGŲ APRAŠO NR. 1 PATVIRTINIMO“ PAKEITIMO</w:t>
      </w:r>
    </w:p>
    <w:p w14:paraId="28686FBC" w14:textId="77777777" w:rsidR="007B71A0" w:rsidRDefault="007B71A0">
      <w:pPr>
        <w:overflowPunct w:val="0"/>
        <w:jc w:val="center"/>
        <w:textAlignment w:val="baseline"/>
        <w:rPr>
          <w:b/>
          <w:bCs/>
          <w:caps/>
          <w:szCs w:val="24"/>
        </w:rPr>
      </w:pPr>
    </w:p>
    <w:p w14:paraId="3309F492" w14:textId="58D75042" w:rsidR="007B71A0" w:rsidRDefault="002B2873">
      <w:pPr>
        <w:keepNext/>
        <w:tabs>
          <w:tab w:val="left" w:pos="4927"/>
        </w:tabs>
        <w:overflowPunct w:val="0"/>
        <w:jc w:val="center"/>
        <w:textAlignment w:val="baseline"/>
        <w:outlineLvl w:val="2"/>
        <w:rPr>
          <w:szCs w:val="24"/>
        </w:rPr>
      </w:pPr>
      <w:r>
        <w:rPr>
          <w:szCs w:val="24"/>
        </w:rPr>
        <w:t>2017 m. kovo 22 d. Nr. V-191</w:t>
      </w:r>
    </w:p>
    <w:p w14:paraId="17AC9DD4" w14:textId="542F963F" w:rsidR="007B71A0" w:rsidRDefault="002B2873">
      <w:pPr>
        <w:overflowPunct w:val="0"/>
        <w:jc w:val="center"/>
        <w:textAlignment w:val="baseline"/>
        <w:rPr>
          <w:szCs w:val="24"/>
        </w:rPr>
      </w:pPr>
      <w:smartTag w:uri="urn:schemas-tilde-lv/tildestengine" w:element="firmas">
        <w:r>
          <w:rPr>
            <w:szCs w:val="24"/>
          </w:rPr>
          <w:t>Vilnius</w:t>
        </w:r>
      </w:smartTag>
    </w:p>
    <w:p w14:paraId="40A3CC9F" w14:textId="77777777" w:rsidR="007B71A0" w:rsidRDefault="007B71A0">
      <w:pPr>
        <w:overflowPunct w:val="0"/>
        <w:jc w:val="both"/>
        <w:textAlignment w:val="baseline"/>
        <w:rPr>
          <w:szCs w:val="24"/>
        </w:rPr>
      </w:pPr>
    </w:p>
    <w:p w14:paraId="66EDD284" w14:textId="429D3282" w:rsidR="007B71A0" w:rsidRDefault="007B71A0">
      <w:pPr>
        <w:overflowPunct w:val="0"/>
        <w:jc w:val="both"/>
        <w:textAlignment w:val="baseline"/>
        <w:rPr>
          <w:szCs w:val="24"/>
        </w:rPr>
      </w:pPr>
    </w:p>
    <w:p w14:paraId="46A0D1A0" w14:textId="1C0B2E4A" w:rsidR="007B71A0" w:rsidRDefault="002B2873">
      <w:pPr>
        <w:overflowPunct w:val="0"/>
        <w:ind w:firstLine="1134"/>
        <w:jc w:val="both"/>
        <w:textAlignment w:val="baseline"/>
        <w:rPr>
          <w:szCs w:val="24"/>
        </w:rPr>
      </w:pPr>
      <w:r>
        <w:rPr>
          <w:szCs w:val="24"/>
        </w:rPr>
        <w:t>Vadovaudamasi Projektų administravimo ir finansavimo taisyklių, patvirtintų Lietuvos Respublikos finansų ministro 2014 m. spalio 8 d. įsakymu Nr. 1K-316 „Dėl Projektų administravimo ir finansavimo taisyklių patvirtinimo“, 88 punktu,</w:t>
      </w:r>
    </w:p>
    <w:p w14:paraId="46A0D1A1" w14:textId="141C4837" w:rsidR="007B71A0" w:rsidRDefault="007B71A0">
      <w:pPr>
        <w:jc w:val="both"/>
        <w:rPr>
          <w:sz w:val="2"/>
          <w:szCs w:val="2"/>
        </w:rPr>
      </w:pPr>
    </w:p>
    <w:p w14:paraId="03DB816F" w14:textId="47C8B06B" w:rsidR="007B71A0" w:rsidRDefault="002B2873">
      <w:pPr>
        <w:ind w:firstLine="1134"/>
        <w:jc w:val="both"/>
      </w:pPr>
      <w:r>
        <w:rPr>
          <w:szCs w:val="24"/>
        </w:rPr>
        <w:t>p a k e i č i u 2014–2020 metų Europos Sąjungos fondų investicijų veiksmų programos 9 prioriteto „Visuomenės švietimas ir žmogiškųjų išteklių potencialo didinimas“ 09.3.3-ESFA-V-711 priemonės „Mokslininkų ir kitų tyrėjų gebėjimų stiprinimas“ projektų finansavimo sąlygų aprašą Nr. 1, patvirtintą Lietuvos Respublikos švietimo ir mokslo ministro 2015 m. kovo 9 d. įsakymu Nr. V-193 „Dėl 2014–2020 metų Europos Sąjungos fondų investicijų veiksmų programos 9 prioriteto „Visuomenės švietimas ir žmogiškųjų išteklių potencialo didinimas“ 09.3.3-ESFA-V-711 priemonės „Mokslininkų ir kitų tyrėjų gebėjimų stiprinimas“ projektų finansavimo sąlygų aprašo Nr. 1 patvirtinimo“, ir</w:t>
      </w:r>
      <w:r>
        <w:rPr>
          <w:color w:val="000000"/>
        </w:rPr>
        <w:t xml:space="preserve"> 32 punktą </w:t>
      </w:r>
      <w:r>
        <w:t xml:space="preserve">išdėstau </w:t>
      </w:r>
      <w:r>
        <w:rPr>
          <w:color w:val="000000"/>
        </w:rPr>
        <w:t>taip:</w:t>
      </w:r>
    </w:p>
    <w:p w14:paraId="46A0D1B3" w14:textId="0E50BCFA" w:rsidR="007B71A0" w:rsidRDefault="002B2873">
      <w:pPr>
        <w:overflowPunct w:val="0"/>
        <w:ind w:firstLine="1134"/>
        <w:jc w:val="both"/>
        <w:textAlignment w:val="baseline"/>
        <w:rPr>
          <w:szCs w:val="24"/>
        </w:rPr>
      </w:pPr>
      <w:r>
        <w:rPr>
          <w:szCs w:val="24"/>
        </w:rPr>
        <w:t>„32. Pagal Aprašą tinkamų arba netinkamų finansuoti išlaidų kategorijos yra šios: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2670"/>
        <w:gridCol w:w="5698"/>
      </w:tblGrid>
      <w:tr w:rsidR="007B71A0" w14:paraId="46A0D1B7" w14:textId="77777777">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4" w14:textId="565BC0B4" w:rsidR="007B71A0" w:rsidRDefault="002B2873">
            <w:pPr>
              <w:overflowPunct w:val="0"/>
              <w:jc w:val="center"/>
              <w:textAlignment w:val="baseline"/>
              <w:rPr>
                <w:b/>
                <w:bCs/>
                <w:szCs w:val="24"/>
              </w:rPr>
            </w:pPr>
            <w:r>
              <w:rPr>
                <w:b/>
                <w:bCs/>
                <w:szCs w:val="24"/>
              </w:rPr>
              <w:t>Išlaidų kategorijos Nr.</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5" w14:textId="77777777" w:rsidR="007B71A0" w:rsidRDefault="002B2873">
            <w:pPr>
              <w:overflowPunct w:val="0"/>
              <w:jc w:val="center"/>
              <w:textAlignment w:val="baseline"/>
              <w:rPr>
                <w:b/>
                <w:bCs/>
                <w:szCs w:val="24"/>
              </w:rPr>
            </w:pPr>
            <w:r>
              <w:rPr>
                <w:b/>
                <w:bCs/>
                <w:szCs w:val="24"/>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6" w14:textId="77777777" w:rsidR="007B71A0" w:rsidRDefault="002B2873">
            <w:pPr>
              <w:overflowPunct w:val="0"/>
              <w:jc w:val="center"/>
              <w:textAlignment w:val="baseline"/>
              <w:rPr>
                <w:szCs w:val="24"/>
              </w:rPr>
            </w:pPr>
            <w:r>
              <w:rPr>
                <w:b/>
                <w:bCs/>
                <w:szCs w:val="24"/>
              </w:rPr>
              <w:t>Reikalavimai ir paaiškinimai</w:t>
            </w:r>
          </w:p>
        </w:tc>
      </w:tr>
      <w:tr w:rsidR="007B71A0" w14:paraId="46A0D1BB" w14:textId="77777777">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8" w14:textId="77777777" w:rsidR="007B71A0" w:rsidRDefault="002B2873">
            <w:pPr>
              <w:overflowPunct w:val="0"/>
              <w:ind w:firstLine="137"/>
              <w:jc w:val="center"/>
              <w:textAlignment w:val="baseline"/>
              <w:rPr>
                <w:b/>
                <w:bCs/>
                <w:szCs w:val="24"/>
              </w:rPr>
            </w:pPr>
            <w:r>
              <w:rPr>
                <w:b/>
                <w:bCs/>
                <w:szCs w:val="24"/>
              </w:rPr>
              <w:t>1.</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9" w14:textId="77777777" w:rsidR="007B71A0" w:rsidRDefault="002B2873">
            <w:pPr>
              <w:overflowPunct w:val="0"/>
              <w:textAlignment w:val="baseline"/>
              <w:rPr>
                <w:b/>
                <w:bCs/>
                <w:szCs w:val="24"/>
              </w:rPr>
            </w:pPr>
            <w:r>
              <w:rPr>
                <w:b/>
                <w:bCs/>
                <w:szCs w:val="24"/>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A" w14:textId="77777777" w:rsidR="007B71A0" w:rsidRDefault="002B2873">
            <w:pPr>
              <w:overflowPunct w:val="0"/>
              <w:jc w:val="both"/>
              <w:textAlignment w:val="baseline"/>
              <w:rPr>
                <w:szCs w:val="24"/>
              </w:rPr>
            </w:pPr>
            <w:r>
              <w:rPr>
                <w:szCs w:val="24"/>
              </w:rPr>
              <w:t>Netinkama finansuoti.</w:t>
            </w:r>
          </w:p>
        </w:tc>
      </w:tr>
      <w:tr w:rsidR="007B71A0" w14:paraId="46A0D1BF" w14:textId="77777777">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C" w14:textId="77777777" w:rsidR="007B71A0" w:rsidRDefault="002B2873">
            <w:pPr>
              <w:overflowPunct w:val="0"/>
              <w:ind w:firstLine="137"/>
              <w:jc w:val="center"/>
              <w:textAlignment w:val="baseline"/>
              <w:rPr>
                <w:b/>
                <w:bCs/>
                <w:szCs w:val="24"/>
              </w:rPr>
            </w:pPr>
            <w:r>
              <w:rPr>
                <w:b/>
                <w:bCs/>
                <w:szCs w:val="24"/>
              </w:rPr>
              <w:t>2.</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D" w14:textId="77777777" w:rsidR="007B71A0" w:rsidRDefault="002B2873">
            <w:pPr>
              <w:overflowPunct w:val="0"/>
              <w:textAlignment w:val="baseline"/>
              <w:rPr>
                <w:b/>
                <w:bCs/>
                <w:szCs w:val="24"/>
              </w:rPr>
            </w:pPr>
            <w:r>
              <w:rPr>
                <w:b/>
                <w:bCs/>
                <w:szCs w:val="24"/>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BE" w14:textId="77777777" w:rsidR="007B71A0" w:rsidRDefault="002B2873">
            <w:pPr>
              <w:overflowPunct w:val="0"/>
              <w:jc w:val="both"/>
              <w:textAlignment w:val="baseline"/>
              <w:rPr>
                <w:bCs/>
                <w:szCs w:val="24"/>
              </w:rPr>
            </w:pPr>
            <w:r>
              <w:rPr>
                <w:bCs/>
                <w:szCs w:val="24"/>
              </w:rPr>
              <w:t>Netinkama finansuoti.</w:t>
            </w:r>
          </w:p>
        </w:tc>
      </w:tr>
      <w:tr w:rsidR="007B71A0" w14:paraId="46A0D1C3" w14:textId="77777777">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0" w14:textId="77777777" w:rsidR="007B71A0" w:rsidRDefault="002B2873">
            <w:pPr>
              <w:overflowPunct w:val="0"/>
              <w:ind w:firstLine="137"/>
              <w:jc w:val="center"/>
              <w:textAlignment w:val="baseline"/>
              <w:rPr>
                <w:b/>
                <w:bCs/>
                <w:szCs w:val="24"/>
              </w:rPr>
            </w:pPr>
            <w:r>
              <w:rPr>
                <w:b/>
                <w:bCs/>
                <w:szCs w:val="24"/>
              </w:rPr>
              <w:t>3.</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1" w14:textId="77777777" w:rsidR="007B71A0" w:rsidRDefault="002B2873">
            <w:pPr>
              <w:overflowPunct w:val="0"/>
              <w:ind w:right="-57"/>
              <w:textAlignment w:val="baseline"/>
              <w:rPr>
                <w:b/>
                <w:bCs/>
                <w:szCs w:val="24"/>
              </w:rPr>
            </w:pPr>
            <w:r>
              <w:rPr>
                <w:b/>
                <w:bCs/>
                <w:szCs w:val="24"/>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2" w14:textId="77777777" w:rsidR="007B71A0" w:rsidRDefault="002B2873">
            <w:pPr>
              <w:overflowPunct w:val="0"/>
              <w:jc w:val="both"/>
              <w:textAlignment w:val="baseline"/>
              <w:rPr>
                <w:bCs/>
                <w:szCs w:val="24"/>
              </w:rPr>
            </w:pPr>
            <w:r>
              <w:rPr>
                <w:bCs/>
                <w:szCs w:val="24"/>
              </w:rPr>
              <w:t>Netinkama finansuoti.</w:t>
            </w:r>
          </w:p>
        </w:tc>
      </w:tr>
      <w:tr w:rsidR="007B71A0" w14:paraId="46A0D1C7" w14:textId="77777777">
        <w:trPr>
          <w:trHeight w:val="582"/>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4" w14:textId="77777777" w:rsidR="007B71A0" w:rsidRDefault="002B2873">
            <w:pPr>
              <w:overflowPunct w:val="0"/>
              <w:ind w:firstLine="137"/>
              <w:jc w:val="center"/>
              <w:textAlignment w:val="baseline"/>
              <w:rPr>
                <w:b/>
                <w:bCs/>
                <w:szCs w:val="24"/>
              </w:rPr>
            </w:pPr>
            <w:r>
              <w:rPr>
                <w:b/>
                <w:bCs/>
                <w:szCs w:val="24"/>
              </w:rPr>
              <w:t>4.</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5" w14:textId="77777777" w:rsidR="007B71A0" w:rsidRDefault="002B2873">
            <w:pPr>
              <w:overflowPunct w:val="0"/>
              <w:textAlignment w:val="baseline"/>
              <w:rPr>
                <w:b/>
                <w:bCs/>
                <w:szCs w:val="24"/>
              </w:rPr>
            </w:pPr>
            <w:r>
              <w:rPr>
                <w:b/>
                <w:bCs/>
                <w:szCs w:val="24"/>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6" w14:textId="77777777" w:rsidR="007B71A0" w:rsidRDefault="002B2873">
            <w:pPr>
              <w:overflowPunct w:val="0"/>
              <w:jc w:val="both"/>
              <w:textAlignment w:val="baseline"/>
              <w:rPr>
                <w:szCs w:val="24"/>
              </w:rPr>
            </w:pPr>
            <w:r>
              <w:rPr>
                <w:szCs w:val="24"/>
              </w:rPr>
              <w:t>Tinkama finansuoti.</w:t>
            </w:r>
          </w:p>
        </w:tc>
      </w:tr>
      <w:tr w:rsidR="007B71A0" w14:paraId="46A0D1D2" w14:textId="77777777">
        <w:trPr>
          <w:trHeight w:val="582"/>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8" w14:textId="543A6414" w:rsidR="007B71A0" w:rsidRDefault="002B2873">
            <w:pPr>
              <w:overflowPunct w:val="0"/>
              <w:ind w:firstLine="137"/>
              <w:jc w:val="center"/>
              <w:textAlignment w:val="baseline"/>
              <w:rPr>
                <w:b/>
                <w:bCs/>
                <w:szCs w:val="24"/>
              </w:rPr>
            </w:pPr>
            <w:r>
              <w:rPr>
                <w:b/>
                <w:bCs/>
                <w:szCs w:val="24"/>
              </w:rPr>
              <w:t>5.</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9" w14:textId="77777777" w:rsidR="007B71A0" w:rsidRDefault="002B2873">
            <w:pPr>
              <w:overflowPunct w:val="0"/>
              <w:jc w:val="center"/>
              <w:textAlignment w:val="baseline"/>
              <w:rPr>
                <w:b/>
                <w:bCs/>
                <w:szCs w:val="24"/>
              </w:rPr>
            </w:pPr>
            <w:r>
              <w:rPr>
                <w:b/>
                <w:bCs/>
                <w:szCs w:val="24"/>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CA" w14:textId="77777777" w:rsidR="007B71A0" w:rsidRDefault="002B2873">
            <w:pPr>
              <w:overflowPunct w:val="0"/>
              <w:jc w:val="both"/>
              <w:textAlignment w:val="baseline"/>
              <w:rPr>
                <w:szCs w:val="24"/>
              </w:rPr>
            </w:pPr>
            <w:r>
              <w:rPr>
                <w:szCs w:val="24"/>
              </w:rPr>
              <w:t>Tinkama finansuoti.</w:t>
            </w:r>
          </w:p>
          <w:p w14:paraId="46A0D1CB" w14:textId="12CFB428" w:rsidR="007B71A0" w:rsidRDefault="002B2873">
            <w:pPr>
              <w:overflowPunct w:val="0"/>
              <w:jc w:val="both"/>
              <w:textAlignment w:val="baseline"/>
              <w:rPr>
                <w:szCs w:val="24"/>
              </w:rPr>
            </w:pPr>
            <w:r>
              <w:rPr>
                <w:szCs w:val="24"/>
              </w:rPr>
              <w:t xml:space="preserve">Projekto veikloms Lietuvoje vykdyti (vykdančiojo personalo komandiruotės, dalyvių kelionės ir komandiruotės) reikalingos transporto išlaidos apmokamos taikant fiksuotuosius įkainius. Įkainiai nustatomi vadovaujantis Lietuvos Respublikos finansų ministerijos 2015 m. balandžio 24 d. Kuro ir viešojo transporto išlaidų fiksuotųjų įkainių nustatymo tyrimo ataskaita. Ši ataskaita skelbiama ES struktūrinių fondų svetainėje adresu </w:t>
            </w:r>
            <w:r>
              <w:t>http://www.esinvesticijos.lt/lt/dokumentai/supaprastinto-islaidu-apmokejimo-tyrimai</w:t>
            </w:r>
            <w:r>
              <w:rPr>
                <w:szCs w:val="24"/>
              </w:rPr>
              <w:t>.</w:t>
            </w:r>
          </w:p>
          <w:p w14:paraId="04834C8D" w14:textId="77777777" w:rsidR="007B71A0" w:rsidRDefault="007B71A0">
            <w:pPr>
              <w:overflowPunct w:val="0"/>
              <w:jc w:val="both"/>
              <w:textAlignment w:val="baseline"/>
              <w:rPr>
                <w:szCs w:val="24"/>
              </w:rPr>
            </w:pPr>
          </w:p>
          <w:p w14:paraId="46A0D1CC" w14:textId="2321BB09" w:rsidR="007B71A0" w:rsidRDefault="002B2873">
            <w:pPr>
              <w:overflowPunct w:val="0"/>
              <w:jc w:val="both"/>
              <w:textAlignment w:val="baseline"/>
              <w:rPr>
                <w:szCs w:val="24"/>
              </w:rPr>
            </w:pPr>
            <w:r>
              <w:rPr>
                <w:szCs w:val="24"/>
              </w:rPr>
              <w:t xml:space="preserve">Projekto veikloms vykdyti reikalingų mokslininkų (tyrėjų) ar doktorantų ir jų šeimos narių persikėlimo išlaidos apmokamos taikant fiksuotuosius įkainius. Įkainiai nustatomi vadovaujantis Persikėlimo išlaidų fiksuotųjų įkainių apskaičiavimo tyrimo ataskaita, patvirtinta Lietuvos mokslo tarybos pirmininko 2014 m. spalio 20 d. įsakymu Nr. V-199 „Dėl persikėlimo išlaidų fiksuotųjų įkainių apskaičiavimo tyrimo ataskaitos patvirtinimo“. Ši ataskaita skelbiama ES struktūrinių fondų svetainėje adresu </w:t>
            </w:r>
            <w:r>
              <w:t>http://www.esinvesticijos.lt/lt/dokumentai/supaprastinto-islaidu-apmokejimo-tyrimai</w:t>
            </w:r>
            <w:r>
              <w:rPr>
                <w:szCs w:val="24"/>
              </w:rPr>
              <w:t>.</w:t>
            </w:r>
          </w:p>
          <w:p w14:paraId="41E4EFFC" w14:textId="77777777" w:rsidR="007B71A0" w:rsidRDefault="007B71A0">
            <w:pPr>
              <w:overflowPunct w:val="0"/>
              <w:jc w:val="both"/>
              <w:textAlignment w:val="baseline"/>
              <w:rPr>
                <w:szCs w:val="24"/>
              </w:rPr>
            </w:pPr>
          </w:p>
          <w:p w14:paraId="46A0D1CD" w14:textId="08290DF5" w:rsidR="007B71A0" w:rsidRDefault="002B2873">
            <w:pPr>
              <w:overflowPunct w:val="0"/>
              <w:jc w:val="both"/>
              <w:textAlignment w:val="baseline"/>
              <w:rPr>
                <w:szCs w:val="24"/>
              </w:rPr>
            </w:pPr>
            <w:r>
              <w:rPr>
                <w:szCs w:val="24"/>
              </w:rPr>
              <w:t xml:space="preserve">Projekto veikloms vykdyti reikalingų mokslininkų (tyrėjų) darbo užmokesčio išlaidos apmokamos taikant fiksuotuosius įkainius. Įkainiai nustatomi vadovaujantis Darbo užmokesčio fiksuotųjų įkainių dydžių mokslinių tyrimų projektuose nustatymo tyrimo ataskaita, patvirtinta Lietuvos mokslo tarybos pirmininko 2014 m. lapkričio 10 d. įsakymu Nr. V-227 „Dėl Darbo užmokesčio fiksuotųjų įkainių dydžių mokslinių tyrimų projektuose nustatymo tyrimo ataskaitos patvirtinimo“. Ši ataskaita skelbiama ES struktūrinių fondų svetainėje adresu </w:t>
            </w:r>
            <w:r>
              <w:t>http://www.esinvesticijos.lt/lt/dokumentai/supaprastinto-islaidu-apmokejimo-tyrimai</w:t>
            </w:r>
            <w:r>
              <w:rPr>
                <w:szCs w:val="24"/>
              </w:rPr>
              <w:t>.</w:t>
            </w:r>
          </w:p>
          <w:p w14:paraId="46BAC6D0" w14:textId="77777777" w:rsidR="007B71A0" w:rsidRDefault="007B71A0">
            <w:pPr>
              <w:overflowPunct w:val="0"/>
              <w:jc w:val="both"/>
              <w:textAlignment w:val="baseline"/>
              <w:rPr>
                <w:szCs w:val="24"/>
              </w:rPr>
            </w:pPr>
          </w:p>
          <w:p w14:paraId="46A0D1CE" w14:textId="42D1764A" w:rsidR="007B71A0" w:rsidRDefault="002B2873">
            <w:pPr>
              <w:overflowPunct w:val="0"/>
              <w:jc w:val="both"/>
              <w:textAlignment w:val="baseline"/>
              <w:rPr>
                <w:color w:val="000000"/>
                <w:szCs w:val="24"/>
              </w:rPr>
            </w:pPr>
            <w:r>
              <w:rPr>
                <w:szCs w:val="24"/>
              </w:rPr>
              <w:t>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w:t>
            </w:r>
            <w:r>
              <w:rPr>
                <w:color w:val="000000"/>
                <w:szCs w:val="24"/>
              </w:rPr>
              <w:t>. Ši ataskaita skelbiama ES struktūrinių fondų svetainėje adresu http://www.esinvesticijos.lt/lt/dokumentai/supaprastinto-islaidu-apmokejimo-tyrimai.</w:t>
            </w:r>
          </w:p>
          <w:p w14:paraId="48A200D1" w14:textId="77777777" w:rsidR="007B71A0" w:rsidRDefault="007B71A0">
            <w:pPr>
              <w:overflowPunct w:val="0"/>
              <w:jc w:val="both"/>
              <w:textAlignment w:val="baseline"/>
              <w:rPr>
                <w:color w:val="000000"/>
                <w:szCs w:val="24"/>
              </w:rPr>
            </w:pPr>
          </w:p>
          <w:p w14:paraId="35F0BCFD" w14:textId="279AE386" w:rsidR="007B71A0" w:rsidRDefault="002B2873">
            <w:pPr>
              <w:overflowPunct w:val="0"/>
              <w:jc w:val="both"/>
              <w:textAlignment w:val="baseline"/>
              <w:rPr>
                <w:color w:val="000000"/>
              </w:rPr>
            </w:pPr>
            <w:r>
              <w:rPr>
                <w:color w:val="000000"/>
              </w:rPr>
              <w:t>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Lietuvos Respublikos finansų ministerijos 2016 m. sausio 19 d. Kasmetinių atostogų ir papildomų poilsio dienų išmokų fiksuotųjų normų nustatymo tyrimo ataskaita. Ši ataskaita skelbiama ES struktūrinių fondų svetainėje adresu http://www.esinvesticijos.lt/lt/dokumentai/supaprastinto-islaidu-apmokejimo-tyrimai.</w:t>
            </w:r>
          </w:p>
          <w:p w14:paraId="4F2B154E" w14:textId="77777777" w:rsidR="007B71A0" w:rsidRDefault="007B71A0">
            <w:pPr>
              <w:overflowPunct w:val="0"/>
              <w:jc w:val="both"/>
              <w:textAlignment w:val="baseline"/>
              <w:rPr>
                <w:color w:val="000000"/>
                <w:szCs w:val="24"/>
              </w:rPr>
            </w:pPr>
          </w:p>
          <w:p w14:paraId="0B2EDBF2" w14:textId="51847627" w:rsidR="007B71A0" w:rsidRDefault="002B2873">
            <w:pPr>
              <w:overflowPunct w:val="0"/>
              <w:jc w:val="both"/>
              <w:textAlignment w:val="baseline"/>
              <w:rPr>
                <w:color w:val="000000"/>
                <w:lang w:eastAsia="lt-LT"/>
              </w:rPr>
            </w:pPr>
            <w:r>
              <w:rPr>
                <w:color w:val="000000"/>
                <w:lang w:eastAsia="lt-LT"/>
              </w:rPr>
              <w:t>Projekto veikloms vykdyti reikalingos renginio organizavimo išlaidos apmokamos taikant fiksuotuosius įkainius, kurių dydžiai nustatyti Europos socialinio fondo agentūros 2016 m. liepos 13 d. Renginio organizavimo fiksuotojo įkainio nustatymo tyrimo ataskaitoje. Ši ataskaita skelbiama ES struktūrinių fondų svetainėje adresu http://www.esinvesticijos.lt/lt/dokumentai/supaprastinto-islaidu-apmokejimo-tyrimai.</w:t>
            </w:r>
          </w:p>
          <w:p w14:paraId="42DD4327" w14:textId="77777777" w:rsidR="007B71A0" w:rsidRDefault="007B71A0">
            <w:pPr>
              <w:overflowPunct w:val="0"/>
              <w:jc w:val="both"/>
              <w:textAlignment w:val="baseline"/>
              <w:rPr>
                <w:color w:val="000000"/>
                <w:szCs w:val="24"/>
              </w:rPr>
            </w:pPr>
          </w:p>
          <w:p w14:paraId="46A0D1CF" w14:textId="7C175661" w:rsidR="007B71A0" w:rsidRDefault="002B2873">
            <w:pPr>
              <w:overflowPunct w:val="0"/>
              <w:jc w:val="both"/>
              <w:textAlignment w:val="baseline"/>
              <w:rPr>
                <w:szCs w:val="24"/>
              </w:rPr>
            </w:pPr>
            <w:r>
              <w:rPr>
                <w:szCs w:val="24"/>
              </w:rPr>
              <w:t xml:space="preserve">Pagal Aprašo 9.2 papunktyje numatytą veiklą projekto veikloms vykdyti reikalingos norminės studijų kainos apmokamos taikant norminės studijų kainos fiksuotuosius įkainius. Įkainiai nustatomi vadovaujantis Norminių studijų krypties (studijų programų grupės) studijų kainų apskaičiavimo ir Lietuvos Respublikos valstybės biudžeto lėšų studijų kainai valstybės finansuojamose studijų vietose apmokėti skyrimo tvarkos aprašu, patvirtintu Lietuvos Respublikos Vyriausybės 2009 m. gegužės 13 d. nutarimu Nr. 402 „Dėl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taip pat švietimo ir mokslo ministro įsakymais, kuriais kasmet patvirtinami norminės studijų kainos dydžiai studentams, konkrečiais kalendoriniais metais priimamiems į aukštąsias mokyklas. Šių fiksuotųjų įkainių dydžiai ir jų taikymo sąlygos nustatytos Lietuvos Respublikos švietimo ir mokslo ministerijos 2015 m. spalio 15 d. Norminės studijų kainos fiksuotųjų įkainių nustatymo pagrindime, kuris skelbiamas ES struktūrinių fondų svetainėje adresu </w:t>
            </w:r>
            <w:r>
              <w:t>http://www.esinvesticijos.lt/lt/dokumentai/supaprastinto-islaidu-apmokejimo-tyrimai</w:t>
            </w:r>
            <w:r>
              <w:rPr>
                <w:szCs w:val="24"/>
              </w:rPr>
              <w:t>.</w:t>
            </w:r>
          </w:p>
          <w:p w14:paraId="3D6605A3" w14:textId="77777777" w:rsidR="007B71A0" w:rsidRDefault="007B71A0">
            <w:pPr>
              <w:overflowPunct w:val="0"/>
              <w:jc w:val="both"/>
              <w:textAlignment w:val="baseline"/>
              <w:rPr>
                <w:szCs w:val="24"/>
              </w:rPr>
            </w:pPr>
          </w:p>
          <w:p w14:paraId="46A0D1D0" w14:textId="5859D63D" w:rsidR="007B71A0" w:rsidRDefault="002B2873">
            <w:pPr>
              <w:overflowPunct w:val="0"/>
              <w:jc w:val="both"/>
              <w:textAlignment w:val="baseline"/>
              <w:rPr>
                <w:szCs w:val="24"/>
              </w:rPr>
            </w:pPr>
            <w:r>
              <w:rPr>
                <w:szCs w:val="24"/>
              </w:rPr>
              <w:t xml:space="preserve">Pagal Aprašo 9.2 papunktyje numatytą veiklą projekto veikloms vykdyti reikalingos doktorantų stipendijų išlaidos apmokamos taikant doktorantų stipendijos fiksuotuosius įkainius. Įkainiai nustatomi vadovaujantis Lietuvos Respublikos Vyriausybės 2002 m. rugsėjo 11 d. nutarimu Nr. 1431 „Dėl valstybės paramos doktorantams tvarkos“. Šių fiksuotųjų įkainių dydžiai ir jų taikymo sąlygos nustatytos Lietuvos Respublikos švietimo ir mokslo ministerijos 2015 m. spalio 12 d. Doktorantų stipendijos fiksuotųjų įkainių nustatymo pagrindime, kuris skelbiamas ES struktūrinių fondų svetainėje adresu </w:t>
            </w:r>
            <w:r>
              <w:t>http://www.esinvesticijos.lt/lt/dokumentai/supaprastinto-islaidu-apmokejimo-tyrimai</w:t>
            </w:r>
            <w:r>
              <w:rPr>
                <w:szCs w:val="24"/>
              </w:rPr>
              <w:t>.</w:t>
            </w:r>
          </w:p>
          <w:p w14:paraId="3FD09B78" w14:textId="77777777" w:rsidR="007B71A0" w:rsidRDefault="007B71A0">
            <w:pPr>
              <w:overflowPunct w:val="0"/>
              <w:jc w:val="both"/>
              <w:textAlignment w:val="baseline"/>
              <w:rPr>
                <w:szCs w:val="24"/>
              </w:rPr>
            </w:pPr>
          </w:p>
          <w:p w14:paraId="46A0D1D1" w14:textId="77777777" w:rsidR="007B71A0" w:rsidRDefault="002B2873">
            <w:pPr>
              <w:overflowPunct w:val="0"/>
              <w:jc w:val="both"/>
              <w:textAlignment w:val="baseline"/>
              <w:rPr>
                <w:szCs w:val="24"/>
              </w:rPr>
            </w:pPr>
            <w:r>
              <w:rPr>
                <w:szCs w:val="24"/>
              </w:rPr>
              <w:t>Pagal Aprašo 9.5 papunktyje numatytą veiklą tinkama finansuoti apdovanojimus vadovaujantis Projekto taisyklių 31 skirsniu.</w:t>
            </w:r>
          </w:p>
        </w:tc>
      </w:tr>
      <w:tr w:rsidR="007B71A0" w14:paraId="46A0D1D6" w14:textId="77777777">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D3" w14:textId="77777777" w:rsidR="007B71A0" w:rsidRDefault="002B2873">
            <w:pPr>
              <w:overflowPunct w:val="0"/>
              <w:ind w:firstLine="137"/>
              <w:jc w:val="center"/>
              <w:textAlignment w:val="baseline"/>
              <w:rPr>
                <w:b/>
                <w:bCs/>
                <w:szCs w:val="24"/>
              </w:rPr>
            </w:pPr>
            <w:r>
              <w:rPr>
                <w:b/>
                <w:bCs/>
                <w:szCs w:val="24"/>
              </w:rPr>
              <w:t>6.</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D4" w14:textId="77777777" w:rsidR="007B71A0" w:rsidRDefault="002B2873">
            <w:pPr>
              <w:overflowPunct w:val="0"/>
              <w:textAlignment w:val="baseline"/>
              <w:rPr>
                <w:b/>
                <w:bCs/>
                <w:szCs w:val="24"/>
              </w:rPr>
            </w:pPr>
            <w:r>
              <w:rPr>
                <w:b/>
                <w:bCs/>
                <w:szCs w:val="24"/>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D5" w14:textId="77777777" w:rsidR="007B71A0" w:rsidRDefault="002B2873">
            <w:pPr>
              <w:overflowPunct w:val="0"/>
              <w:jc w:val="both"/>
              <w:textAlignment w:val="baseline"/>
              <w:rPr>
                <w:i/>
                <w:szCs w:val="24"/>
              </w:rPr>
            </w:pPr>
            <w:r>
              <w:rPr>
                <w:szCs w:val="24"/>
              </w:rPr>
              <w:t>Tinkamos finansuoti tik privalomos informavimo apie projektą priemonės pagal Projektų taisyklių 37 skirsnio 450 punktą.</w:t>
            </w:r>
          </w:p>
        </w:tc>
      </w:tr>
      <w:tr w:rsidR="007B71A0" w14:paraId="46A0D1DB" w14:textId="77777777">
        <w:trPr>
          <w:trHeight w:val="1127"/>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A0D1D7" w14:textId="77777777" w:rsidR="007B71A0" w:rsidRDefault="002B2873">
            <w:pPr>
              <w:overflowPunct w:val="0"/>
              <w:ind w:firstLine="137"/>
              <w:jc w:val="center"/>
              <w:textAlignment w:val="baseline"/>
              <w:rPr>
                <w:b/>
                <w:bCs/>
                <w:szCs w:val="24"/>
              </w:rPr>
            </w:pPr>
            <w:r>
              <w:rPr>
                <w:b/>
                <w:bCs/>
                <w:szCs w:val="24"/>
              </w:rPr>
              <w:t>7.</w:t>
            </w:r>
          </w:p>
        </w:tc>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6A0D1D8" w14:textId="77777777" w:rsidR="007B71A0" w:rsidRDefault="002B2873">
            <w:pPr>
              <w:overflowPunct w:val="0"/>
              <w:textAlignment w:val="baseline"/>
              <w:rPr>
                <w:b/>
                <w:bCs/>
                <w:szCs w:val="24"/>
              </w:rPr>
            </w:pPr>
            <w:r>
              <w:rPr>
                <w:b/>
                <w:bCs/>
                <w:szCs w:val="24"/>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A0D1D9" w14:textId="77777777" w:rsidR="007B71A0" w:rsidRDefault="002B2873">
            <w:pPr>
              <w:overflowPunct w:val="0"/>
              <w:ind w:right="5"/>
              <w:jc w:val="both"/>
              <w:textAlignment w:val="baseline"/>
              <w:rPr>
                <w:szCs w:val="24"/>
              </w:rPr>
            </w:pPr>
            <w:r>
              <w:rPr>
                <w:szCs w:val="24"/>
              </w:rPr>
              <w:t xml:space="preserve">Tinkama finansuoti. </w:t>
            </w:r>
          </w:p>
          <w:p w14:paraId="46A0D1DA" w14:textId="77777777" w:rsidR="007B71A0" w:rsidRDefault="002B2873">
            <w:pPr>
              <w:overflowPunct w:val="0"/>
              <w:ind w:right="5"/>
              <w:jc w:val="both"/>
              <w:textAlignment w:val="baseline"/>
              <w:rPr>
                <w:szCs w:val="24"/>
              </w:rPr>
            </w:pPr>
            <w:r>
              <w:rPr>
                <w:szCs w:val="24"/>
              </w:rPr>
              <w:t>Netiesioginėms projekto išlaidoms apmokėti taikoma fiksuotoji projekto išlaidų norma apskaičiuojama pagal Projektų taisyklių 10 priedą.“</w:t>
            </w:r>
            <w:r>
              <w:rPr>
                <w:i/>
                <w:szCs w:val="24"/>
              </w:rPr>
              <w:t xml:space="preserve"> </w:t>
            </w:r>
          </w:p>
        </w:tc>
      </w:tr>
    </w:tbl>
    <w:p w14:paraId="00E0CFFC" w14:textId="014F32C8" w:rsidR="007B71A0" w:rsidRDefault="007B71A0">
      <w:pPr>
        <w:tabs>
          <w:tab w:val="left" w:pos="5778"/>
        </w:tabs>
        <w:overflowPunct w:val="0"/>
        <w:textAlignment w:val="baseline"/>
      </w:pPr>
    </w:p>
    <w:p w14:paraId="4D27A3DF" w14:textId="77777777" w:rsidR="002B2873" w:rsidRDefault="002B2873">
      <w:pPr>
        <w:tabs>
          <w:tab w:val="left" w:pos="5778"/>
        </w:tabs>
        <w:overflowPunct w:val="0"/>
        <w:textAlignment w:val="baseline"/>
      </w:pPr>
    </w:p>
    <w:p w14:paraId="5044AC71" w14:textId="77777777" w:rsidR="002B2873" w:rsidRDefault="002B2873">
      <w:pPr>
        <w:tabs>
          <w:tab w:val="left" w:pos="5778"/>
        </w:tabs>
        <w:overflowPunct w:val="0"/>
        <w:textAlignment w:val="baseline"/>
      </w:pPr>
    </w:p>
    <w:p w14:paraId="75984077" w14:textId="77777777" w:rsidR="002B2873" w:rsidRDefault="002B2873">
      <w:pPr>
        <w:tabs>
          <w:tab w:val="left" w:pos="5778"/>
        </w:tabs>
        <w:overflowPunct w:val="0"/>
        <w:textAlignment w:val="baseline"/>
      </w:pPr>
    </w:p>
    <w:p w14:paraId="6FA83784" w14:textId="04C68E10" w:rsidR="007B71A0" w:rsidRDefault="002B2873">
      <w:pPr>
        <w:tabs>
          <w:tab w:val="left" w:pos="5778"/>
        </w:tabs>
        <w:overflowPunct w:val="0"/>
        <w:textAlignment w:val="baseline"/>
        <w:rPr>
          <w:szCs w:val="24"/>
        </w:rPr>
      </w:pPr>
      <w:r>
        <w:rPr>
          <w:szCs w:val="24"/>
        </w:rPr>
        <w:t>Švietimo ir mokslo ministrė</w:t>
      </w:r>
      <w:r>
        <w:rPr>
          <w:szCs w:val="24"/>
        </w:rPr>
        <w:tab/>
      </w:r>
      <w:r>
        <w:rPr>
          <w:szCs w:val="24"/>
        </w:rPr>
        <w:tab/>
      </w:r>
      <w:r>
        <w:rPr>
          <w:szCs w:val="24"/>
        </w:rPr>
        <w:tab/>
        <w:t>Jurgita Petrauskienė</w:t>
      </w:r>
    </w:p>
    <w:p w14:paraId="2366A93B" w14:textId="77777777" w:rsidR="007B71A0" w:rsidRDefault="007B71A0">
      <w:pPr>
        <w:overflowPunct w:val="0"/>
        <w:jc w:val="both"/>
        <w:textAlignment w:val="baseline"/>
        <w:rPr>
          <w:color w:val="000000"/>
          <w:szCs w:val="24"/>
        </w:rPr>
      </w:pPr>
    </w:p>
    <w:p w14:paraId="2F6E274C" w14:textId="77777777" w:rsidR="007B71A0" w:rsidRDefault="007B71A0">
      <w:pPr>
        <w:overflowPunct w:val="0"/>
        <w:jc w:val="both"/>
        <w:textAlignment w:val="baseline"/>
        <w:rPr>
          <w:color w:val="000000"/>
          <w:szCs w:val="24"/>
        </w:rPr>
      </w:pPr>
    </w:p>
    <w:p w14:paraId="345BDFCC" w14:textId="77777777" w:rsidR="007B71A0" w:rsidRDefault="007B71A0">
      <w:pPr>
        <w:overflowPunct w:val="0"/>
        <w:jc w:val="both"/>
        <w:textAlignment w:val="baseline"/>
        <w:rPr>
          <w:color w:val="000000"/>
          <w:szCs w:val="24"/>
        </w:rPr>
      </w:pPr>
    </w:p>
    <w:p w14:paraId="6DBA2A57" w14:textId="77777777" w:rsidR="007B71A0" w:rsidRDefault="002B2873">
      <w:pPr>
        <w:overflowPunct w:val="0"/>
        <w:jc w:val="both"/>
        <w:textAlignment w:val="baseline"/>
        <w:rPr>
          <w:color w:val="000000"/>
          <w:szCs w:val="24"/>
        </w:rPr>
      </w:pPr>
      <w:r>
        <w:rPr>
          <w:color w:val="000000"/>
          <w:szCs w:val="24"/>
        </w:rPr>
        <w:t xml:space="preserve">SUDERINTA </w:t>
      </w:r>
    </w:p>
    <w:p w14:paraId="332F53E4" w14:textId="3B640124" w:rsidR="007B71A0" w:rsidRDefault="002B2873">
      <w:pPr>
        <w:overflowPunct w:val="0"/>
        <w:jc w:val="both"/>
        <w:textAlignment w:val="baseline"/>
        <w:rPr>
          <w:color w:val="000000"/>
          <w:szCs w:val="24"/>
        </w:rPr>
      </w:pPr>
      <w:r>
        <w:rPr>
          <w:color w:val="000000"/>
          <w:szCs w:val="24"/>
        </w:rPr>
        <w:t>Europos socialinio fondo agentūros</w:t>
      </w:r>
    </w:p>
    <w:p w14:paraId="46A0D238" w14:textId="5F3FA2C1" w:rsidR="007B71A0" w:rsidRDefault="002B2873">
      <w:pPr>
        <w:overflowPunct w:val="0"/>
        <w:jc w:val="both"/>
        <w:textAlignment w:val="baseline"/>
        <w:rPr>
          <w:szCs w:val="24"/>
        </w:rPr>
      </w:pPr>
      <w:r>
        <w:rPr>
          <w:szCs w:val="24"/>
        </w:rPr>
        <w:t>2017 m. kovo 16 d. raštu Nr. SB-2017-00217</w:t>
      </w:r>
    </w:p>
    <w:sectPr w:rsidR="007B71A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C41B0" w14:textId="77777777" w:rsidR="00D1254B" w:rsidRDefault="00D1254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DACBF22" w14:textId="77777777" w:rsidR="00D1254B" w:rsidRDefault="00D1254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panose1 w:val="00000000000000000000"/>
    <w:charset w:val="BA"/>
    <w:family w:val="swiss"/>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D241" w14:textId="77777777" w:rsidR="007B71A0" w:rsidRDefault="002B2873">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6A0D242" w14:textId="77777777" w:rsidR="007B71A0" w:rsidRDefault="007B71A0">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D243" w14:textId="77777777" w:rsidR="007B71A0" w:rsidRDefault="007B71A0">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D245" w14:textId="77777777" w:rsidR="007B71A0" w:rsidRDefault="007B71A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CB1C1" w14:textId="77777777" w:rsidR="00D1254B" w:rsidRDefault="00D1254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BFA7D71" w14:textId="77777777" w:rsidR="00D1254B" w:rsidRDefault="00D1254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D23F" w14:textId="77777777" w:rsidR="007B71A0" w:rsidRDefault="007B71A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D240" w14:textId="77777777" w:rsidR="007B71A0" w:rsidRDefault="007B71A0">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D244" w14:textId="77777777" w:rsidR="007B71A0" w:rsidRDefault="007B71A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40"/>
    <w:rsid w:val="001E12FD"/>
    <w:rsid w:val="002B2873"/>
    <w:rsid w:val="007B71A0"/>
    <w:rsid w:val="00B844B5"/>
    <w:rsid w:val="00D1254B"/>
    <w:rsid w:val="00FE3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46A0D188"/>
  <w15:docId w15:val="{952F2943-DE74-40B8-B389-8D51CE38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B2873"/>
    <w:rPr>
      <w:rFonts w:ascii="Tahoma" w:hAnsi="Tahoma" w:cs="Tahoma"/>
      <w:sz w:val="16"/>
      <w:szCs w:val="16"/>
    </w:rPr>
  </w:style>
  <w:style w:type="character" w:customStyle="1" w:styleId="DebesliotekstasDiagrama">
    <w:name w:val="Debesėlio tekstas Diagrama"/>
    <w:basedOn w:val="Numatytasispastraiposriftas"/>
    <w:link w:val="Debesliotekstas"/>
    <w:rsid w:val="002B2873"/>
    <w:rPr>
      <w:rFonts w:ascii="Tahoma" w:hAnsi="Tahoma" w:cs="Tahoma"/>
      <w:sz w:val="16"/>
      <w:szCs w:val="16"/>
    </w:rPr>
  </w:style>
  <w:style w:type="character" w:styleId="Vietosrezervavimoenklotekstas">
    <w:name w:val="Placeholder Text"/>
    <w:basedOn w:val="Numatytasispastraiposriftas"/>
    <w:rsid w:val="002B28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3447">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62499366">
      <w:bodyDiv w:val="1"/>
      <w:marLeft w:val="0"/>
      <w:marRight w:val="0"/>
      <w:marTop w:val="0"/>
      <w:marBottom w:val="0"/>
      <w:divBdr>
        <w:top w:val="none" w:sz="0" w:space="0" w:color="auto"/>
        <w:left w:val="none" w:sz="0" w:space="0" w:color="auto"/>
        <w:bottom w:val="none" w:sz="0" w:space="0" w:color="auto"/>
        <w:right w:val="none" w:sz="0" w:space="0" w:color="auto"/>
      </w:divBdr>
    </w:div>
    <w:div w:id="481849226">
      <w:bodyDiv w:val="1"/>
      <w:marLeft w:val="0"/>
      <w:marRight w:val="0"/>
      <w:marTop w:val="0"/>
      <w:marBottom w:val="0"/>
      <w:divBdr>
        <w:top w:val="none" w:sz="0" w:space="0" w:color="auto"/>
        <w:left w:val="none" w:sz="0" w:space="0" w:color="auto"/>
        <w:bottom w:val="none" w:sz="0" w:space="0" w:color="auto"/>
        <w:right w:val="none" w:sz="0" w:space="0" w:color="auto"/>
      </w:divBdr>
    </w:div>
    <w:div w:id="818691278">
      <w:bodyDiv w:val="1"/>
      <w:marLeft w:val="0"/>
      <w:marRight w:val="0"/>
      <w:marTop w:val="0"/>
      <w:marBottom w:val="0"/>
      <w:divBdr>
        <w:top w:val="none" w:sz="0" w:space="0" w:color="auto"/>
        <w:left w:val="none" w:sz="0" w:space="0" w:color="auto"/>
        <w:bottom w:val="none" w:sz="0" w:space="0" w:color="auto"/>
        <w:right w:val="none" w:sz="0" w:space="0" w:color="auto"/>
      </w:divBdr>
    </w:div>
    <w:div w:id="1230388480">
      <w:bodyDiv w:val="1"/>
      <w:marLeft w:val="0"/>
      <w:marRight w:val="0"/>
      <w:marTop w:val="0"/>
      <w:marBottom w:val="0"/>
      <w:divBdr>
        <w:top w:val="none" w:sz="0" w:space="0" w:color="auto"/>
        <w:left w:val="none" w:sz="0" w:space="0" w:color="auto"/>
        <w:bottom w:val="none" w:sz="0" w:space="0" w:color="auto"/>
        <w:right w:val="none" w:sz="0" w:space="0" w:color="auto"/>
      </w:divBdr>
    </w:div>
    <w:div w:id="126072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fd0db7fa-0411-4470-bac6-7a7fbb2395dd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93BA8-5BBB-4A32-A11C-B8B88DDD3AC3}">
  <ds:schemaRefs>
    <ds:schemaRef ds:uri="http://schemas.microsoft.com/sharepoint/v3/contenttype/forms"/>
  </ds:schemaRefs>
</ds:datastoreItem>
</file>

<file path=customXml/itemProps2.xml><?xml version="1.0" encoding="utf-8"?>
<ds:datastoreItem xmlns:ds="http://schemas.openxmlformats.org/officeDocument/2006/customXml" ds:itemID="{23BBF3F3-E615-4E12-BE11-2101F4A92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D53D73-5E48-420C-9E58-B7C6BD4E8B2D}">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7208C5C4-9D74-425C-AE9A-B2521952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5185</Words>
  <Characters>2957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711_PFSA_isakymo_keitimas.docx</vt:lpstr>
      <vt:lpstr> </vt:lpstr>
    </vt:vector>
  </TitlesOfParts>
  <Company>VKS</Company>
  <LinksUpToDate>false</LinksUpToDate>
  <CharactersWithSpaces>8126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711_PFSA_isakymo_keitimas.docx</dc:title>
  <dc:creator>Ulkienė Rita</dc:creator>
  <cp:lastModifiedBy>Ivanauskienė Rasa</cp:lastModifiedBy>
  <cp:revision>2</cp:revision>
  <cp:lastPrinted>2016-01-28T12:43:00Z</cp:lastPrinted>
  <dcterms:created xsi:type="dcterms:W3CDTF">2017-03-27T13:11:00Z</dcterms:created>
  <dcterms:modified xsi:type="dcterms:W3CDTF">2017-03-27T13:11:00Z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