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552" w:rsidRDefault="00FA1B1E">
      <w:pPr>
        <w:suppressAutoHyphens/>
        <w:jc w:val="center"/>
        <w:rPr>
          <w:b/>
          <w:szCs w:val="24"/>
          <w:lang w:eastAsia="lt-LT"/>
        </w:rPr>
      </w:pPr>
      <w:r>
        <w:rPr>
          <w:b/>
          <w:szCs w:val="24"/>
          <w:lang w:eastAsia="lt-LT"/>
        </w:rPr>
        <w:t>SEPTYNIOLIKTASIS SKIRSNIS</w:t>
      </w:r>
    </w:p>
    <w:p w:rsidR="004C1552" w:rsidRDefault="00FA1B1E">
      <w:pPr>
        <w:tabs>
          <w:tab w:val="left" w:pos="0"/>
          <w:tab w:val="left" w:pos="1026"/>
        </w:tabs>
        <w:suppressAutoHyphens/>
        <w:contextualSpacing/>
        <w:jc w:val="center"/>
        <w:rPr>
          <w:b/>
          <w:szCs w:val="24"/>
          <w:lang w:eastAsia="lt-LT"/>
        </w:rPr>
      </w:pPr>
      <w:r>
        <w:rPr>
          <w:b/>
          <w:szCs w:val="24"/>
          <w:lang w:eastAsia="lt-LT"/>
        </w:rPr>
        <w:t xml:space="preserve">VEIKSMŲ PROGRAMOS PRIORITETO ĮGYVENDINIMO PRIEMONĖ </w:t>
      </w:r>
    </w:p>
    <w:p w:rsidR="004C1552" w:rsidRDefault="00FA1B1E">
      <w:pPr>
        <w:tabs>
          <w:tab w:val="left" w:pos="0"/>
          <w:tab w:val="left" w:pos="567"/>
        </w:tabs>
        <w:suppressAutoHyphens/>
        <w:jc w:val="center"/>
        <w:rPr>
          <w:szCs w:val="24"/>
          <w:lang w:eastAsia="lt-LT"/>
        </w:rPr>
      </w:pPr>
      <w:r>
        <w:rPr>
          <w:b/>
          <w:szCs w:val="24"/>
          <w:lang w:eastAsia="lt-LT"/>
        </w:rPr>
        <w:t>NR.</w:t>
      </w:r>
      <w:r>
        <w:rPr>
          <w:szCs w:val="24"/>
          <w:lang w:eastAsia="lt-LT"/>
        </w:rPr>
        <w:t xml:space="preserve"> </w:t>
      </w:r>
      <w:r>
        <w:rPr>
          <w:b/>
          <w:szCs w:val="24"/>
          <w:lang w:eastAsia="lt-LT"/>
        </w:rPr>
        <w:t>05.3.1-APVA-</w:t>
      </w:r>
      <w:r>
        <w:rPr>
          <w:b/>
          <w:szCs w:val="24"/>
          <w:lang w:val="en-US" w:eastAsia="lt-LT"/>
        </w:rPr>
        <w:t>V</w:t>
      </w:r>
      <w:r>
        <w:rPr>
          <w:b/>
          <w:szCs w:val="24"/>
          <w:lang w:eastAsia="lt-LT"/>
        </w:rPr>
        <w:t xml:space="preserve">-012 </w:t>
      </w:r>
      <w:r>
        <w:rPr>
          <w:b/>
          <w:caps/>
          <w:szCs w:val="24"/>
          <w:lang w:eastAsia="lt-LT"/>
        </w:rPr>
        <w:t>„VANDENS TELKINIŲ BŪKLĖS GERINIMAS“</w:t>
      </w:r>
    </w:p>
    <w:p w:rsidR="004C1552" w:rsidRDefault="004C1552">
      <w:pPr>
        <w:tabs>
          <w:tab w:val="left" w:pos="0"/>
          <w:tab w:val="left" w:pos="567"/>
        </w:tabs>
        <w:suppressAutoHyphens/>
        <w:rPr>
          <w:b/>
          <w:szCs w:val="24"/>
          <w:lang w:eastAsia="lt-LT"/>
        </w:rPr>
      </w:pPr>
    </w:p>
    <w:p w:rsidR="004C1552" w:rsidRDefault="00FA1B1E">
      <w:pPr>
        <w:tabs>
          <w:tab w:val="left" w:pos="142"/>
          <w:tab w:val="left" w:pos="567"/>
          <w:tab w:val="left" w:pos="851"/>
        </w:tabs>
        <w:suppressAutoHyphens/>
        <w:ind w:left="142" w:firstLine="425"/>
        <w:jc w:val="both"/>
        <w:rPr>
          <w:szCs w:val="24"/>
          <w:lang w:eastAsia="lt-LT"/>
        </w:rPr>
      </w:pPr>
      <w:r>
        <w:rPr>
          <w:szCs w:val="24"/>
          <w:lang w:eastAsia="lt-LT"/>
        </w:rPr>
        <w:t>1.</w:t>
      </w:r>
      <w:r>
        <w:rPr>
          <w:szCs w:val="24"/>
          <w:lang w:eastAsia="lt-LT"/>
        </w:rPr>
        <w:tab/>
        <w:t>Priemonės Nr. 05.3.1-APVA-V-012 „Vandens telkinių būklės gerinimas“ (toliau – priemonė)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4C1552" w:rsidTr="00067C4F">
        <w:tc>
          <w:tcPr>
            <w:tcW w:w="9746" w:type="dxa"/>
            <w:hideMark/>
          </w:tcPr>
          <w:p w:rsidR="004C1552" w:rsidRDefault="00FA1B1E">
            <w:pPr>
              <w:tabs>
                <w:tab w:val="left" w:pos="0"/>
                <w:tab w:val="left" w:pos="1026"/>
              </w:tabs>
              <w:suppressAutoHyphens/>
              <w:ind w:left="34" w:firstLine="709"/>
              <w:contextualSpacing/>
              <w:jc w:val="both"/>
              <w:rPr>
                <w:szCs w:val="24"/>
                <w:lang w:eastAsia="lt-LT"/>
              </w:rPr>
            </w:pPr>
            <w:r>
              <w:rPr>
                <w:szCs w:val="24"/>
                <w:lang w:eastAsia="lt-LT"/>
              </w:rPr>
              <w:t>1.1. priemonės įgyvendinimas finansuojamas ES Sanglaudos fondo lėšomis;</w:t>
            </w:r>
          </w:p>
        </w:tc>
      </w:tr>
      <w:tr w:rsidR="004C1552" w:rsidTr="00067C4F">
        <w:tc>
          <w:tcPr>
            <w:tcW w:w="9746" w:type="dxa"/>
            <w:hideMark/>
          </w:tcPr>
          <w:p w:rsidR="004C1552" w:rsidRDefault="00FA1B1E">
            <w:pPr>
              <w:tabs>
                <w:tab w:val="left" w:pos="0"/>
                <w:tab w:val="left" w:pos="1026"/>
              </w:tabs>
              <w:suppressAutoHyphens/>
              <w:ind w:left="34" w:firstLine="709"/>
              <w:contextualSpacing/>
              <w:jc w:val="both"/>
              <w:rPr>
                <w:szCs w:val="24"/>
                <w:lang w:eastAsia="lt-LT"/>
              </w:rPr>
            </w:pPr>
            <w:r>
              <w:rPr>
                <w:szCs w:val="24"/>
                <w:lang w:eastAsia="lt-LT"/>
              </w:rPr>
              <w:t>1.2. įgyvendinant priemonę prisidedama prie uždavinio „Pagerinti Baltijos jūros ir kitų paviršinių vandens telkinių būklę“ įgyvendinimo;</w:t>
            </w:r>
          </w:p>
        </w:tc>
      </w:tr>
      <w:tr w:rsidR="004C1552" w:rsidTr="00067C4F">
        <w:tc>
          <w:tcPr>
            <w:tcW w:w="9746" w:type="dxa"/>
          </w:tcPr>
          <w:p w:rsidR="004C1552" w:rsidRDefault="00FA1B1E">
            <w:pPr>
              <w:tabs>
                <w:tab w:val="left" w:pos="0"/>
                <w:tab w:val="left" w:pos="1026"/>
              </w:tabs>
              <w:suppressAutoHyphens/>
              <w:ind w:firstLine="743"/>
              <w:contextualSpacing/>
              <w:jc w:val="both"/>
              <w:rPr>
                <w:szCs w:val="24"/>
                <w:lang w:eastAsia="lt-LT"/>
              </w:rPr>
            </w:pPr>
            <w:r>
              <w:rPr>
                <w:szCs w:val="24"/>
                <w:lang w:eastAsia="lt-LT"/>
              </w:rPr>
              <w:t xml:space="preserve">1.3. remiama veikla – vandens telkinių geros būklės atstatymo priemonių įgyvendinimas (žuvų pralaidų įrengimas arba rekonstravimas, migracijos kliūčių pašalinimas, įskaitant upės vagos sutvarkymą, </w:t>
            </w:r>
            <w:proofErr w:type="spellStart"/>
            <w:r>
              <w:rPr>
                <w:szCs w:val="24"/>
                <w:lang w:eastAsia="lt-LT"/>
              </w:rPr>
              <w:t>įžuvinimas</w:t>
            </w:r>
            <w:proofErr w:type="spellEnd"/>
            <w:r>
              <w:rPr>
                <w:szCs w:val="24"/>
                <w:lang w:eastAsia="lt-LT"/>
              </w:rPr>
              <w:t xml:space="preserve"> plėšriosiomis ir </w:t>
            </w:r>
            <w:proofErr w:type="spellStart"/>
            <w:r>
              <w:rPr>
                <w:szCs w:val="24"/>
                <w:lang w:eastAsia="lt-LT"/>
              </w:rPr>
              <w:t>fitoplanktonu</w:t>
            </w:r>
            <w:proofErr w:type="spellEnd"/>
            <w:r>
              <w:rPr>
                <w:szCs w:val="24"/>
                <w:lang w:eastAsia="lt-LT"/>
              </w:rPr>
              <w:t xml:space="preserve"> mintančiomis žuvimis, susmulkėjusių karpinių žuvų išgaudymas, perteklinės makrofitų biomasės šalinimas, ežere susikaupusių nuosėdų šalinimas, ežero tvarkymas surišant ežero vandenyje ar dugno nuosėdose esantį perteklinį fosforą į stabilius cheminius junginius, vandens pralaidų rekonstravimas, upių vagų </w:t>
            </w:r>
            <w:proofErr w:type="spellStart"/>
            <w:r>
              <w:rPr>
                <w:szCs w:val="24"/>
                <w:lang w:eastAsia="lt-LT"/>
              </w:rPr>
              <w:t>renatūralizavimas</w:t>
            </w:r>
            <w:proofErr w:type="spellEnd"/>
            <w:r>
              <w:rPr>
                <w:szCs w:val="24"/>
                <w:lang w:eastAsia="lt-LT"/>
              </w:rPr>
              <w:t xml:space="preserve"> arba kitų hidrologinio režimo natūralizavimo priemonių taikymas, vandens išsiliejimo galimybių Nemuno žemupio slėnyje didinimas siekiant nusėdinti biogenines medžiagas ir sumažinti jų patekimą į Kuršių marias ir Baltijos jūrą);</w:t>
            </w:r>
          </w:p>
        </w:tc>
      </w:tr>
      <w:tr w:rsidR="004C1552" w:rsidTr="00067C4F">
        <w:trPr>
          <w:trHeight w:val="435"/>
        </w:trPr>
        <w:tc>
          <w:tcPr>
            <w:tcW w:w="9746" w:type="dxa"/>
          </w:tcPr>
          <w:p w:rsidR="004C1552" w:rsidRDefault="00FA1B1E">
            <w:pPr>
              <w:ind w:firstLine="743"/>
              <w:jc w:val="both"/>
              <w:rPr>
                <w:szCs w:val="24"/>
              </w:rPr>
            </w:pPr>
            <w:r>
              <w:rPr>
                <w:szCs w:val="24"/>
              </w:rPr>
              <w:t>1.4. galimi pareiškėjai:</w:t>
            </w:r>
          </w:p>
          <w:p w:rsidR="004C1552" w:rsidRDefault="00FA1B1E">
            <w:pPr>
              <w:tabs>
                <w:tab w:val="left" w:pos="1026"/>
              </w:tabs>
              <w:suppressAutoHyphens/>
              <w:ind w:left="1746" w:hanging="720"/>
              <w:jc w:val="both"/>
              <w:rPr>
                <w:szCs w:val="24"/>
                <w:lang w:eastAsia="lt-LT"/>
              </w:rPr>
            </w:pPr>
            <w:r>
              <w:rPr>
                <w:szCs w:val="24"/>
                <w:lang w:eastAsia="lt-LT"/>
              </w:rPr>
              <w:t>1.4.1. savivaldybių administracijos;</w:t>
            </w:r>
          </w:p>
          <w:p w:rsidR="004C1552" w:rsidRDefault="00FA1B1E">
            <w:pPr>
              <w:tabs>
                <w:tab w:val="left" w:pos="1026"/>
              </w:tabs>
              <w:suppressAutoHyphens/>
              <w:ind w:left="1746" w:hanging="720"/>
              <w:jc w:val="both"/>
              <w:rPr>
                <w:szCs w:val="24"/>
                <w:lang w:eastAsia="lt-LT"/>
              </w:rPr>
            </w:pPr>
            <w:r>
              <w:rPr>
                <w:szCs w:val="24"/>
                <w:lang w:eastAsia="lt-LT"/>
              </w:rPr>
              <w:t>1.4.2. Žuvininkystės tarnyba prie Lietuvos Respublikos žemės ūkio ministerijos;</w:t>
            </w:r>
          </w:p>
          <w:p w:rsidR="004C1552" w:rsidRDefault="00FA1B1E">
            <w:pPr>
              <w:tabs>
                <w:tab w:val="left" w:pos="1026"/>
              </w:tabs>
              <w:suppressAutoHyphens/>
              <w:ind w:left="1746" w:hanging="720"/>
              <w:jc w:val="both"/>
              <w:rPr>
                <w:szCs w:val="24"/>
                <w:lang w:eastAsia="lt-LT"/>
              </w:rPr>
            </w:pPr>
            <w:r>
              <w:rPr>
                <w:szCs w:val="24"/>
                <w:lang w:eastAsia="lt-LT"/>
              </w:rPr>
              <w:t>1.4.3. Aplinkos apsaugos agentūra.</w:t>
            </w:r>
          </w:p>
          <w:p w:rsidR="004C1552" w:rsidRDefault="00FA1B1E">
            <w:pPr>
              <w:tabs>
                <w:tab w:val="left" w:pos="1026"/>
              </w:tabs>
              <w:suppressAutoHyphens/>
              <w:ind w:left="1168" w:hanging="475"/>
              <w:jc w:val="both"/>
              <w:rPr>
                <w:szCs w:val="24"/>
                <w:lang w:eastAsia="lt-LT"/>
              </w:rPr>
            </w:pPr>
            <w:r>
              <w:rPr>
                <w:szCs w:val="24"/>
                <w:lang w:eastAsia="lt-LT"/>
              </w:rPr>
              <w:t xml:space="preserve">1.5. galimi partneriai: </w:t>
            </w:r>
          </w:p>
          <w:p w:rsidR="004C1552" w:rsidRDefault="00FA1B1E">
            <w:pPr>
              <w:tabs>
                <w:tab w:val="left" w:pos="1026"/>
              </w:tabs>
              <w:suppressAutoHyphens/>
              <w:ind w:left="1746" w:hanging="720"/>
              <w:jc w:val="both"/>
              <w:rPr>
                <w:szCs w:val="24"/>
                <w:lang w:eastAsia="lt-LT"/>
              </w:rPr>
            </w:pPr>
            <w:r>
              <w:rPr>
                <w:szCs w:val="24"/>
                <w:lang w:eastAsia="lt-LT"/>
              </w:rPr>
              <w:t>1.5.1. Aplinkos apsaugos agentūra;</w:t>
            </w:r>
          </w:p>
          <w:p w:rsidR="004C1552" w:rsidRDefault="00FA1B1E">
            <w:pPr>
              <w:tabs>
                <w:tab w:val="left" w:pos="1026"/>
              </w:tabs>
              <w:suppressAutoHyphens/>
              <w:ind w:left="1746" w:hanging="720"/>
              <w:jc w:val="both"/>
              <w:rPr>
                <w:szCs w:val="24"/>
                <w:lang w:eastAsia="lt-LT"/>
              </w:rPr>
            </w:pPr>
            <w:r>
              <w:rPr>
                <w:szCs w:val="24"/>
                <w:lang w:eastAsia="lt-LT"/>
              </w:rPr>
              <w:t>1.5.2. Žuvininkystės tarnyba prie Lietuvos Respublikos žemės ūkio ministerijos;</w:t>
            </w:r>
          </w:p>
          <w:p w:rsidR="004C1552" w:rsidRDefault="00FA1B1E">
            <w:pPr>
              <w:tabs>
                <w:tab w:val="left" w:pos="1026"/>
              </w:tabs>
              <w:suppressAutoHyphens/>
              <w:ind w:left="1746" w:hanging="720"/>
              <w:jc w:val="both"/>
              <w:rPr>
                <w:szCs w:val="24"/>
                <w:lang w:eastAsia="lt-LT"/>
              </w:rPr>
            </w:pPr>
            <w:r>
              <w:rPr>
                <w:szCs w:val="24"/>
                <w:lang w:eastAsia="lt-LT"/>
              </w:rPr>
              <w:t>1.5.3. savivaldybių administracijos.</w:t>
            </w:r>
          </w:p>
        </w:tc>
      </w:tr>
    </w:tbl>
    <w:p w:rsidR="004C1552" w:rsidRDefault="004C1552">
      <w:pPr>
        <w:tabs>
          <w:tab w:val="left" w:pos="0"/>
          <w:tab w:val="left" w:pos="567"/>
        </w:tabs>
        <w:suppressAutoHyphens/>
        <w:rPr>
          <w:b/>
          <w:szCs w:val="24"/>
          <w:lang w:eastAsia="lt-LT"/>
        </w:rPr>
      </w:pPr>
    </w:p>
    <w:p w:rsidR="004C1552" w:rsidRDefault="00FA1B1E">
      <w:pPr>
        <w:tabs>
          <w:tab w:val="left" w:pos="0"/>
          <w:tab w:val="left" w:pos="567"/>
          <w:tab w:val="left" w:pos="851"/>
        </w:tabs>
        <w:suppressAutoHyphens/>
        <w:ind w:left="720" w:hanging="153"/>
        <w:jc w:val="both"/>
        <w:rPr>
          <w:szCs w:val="24"/>
          <w:lang w:eastAsia="lt-LT"/>
        </w:rPr>
      </w:pPr>
      <w:r>
        <w:rPr>
          <w:szCs w:val="24"/>
          <w:lang w:eastAsia="lt-LT"/>
        </w:rPr>
        <w:t>2.</w:t>
      </w:r>
      <w:r>
        <w:rPr>
          <w:szCs w:val="24"/>
          <w:lang w:eastAsia="lt-LT"/>
        </w:rPr>
        <w:tab/>
        <w:t xml:space="preserve">Priemonės finansavimo forma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C1552" w:rsidTr="00067C4F">
        <w:tc>
          <w:tcPr>
            <w:tcW w:w="9746" w:type="dxa"/>
          </w:tcPr>
          <w:p w:rsidR="004C1552" w:rsidRDefault="00FA1B1E">
            <w:pPr>
              <w:tabs>
                <w:tab w:val="left" w:pos="0"/>
                <w:tab w:val="left" w:pos="567"/>
              </w:tabs>
              <w:suppressAutoHyphens/>
              <w:ind w:firstLine="743"/>
              <w:jc w:val="both"/>
              <w:rPr>
                <w:szCs w:val="24"/>
                <w:lang w:eastAsia="lt-LT"/>
              </w:rPr>
            </w:pPr>
            <w:r>
              <w:rPr>
                <w:szCs w:val="24"/>
                <w:lang w:eastAsia="lt-LT"/>
              </w:rPr>
              <w:t>Negrąžinamoji subsidija</w:t>
            </w:r>
          </w:p>
        </w:tc>
      </w:tr>
    </w:tbl>
    <w:p w:rsidR="004C1552" w:rsidRDefault="004C1552">
      <w:pPr>
        <w:tabs>
          <w:tab w:val="left" w:pos="0"/>
          <w:tab w:val="left" w:pos="567"/>
        </w:tabs>
        <w:suppressAutoHyphens/>
        <w:rPr>
          <w:b/>
          <w:szCs w:val="24"/>
          <w:lang w:eastAsia="lt-LT"/>
        </w:rPr>
      </w:pPr>
    </w:p>
    <w:p w:rsidR="004C1552" w:rsidRDefault="00FA1B1E">
      <w:pPr>
        <w:tabs>
          <w:tab w:val="left" w:pos="0"/>
          <w:tab w:val="left" w:pos="567"/>
        </w:tabs>
        <w:suppressAutoHyphens/>
        <w:ind w:left="851" w:hanging="284"/>
        <w:jc w:val="both"/>
        <w:rPr>
          <w:szCs w:val="24"/>
          <w:lang w:eastAsia="lt-LT"/>
        </w:rPr>
      </w:pPr>
      <w:r>
        <w:rPr>
          <w:szCs w:val="24"/>
          <w:lang w:eastAsia="lt-LT"/>
        </w:rPr>
        <w:t>3.</w:t>
      </w:r>
      <w:r>
        <w:rPr>
          <w:szCs w:val="24"/>
          <w:lang w:eastAsia="lt-LT"/>
        </w:rPr>
        <w:tab/>
        <w:t>Projektų atrankos būdas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C1552" w:rsidTr="00067C4F">
        <w:tc>
          <w:tcPr>
            <w:tcW w:w="9807" w:type="dxa"/>
          </w:tcPr>
          <w:p w:rsidR="004C1552" w:rsidRDefault="00FA1B1E">
            <w:pPr>
              <w:tabs>
                <w:tab w:val="left" w:pos="0"/>
                <w:tab w:val="left" w:pos="567"/>
              </w:tabs>
              <w:suppressAutoHyphens/>
              <w:ind w:firstLine="743"/>
              <w:jc w:val="both"/>
              <w:rPr>
                <w:szCs w:val="24"/>
                <w:lang w:eastAsia="lt-LT"/>
              </w:rPr>
            </w:pPr>
            <w:r>
              <w:rPr>
                <w:szCs w:val="24"/>
                <w:lang w:eastAsia="lt-LT"/>
              </w:rPr>
              <w:t>Valstybės projektų planavimas</w:t>
            </w:r>
          </w:p>
        </w:tc>
      </w:tr>
    </w:tbl>
    <w:p w:rsidR="004C1552" w:rsidRDefault="004C1552">
      <w:pPr>
        <w:tabs>
          <w:tab w:val="left" w:pos="0"/>
          <w:tab w:val="left" w:pos="567"/>
        </w:tabs>
        <w:suppressAutoHyphens/>
        <w:rPr>
          <w:b/>
          <w:szCs w:val="24"/>
          <w:lang w:eastAsia="lt-LT"/>
        </w:rPr>
      </w:pPr>
    </w:p>
    <w:p w:rsidR="004C1552" w:rsidRDefault="00FA1B1E">
      <w:pPr>
        <w:tabs>
          <w:tab w:val="left" w:pos="0"/>
          <w:tab w:val="left" w:pos="567"/>
        </w:tabs>
        <w:suppressAutoHyphens/>
        <w:ind w:left="851" w:hanging="284"/>
        <w:jc w:val="both"/>
        <w:rPr>
          <w:szCs w:val="24"/>
          <w:lang w:eastAsia="lt-LT"/>
        </w:rPr>
      </w:pPr>
      <w:r>
        <w:rPr>
          <w:szCs w:val="24"/>
          <w:lang w:eastAsia="lt-LT"/>
        </w:rPr>
        <w:t>4.</w:t>
      </w:r>
      <w:r>
        <w:rPr>
          <w:szCs w:val="24"/>
          <w:lang w:eastAsia="lt-LT"/>
        </w:rPr>
        <w:tab/>
        <w:t xml:space="preserve">Atsakinga įgyvendinančioji institucija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C1552" w:rsidTr="00067C4F">
        <w:tc>
          <w:tcPr>
            <w:tcW w:w="9807" w:type="dxa"/>
          </w:tcPr>
          <w:p w:rsidR="004C1552" w:rsidRDefault="00FA1B1E">
            <w:pPr>
              <w:tabs>
                <w:tab w:val="left" w:pos="0"/>
                <w:tab w:val="left" w:pos="567"/>
              </w:tabs>
              <w:suppressAutoHyphens/>
              <w:ind w:left="360" w:firstLine="383"/>
              <w:jc w:val="both"/>
              <w:rPr>
                <w:szCs w:val="24"/>
                <w:lang w:eastAsia="lt-LT"/>
              </w:rPr>
            </w:pPr>
            <w:r>
              <w:rPr>
                <w:szCs w:val="24"/>
                <w:lang w:eastAsia="lt-LT"/>
              </w:rPr>
              <w:t>Lietuvos Respublikos aplinkos ministerijos Aplinkos projektų valdymo agentūra</w:t>
            </w:r>
          </w:p>
        </w:tc>
      </w:tr>
    </w:tbl>
    <w:p w:rsidR="004C1552" w:rsidRDefault="004C1552">
      <w:pPr>
        <w:tabs>
          <w:tab w:val="left" w:pos="0"/>
          <w:tab w:val="left" w:pos="567"/>
        </w:tabs>
        <w:suppressAutoHyphens/>
        <w:rPr>
          <w:b/>
          <w:szCs w:val="24"/>
          <w:lang w:eastAsia="lt-LT"/>
        </w:rPr>
      </w:pPr>
    </w:p>
    <w:p w:rsidR="004C1552" w:rsidRDefault="00FA1B1E" w:rsidP="00067C4F">
      <w:pPr>
        <w:pBdr>
          <w:top w:val="single" w:sz="4" w:space="1" w:color="auto"/>
          <w:left w:val="single" w:sz="4" w:space="4" w:color="auto"/>
          <w:bottom w:val="single" w:sz="4" w:space="1" w:color="auto"/>
          <w:right w:val="single" w:sz="4" w:space="0" w:color="auto"/>
        </w:pBdr>
        <w:tabs>
          <w:tab w:val="left" w:pos="851"/>
        </w:tabs>
        <w:suppressAutoHyphens/>
        <w:ind w:firstLine="425"/>
        <w:jc w:val="both"/>
        <w:rPr>
          <w:szCs w:val="24"/>
          <w:lang w:eastAsia="lt-LT"/>
        </w:rPr>
      </w:pPr>
      <w:r>
        <w:rPr>
          <w:szCs w:val="24"/>
          <w:lang w:eastAsia="lt-LT"/>
        </w:rPr>
        <w:t xml:space="preserve">5. </w:t>
      </w:r>
      <w:r>
        <w:rPr>
          <w:bCs/>
          <w:lang w:eastAsia="lt-LT"/>
        </w:rPr>
        <w:t xml:space="preserve">Šios priemonės lėšomis finansuojami </w:t>
      </w:r>
      <w:r>
        <w:rPr>
          <w:lang w:eastAsia="lt-LT"/>
        </w:rPr>
        <w:t>Žuvininkystės tarnybos prie Lietuvos Respublikos žemės ūkio ministerijos įgyvendinami žuvų pralaidų įrengimo arba rekonstravimo darbai objektuose, nurodytuose Vandenų srities plėtros 2017–2023 metų programos įgyvendinimo veiksmų plane, patvirtintame Lietuvos Respublikos aplinkos ministro ir Lietuvos Respublikos žemės ūkio ministro 2017 m. gegužės 5 d. įsakymu Nr. D1-375/3D-312, ir kuriems nenumatytas finansavimas Europos jūrų reikalų ir žuvininkystės fondo lėšomis.</w:t>
      </w:r>
    </w:p>
    <w:p w:rsidR="004C1552" w:rsidRDefault="004C1552"/>
    <w:p w:rsidR="004C1552" w:rsidRDefault="00FA1B1E">
      <w:pPr>
        <w:keepLines/>
        <w:suppressAutoHyphens/>
        <w:ind w:firstLine="567"/>
        <w:jc w:val="both"/>
        <w:textAlignment w:val="center"/>
        <w:rPr>
          <w:lang w:eastAsia="lt-LT"/>
        </w:rPr>
      </w:pPr>
      <w:r>
        <w:rPr>
          <w:lang w:eastAsia="lt-LT"/>
        </w:rPr>
        <w:t xml:space="preserve">6. </w:t>
      </w:r>
      <w:r>
        <w:rPr>
          <w:szCs w:val="24"/>
          <w:lang w:eastAsia="lt-LT"/>
        </w:rPr>
        <w:t>P</w:t>
      </w:r>
      <w:r>
        <w:rPr>
          <w:bCs/>
          <w:szCs w:val="24"/>
          <w:lang w:eastAsia="lt-LT"/>
        </w:rPr>
        <w:t>riemonės įgyvendinimo stebėsenos rodikliai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4110"/>
        <w:gridCol w:w="1417"/>
        <w:gridCol w:w="1276"/>
        <w:gridCol w:w="1417"/>
      </w:tblGrid>
      <w:tr w:rsidR="004C1552" w:rsidTr="00067C4F">
        <w:trPr>
          <w:trHeight w:val="693"/>
          <w:tblHeader/>
        </w:trPr>
        <w:tc>
          <w:tcPr>
            <w:tcW w:w="1527" w:type="dxa"/>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284"/>
              </w:tabs>
              <w:suppressAutoHyphens/>
              <w:jc w:val="center"/>
              <w:rPr>
                <w:rFonts w:eastAsia="Calibri"/>
                <w:szCs w:val="24"/>
                <w:lang w:eastAsia="lt-LT"/>
              </w:rPr>
            </w:pPr>
            <w:r>
              <w:rPr>
                <w:szCs w:val="24"/>
                <w:lang w:eastAsia="lt-LT"/>
              </w:rPr>
              <w:t>Stebėsenos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s>
              <w:suppressAutoHyphens/>
              <w:jc w:val="center"/>
              <w:rPr>
                <w:rFonts w:eastAsia="Calibri"/>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s>
              <w:suppressAutoHyphens/>
              <w:jc w:val="center"/>
              <w:rPr>
                <w:rFonts w:eastAsia="Calibri"/>
                <w:szCs w:val="24"/>
                <w:lang w:eastAsia="lt-LT"/>
              </w:rPr>
            </w:pPr>
            <w:r>
              <w:rPr>
                <w:szCs w:val="24"/>
                <w:lang w:eastAsia="lt-LT"/>
              </w:rPr>
              <w:t>Matavimo vienetas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s>
              <w:suppressAutoHyphens/>
              <w:jc w:val="center"/>
              <w:rPr>
                <w:rFonts w:eastAsia="Calibri"/>
                <w:szCs w:val="24"/>
                <w:lang w:eastAsia="lt-LT"/>
              </w:rPr>
            </w:pPr>
            <w:r>
              <w:rPr>
                <w:szCs w:val="24"/>
                <w:lang w:eastAsia="lt-LT"/>
              </w:rPr>
              <w:t>Tarpinė reikšmė 2018 m. gruodžio 31 d.</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7C4F" w:rsidRDefault="00FA1B1E">
            <w:pPr>
              <w:tabs>
                <w:tab w:val="left" w:pos="0"/>
              </w:tabs>
              <w:suppressAutoHyphens/>
              <w:jc w:val="center"/>
              <w:rPr>
                <w:szCs w:val="24"/>
                <w:lang w:eastAsia="lt-LT"/>
              </w:rPr>
            </w:pPr>
            <w:r>
              <w:rPr>
                <w:szCs w:val="24"/>
                <w:lang w:eastAsia="lt-LT"/>
              </w:rPr>
              <w:t xml:space="preserve">Galutinė reikšmė 2023 m. gruodžio </w:t>
            </w:r>
          </w:p>
          <w:p w:rsidR="004C1552" w:rsidRDefault="00FA1B1E">
            <w:pPr>
              <w:tabs>
                <w:tab w:val="left" w:pos="0"/>
              </w:tabs>
              <w:suppressAutoHyphens/>
              <w:jc w:val="center"/>
              <w:rPr>
                <w:rFonts w:eastAsia="Calibri"/>
                <w:szCs w:val="24"/>
                <w:lang w:eastAsia="lt-LT"/>
              </w:rPr>
            </w:pPr>
            <w:r>
              <w:rPr>
                <w:szCs w:val="24"/>
                <w:lang w:eastAsia="lt-LT"/>
              </w:rPr>
              <w:t>31 d.</w:t>
            </w:r>
          </w:p>
        </w:tc>
      </w:tr>
      <w:tr w:rsidR="004C1552" w:rsidTr="00067C4F">
        <w:trPr>
          <w:trHeight w:val="620"/>
        </w:trPr>
        <w:tc>
          <w:tcPr>
            <w:tcW w:w="1527"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iCs/>
                <w:szCs w:val="24"/>
                <w:lang w:eastAsia="lt-LT"/>
              </w:rPr>
            </w:pPr>
            <w:r>
              <w:rPr>
                <w:iCs/>
                <w:szCs w:val="24"/>
                <w:lang w:eastAsia="lt-LT"/>
              </w:rPr>
              <w:t>R.S. 327</w:t>
            </w:r>
          </w:p>
        </w:tc>
        <w:tc>
          <w:tcPr>
            <w:tcW w:w="4110"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rPr>
                <w:rFonts w:eastAsia="AngsanaUPC"/>
                <w:bCs/>
                <w:iCs/>
                <w:szCs w:val="24"/>
                <w:lang w:eastAsia="lt-LT"/>
              </w:rPr>
            </w:pPr>
            <w:r>
              <w:rPr>
                <w:rFonts w:eastAsia="AngsanaUPC"/>
                <w:bCs/>
                <w:szCs w:val="24"/>
                <w:lang w:eastAsia="lt-LT"/>
              </w:rPr>
              <w:t>„Geros būklės paviršinių vandens telkinių dalis“</w:t>
            </w:r>
          </w:p>
        </w:tc>
        <w:tc>
          <w:tcPr>
            <w:tcW w:w="1417"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szCs w:val="24"/>
                <w:lang w:eastAsia="lt-LT"/>
              </w:rPr>
            </w:pPr>
            <w:r>
              <w:rPr>
                <w:szCs w:val="24"/>
                <w:lang w:eastAsia="lt-LT"/>
              </w:rPr>
              <w:t>procentai</w:t>
            </w:r>
          </w:p>
        </w:tc>
        <w:tc>
          <w:tcPr>
            <w:tcW w:w="1276"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szCs w:val="24"/>
                <w:lang w:eastAsia="lt-LT"/>
              </w:rPr>
            </w:pPr>
            <w:r>
              <w:rPr>
                <w:szCs w:val="24"/>
                <w:lang w:eastAsia="lt-LT"/>
              </w:rPr>
              <w:t>54</w:t>
            </w:r>
          </w:p>
        </w:tc>
        <w:tc>
          <w:tcPr>
            <w:tcW w:w="1417"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szCs w:val="24"/>
                <w:lang w:eastAsia="lt-LT"/>
              </w:rPr>
            </w:pPr>
            <w:r>
              <w:rPr>
                <w:szCs w:val="24"/>
                <w:lang w:eastAsia="lt-LT"/>
              </w:rPr>
              <w:t>72</w:t>
            </w:r>
          </w:p>
        </w:tc>
      </w:tr>
      <w:tr w:rsidR="004C1552" w:rsidTr="00067C4F">
        <w:trPr>
          <w:trHeight w:val="647"/>
        </w:trPr>
        <w:tc>
          <w:tcPr>
            <w:tcW w:w="1527"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i/>
                <w:szCs w:val="24"/>
                <w:lang w:eastAsia="lt-LT"/>
              </w:rPr>
            </w:pPr>
            <w:r>
              <w:rPr>
                <w:iCs/>
                <w:szCs w:val="24"/>
                <w:lang w:eastAsia="lt-LT"/>
              </w:rPr>
              <w:lastRenderedPageBreak/>
              <w:t>P.S.332</w:t>
            </w:r>
          </w:p>
        </w:tc>
        <w:tc>
          <w:tcPr>
            <w:tcW w:w="4110"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rPr>
                <w:i/>
                <w:szCs w:val="24"/>
                <w:lang w:eastAsia="lt-LT"/>
              </w:rPr>
            </w:pPr>
            <w:r>
              <w:rPr>
                <w:rFonts w:eastAsia="AngsanaUPC"/>
                <w:bCs/>
                <w:iCs/>
                <w:szCs w:val="24"/>
                <w:lang w:eastAsia="lt-LT"/>
              </w:rPr>
              <w:t>„Vandens telkiniai, kuriems taikytos būklės gerinimo priemonės“</w:t>
            </w:r>
          </w:p>
        </w:tc>
        <w:tc>
          <w:tcPr>
            <w:tcW w:w="1417"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szCs w:val="24"/>
                <w:lang w:eastAsia="lt-LT"/>
              </w:rPr>
            </w:pPr>
            <w:r>
              <w:rPr>
                <w:szCs w:val="24"/>
                <w:lang w:eastAsia="lt-LT"/>
              </w:rPr>
              <w:t>skaičius</w:t>
            </w:r>
          </w:p>
        </w:tc>
        <w:tc>
          <w:tcPr>
            <w:tcW w:w="1276"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szCs w:val="24"/>
                <w:lang w:eastAsia="lt-LT"/>
              </w:rPr>
            </w:pPr>
            <w:r>
              <w:rPr>
                <w:szCs w:val="24"/>
                <w:lang w:eastAsia="lt-LT"/>
              </w:rPr>
              <w:t>25</w:t>
            </w:r>
          </w:p>
        </w:tc>
      </w:tr>
    </w:tbl>
    <w:p w:rsidR="004C1552" w:rsidRDefault="004C1552"/>
    <w:p w:rsidR="004C1552" w:rsidRDefault="00FA1B1E">
      <w:pPr>
        <w:tabs>
          <w:tab w:val="left" w:pos="0"/>
          <w:tab w:val="left" w:pos="567"/>
        </w:tabs>
        <w:suppressAutoHyphens/>
        <w:ind w:left="851" w:hanging="284"/>
        <w:jc w:val="both"/>
        <w:rPr>
          <w:szCs w:val="24"/>
          <w:lang w:eastAsia="lt-LT"/>
        </w:rPr>
      </w:pPr>
      <w:r>
        <w:rPr>
          <w:szCs w:val="24"/>
          <w:lang w:eastAsia="lt-LT"/>
        </w:rPr>
        <w:t>7.</w:t>
      </w:r>
      <w:r>
        <w:rPr>
          <w:szCs w:val="24"/>
          <w:lang w:eastAsia="lt-LT"/>
        </w:rPr>
        <w:tab/>
      </w:r>
      <w:r>
        <w:rPr>
          <w:bCs/>
          <w:szCs w:val="24"/>
          <w:lang w:eastAsia="lt-LT"/>
        </w:rPr>
        <w:t>Priemonės finansavimo šaltiniai</w:t>
      </w:r>
    </w:p>
    <w:p w:rsidR="004C1552" w:rsidRDefault="00FA1B1E">
      <w:pPr>
        <w:tabs>
          <w:tab w:val="left" w:pos="0"/>
          <w:tab w:val="left" w:pos="142"/>
          <w:tab w:val="left" w:pos="8364"/>
        </w:tabs>
        <w:suppressAutoHyphens/>
        <w:ind w:right="-2" w:firstLine="8364"/>
        <w:rPr>
          <w:b/>
          <w:bCs/>
          <w:szCs w:val="24"/>
          <w:lang w:eastAsia="lt-LT"/>
        </w:rPr>
      </w:pPr>
      <w:r>
        <w:rPr>
          <w:szCs w:val="24"/>
          <w:lang w:eastAsia="lt-LT"/>
        </w:rPr>
        <w:t>(eurais)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15"/>
        <w:gridCol w:w="1274"/>
        <w:gridCol w:w="145"/>
        <w:gridCol w:w="1420"/>
        <w:gridCol w:w="1563"/>
        <w:gridCol w:w="1135"/>
        <w:gridCol w:w="992"/>
      </w:tblGrid>
      <w:tr w:rsidR="004C1552">
        <w:trPr>
          <w:trHeight w:val="454"/>
          <w:tblHeader/>
        </w:trPr>
        <w:tc>
          <w:tcPr>
            <w:tcW w:w="2827" w:type="dxa"/>
            <w:gridSpan w:val="2"/>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 w:val="left" w:pos="142"/>
              </w:tabs>
              <w:suppressAutoHyphens/>
              <w:jc w:val="center"/>
              <w:rPr>
                <w:bCs/>
                <w:szCs w:val="24"/>
                <w:lang w:eastAsia="lt-LT"/>
              </w:rPr>
            </w:pPr>
            <w:r>
              <w:rPr>
                <w:bCs/>
                <w:szCs w:val="24"/>
                <w:lang w:eastAsia="lt-LT"/>
              </w:rPr>
              <w:t>Projektams skiriamas finansavimas</w:t>
            </w:r>
          </w:p>
        </w:tc>
        <w:tc>
          <w:tcPr>
            <w:tcW w:w="6529" w:type="dxa"/>
            <w:gridSpan w:val="6"/>
            <w:tcBorders>
              <w:top w:val="single" w:sz="4" w:space="0" w:color="auto"/>
              <w:left w:val="single" w:sz="4" w:space="0" w:color="auto"/>
              <w:bottom w:val="single" w:sz="4" w:space="0" w:color="auto"/>
              <w:right w:val="single" w:sz="4" w:space="0" w:color="auto"/>
            </w:tcBorders>
            <w:vAlign w:val="center"/>
          </w:tcPr>
          <w:p w:rsidR="004C1552" w:rsidRDefault="00FA1B1E">
            <w:pPr>
              <w:tabs>
                <w:tab w:val="left" w:pos="0"/>
                <w:tab w:val="left" w:pos="142"/>
              </w:tabs>
              <w:suppressAutoHyphens/>
              <w:jc w:val="center"/>
              <w:rPr>
                <w:bCs/>
                <w:szCs w:val="24"/>
                <w:lang w:eastAsia="lt-LT"/>
              </w:rPr>
            </w:pPr>
            <w:r>
              <w:rPr>
                <w:bCs/>
                <w:szCs w:val="24"/>
                <w:lang w:eastAsia="lt-LT"/>
              </w:rPr>
              <w:t>Kiti projektų finansavimo šaltiniai</w:t>
            </w:r>
          </w:p>
        </w:tc>
      </w:tr>
      <w:tr w:rsidR="004C1552">
        <w:trPr>
          <w:trHeight w:val="454"/>
          <w:tblHeader/>
        </w:trPr>
        <w:tc>
          <w:tcPr>
            <w:tcW w:w="1412" w:type="dxa"/>
            <w:vMerge w:val="restart"/>
            <w:tcBorders>
              <w:top w:val="single" w:sz="4" w:space="0" w:color="auto"/>
              <w:left w:val="single" w:sz="4" w:space="0" w:color="auto"/>
              <w:right w:val="single" w:sz="4" w:space="0" w:color="auto"/>
            </w:tcBorders>
            <w:vAlign w:val="center"/>
          </w:tcPr>
          <w:p w:rsidR="004C1552" w:rsidRDefault="00FA1B1E">
            <w:pPr>
              <w:suppressAutoHyphens/>
              <w:jc w:val="center"/>
              <w:rPr>
                <w:bCs/>
                <w:szCs w:val="24"/>
                <w:lang w:eastAsia="lt-LT"/>
              </w:rPr>
            </w:pPr>
            <w:r>
              <w:rPr>
                <w:bCs/>
                <w:szCs w:val="24"/>
                <w:lang w:eastAsia="lt-LT"/>
              </w:rPr>
              <w:t>ES struktūrinių fondų</w:t>
            </w:r>
          </w:p>
          <w:p w:rsidR="004C1552" w:rsidRDefault="00FA1B1E">
            <w:pPr>
              <w:suppressAutoHyphens/>
              <w:jc w:val="center"/>
              <w:rPr>
                <w:bCs/>
                <w:szCs w:val="24"/>
                <w:lang w:eastAsia="lt-LT"/>
              </w:rPr>
            </w:pPr>
            <w:r>
              <w:rPr>
                <w:bCs/>
                <w:szCs w:val="24"/>
                <w:lang w:eastAsia="lt-LT"/>
              </w:rPr>
              <w:t>lėšos – iki</w:t>
            </w:r>
          </w:p>
        </w:tc>
        <w:tc>
          <w:tcPr>
            <w:tcW w:w="7944" w:type="dxa"/>
            <w:gridSpan w:val="7"/>
            <w:tcBorders>
              <w:top w:val="single" w:sz="4" w:space="0" w:color="auto"/>
              <w:left w:val="single" w:sz="4" w:space="0" w:color="auto"/>
              <w:right w:val="single" w:sz="4" w:space="0" w:color="auto"/>
            </w:tcBorders>
            <w:vAlign w:val="center"/>
          </w:tcPr>
          <w:p w:rsidR="004C1552" w:rsidRDefault="00FA1B1E">
            <w:pPr>
              <w:tabs>
                <w:tab w:val="left" w:pos="0"/>
                <w:tab w:val="left" w:pos="142"/>
              </w:tabs>
              <w:suppressAutoHyphens/>
              <w:jc w:val="center"/>
              <w:rPr>
                <w:bCs/>
                <w:szCs w:val="24"/>
                <w:lang w:eastAsia="lt-LT"/>
              </w:rPr>
            </w:pPr>
            <w:r>
              <w:rPr>
                <w:bCs/>
                <w:szCs w:val="24"/>
                <w:lang w:eastAsia="lt-LT"/>
              </w:rPr>
              <w:t>Nacionalinės lėšos</w:t>
            </w:r>
          </w:p>
        </w:tc>
      </w:tr>
      <w:tr w:rsidR="004C1552">
        <w:trPr>
          <w:cantSplit/>
          <w:trHeight w:val="343"/>
          <w:tblHeader/>
        </w:trPr>
        <w:tc>
          <w:tcPr>
            <w:tcW w:w="1412" w:type="dxa"/>
            <w:vMerge/>
            <w:tcBorders>
              <w:left w:val="single" w:sz="4" w:space="0" w:color="auto"/>
              <w:right w:val="single" w:sz="4" w:space="0" w:color="auto"/>
            </w:tcBorders>
            <w:vAlign w:val="center"/>
            <w:hideMark/>
          </w:tcPr>
          <w:p w:rsidR="004C1552" w:rsidRDefault="004C1552">
            <w:pPr>
              <w:suppressAutoHyphens/>
              <w:jc w:val="center"/>
              <w:rPr>
                <w:bCs/>
                <w:szCs w:val="24"/>
                <w:lang w:eastAsia="lt-LT"/>
              </w:rPr>
            </w:pP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4C1552" w:rsidRDefault="00FA1B1E">
            <w:pPr>
              <w:suppressAutoHyphens/>
              <w:jc w:val="center"/>
              <w:rPr>
                <w:bCs/>
                <w:szCs w:val="24"/>
                <w:lang w:eastAsia="lt-LT"/>
              </w:rPr>
            </w:pPr>
            <w:r>
              <w:rPr>
                <w:bCs/>
                <w:szCs w:val="24"/>
                <w:lang w:eastAsia="lt-LT"/>
              </w:rPr>
              <w:t>Lietuvos Respublikos valstybės biudžeto lėšos – iki</w:t>
            </w:r>
          </w:p>
        </w:tc>
        <w:tc>
          <w:tcPr>
            <w:tcW w:w="6529" w:type="dxa"/>
            <w:gridSpan w:val="6"/>
            <w:tcBorders>
              <w:top w:val="single" w:sz="4" w:space="0" w:color="auto"/>
              <w:left w:val="single" w:sz="4" w:space="0" w:color="auto"/>
              <w:bottom w:val="single" w:sz="4" w:space="0" w:color="auto"/>
              <w:right w:val="single" w:sz="4" w:space="0" w:color="auto"/>
            </w:tcBorders>
            <w:vAlign w:val="center"/>
          </w:tcPr>
          <w:p w:rsidR="004C1552" w:rsidRDefault="00FA1B1E">
            <w:pPr>
              <w:tabs>
                <w:tab w:val="left" w:pos="0"/>
              </w:tabs>
              <w:suppressAutoHyphens/>
              <w:jc w:val="center"/>
              <w:rPr>
                <w:bCs/>
                <w:szCs w:val="24"/>
                <w:lang w:eastAsia="lt-LT"/>
              </w:rPr>
            </w:pPr>
            <w:r>
              <w:rPr>
                <w:bCs/>
                <w:szCs w:val="24"/>
                <w:lang w:eastAsia="lt-LT"/>
              </w:rPr>
              <w:t>Projektų vykdytojų lėšos</w:t>
            </w:r>
          </w:p>
        </w:tc>
      </w:tr>
      <w:tr w:rsidR="004C1552">
        <w:trPr>
          <w:cantSplit/>
          <w:trHeight w:val="1020"/>
          <w:tblHeader/>
        </w:trPr>
        <w:tc>
          <w:tcPr>
            <w:tcW w:w="1412" w:type="dxa"/>
            <w:vMerge/>
            <w:tcBorders>
              <w:left w:val="single" w:sz="4" w:space="0" w:color="auto"/>
              <w:bottom w:val="single" w:sz="4" w:space="0" w:color="auto"/>
              <w:right w:val="single" w:sz="4" w:space="0" w:color="auto"/>
            </w:tcBorders>
            <w:vAlign w:val="center"/>
            <w:hideMark/>
          </w:tcPr>
          <w:p w:rsidR="004C1552" w:rsidRDefault="004C1552">
            <w:pPr>
              <w:suppressAutoHyphens/>
              <w:jc w:val="center"/>
              <w:rPr>
                <w:bCs/>
                <w:szCs w:val="24"/>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4C1552" w:rsidRDefault="004C1552">
            <w:pPr>
              <w:suppressAutoHyphens/>
              <w:jc w:val="center"/>
              <w:rPr>
                <w:bCs/>
                <w:szCs w:val="24"/>
                <w:lang w:eastAsia="lt-LT"/>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4C1552" w:rsidRDefault="00FA1B1E">
            <w:pPr>
              <w:tabs>
                <w:tab w:val="left" w:pos="0"/>
              </w:tabs>
              <w:suppressAutoHyphens/>
              <w:jc w:val="center"/>
              <w:rPr>
                <w:bCs/>
                <w:szCs w:val="24"/>
                <w:lang w:eastAsia="lt-LT"/>
              </w:rPr>
            </w:pPr>
            <w:r>
              <w:rPr>
                <w:bCs/>
                <w:szCs w:val="24"/>
                <w:lang w:eastAsia="lt-LT"/>
              </w:rPr>
              <w:t>Iš viso – ne mažiau kaip</w:t>
            </w:r>
          </w:p>
        </w:tc>
        <w:tc>
          <w:tcPr>
            <w:tcW w:w="1420" w:type="dxa"/>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s>
              <w:suppressAutoHyphens/>
              <w:jc w:val="center"/>
              <w:rPr>
                <w:bCs/>
                <w:szCs w:val="24"/>
                <w:lang w:eastAsia="lt-LT"/>
              </w:rPr>
            </w:pPr>
            <w:r>
              <w:rPr>
                <w:bCs/>
                <w:szCs w:val="24"/>
                <w:lang w:eastAsia="lt-LT"/>
              </w:rPr>
              <w:t>Lietuvos Respublikos valstybės biudžeto lėšos</w:t>
            </w:r>
          </w:p>
        </w:tc>
        <w:tc>
          <w:tcPr>
            <w:tcW w:w="1563" w:type="dxa"/>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s>
              <w:suppressAutoHyphens/>
              <w:jc w:val="center"/>
              <w:rPr>
                <w:bCs/>
                <w:szCs w:val="24"/>
                <w:lang w:eastAsia="lt-LT"/>
              </w:rPr>
            </w:pPr>
            <w:r>
              <w:rPr>
                <w:bCs/>
                <w:szCs w:val="24"/>
                <w:lang w:eastAsia="lt-LT"/>
              </w:rPr>
              <w:t>Savivaldybės biudžeto</w:t>
            </w:r>
          </w:p>
          <w:p w:rsidR="004C1552" w:rsidRDefault="00FA1B1E">
            <w:pPr>
              <w:tabs>
                <w:tab w:val="left" w:pos="0"/>
              </w:tabs>
              <w:suppressAutoHyphens/>
              <w:jc w:val="center"/>
              <w:rPr>
                <w:bCs/>
                <w:szCs w:val="24"/>
                <w:lang w:eastAsia="lt-LT"/>
              </w:rPr>
            </w:pPr>
            <w:r>
              <w:rPr>
                <w:bCs/>
                <w:szCs w:val="24"/>
                <w:lang w:eastAsia="lt-LT"/>
              </w:rPr>
              <w:t>lėšos</w:t>
            </w:r>
          </w:p>
        </w:tc>
        <w:tc>
          <w:tcPr>
            <w:tcW w:w="1135" w:type="dxa"/>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s>
              <w:suppressAutoHyphens/>
              <w:jc w:val="center"/>
              <w:rPr>
                <w:bCs/>
                <w:szCs w:val="24"/>
                <w:lang w:eastAsia="lt-LT"/>
              </w:rPr>
            </w:pPr>
            <w:r>
              <w:rPr>
                <w:bCs/>
                <w:szCs w:val="24"/>
                <w:lang w:eastAsia="lt-LT"/>
              </w:rPr>
              <w:t>Kitos viešosios lėšos</w:t>
            </w:r>
          </w:p>
        </w:tc>
        <w:tc>
          <w:tcPr>
            <w:tcW w:w="992" w:type="dxa"/>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s>
              <w:suppressAutoHyphens/>
              <w:jc w:val="center"/>
              <w:rPr>
                <w:bCs/>
                <w:szCs w:val="24"/>
                <w:lang w:eastAsia="lt-LT"/>
              </w:rPr>
            </w:pPr>
            <w:proofErr w:type="spellStart"/>
            <w:r>
              <w:rPr>
                <w:bCs/>
                <w:szCs w:val="24"/>
                <w:lang w:eastAsia="lt-LT"/>
              </w:rPr>
              <w:t>Priva-čios</w:t>
            </w:r>
            <w:proofErr w:type="spellEnd"/>
            <w:r>
              <w:rPr>
                <w:bCs/>
                <w:szCs w:val="24"/>
                <w:lang w:eastAsia="lt-LT"/>
              </w:rPr>
              <w:t xml:space="preserve"> lėšos</w:t>
            </w:r>
          </w:p>
        </w:tc>
      </w:tr>
      <w:tr w:rsidR="004C1552">
        <w:trPr>
          <w:trHeight w:val="249"/>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4C1552" w:rsidRDefault="00FA1B1E">
            <w:pPr>
              <w:tabs>
                <w:tab w:val="left" w:pos="0"/>
              </w:tabs>
              <w:suppressAutoHyphens/>
              <w:ind w:firstLine="318"/>
              <w:contextualSpacing/>
              <w:rPr>
                <w:szCs w:val="24"/>
                <w:lang w:eastAsia="lt-LT"/>
              </w:rPr>
            </w:pPr>
            <w:r>
              <w:rPr>
                <w:szCs w:val="24"/>
                <w:lang w:eastAsia="lt-LT"/>
              </w:rPr>
              <w:t>1. Priemonės finansavimo šaltiniai, neįskaitant veiklos lėšų rezervo ir jam finansuoti skiriamų lėšų</w:t>
            </w:r>
          </w:p>
        </w:tc>
      </w:tr>
      <w:tr w:rsidR="004C1552">
        <w:trPr>
          <w:trHeight w:val="249"/>
        </w:trPr>
        <w:tc>
          <w:tcPr>
            <w:tcW w:w="1412" w:type="dxa"/>
            <w:tcBorders>
              <w:top w:val="single" w:sz="4" w:space="0" w:color="auto"/>
              <w:left w:val="single" w:sz="4" w:space="0" w:color="auto"/>
              <w:bottom w:val="single" w:sz="4" w:space="0" w:color="auto"/>
              <w:right w:val="single" w:sz="4" w:space="0" w:color="auto"/>
            </w:tcBorders>
          </w:tcPr>
          <w:p w:rsidR="004C1552" w:rsidRPr="00A95895" w:rsidRDefault="00FA1B1E">
            <w:pPr>
              <w:tabs>
                <w:tab w:val="left" w:pos="0"/>
              </w:tabs>
              <w:suppressAutoHyphens/>
              <w:contextualSpacing/>
              <w:jc w:val="center"/>
              <w:rPr>
                <w:bCs/>
                <w:strike/>
                <w:szCs w:val="24"/>
                <w:lang w:eastAsia="lt-LT"/>
              </w:rPr>
            </w:pPr>
            <w:r w:rsidRPr="00A95895">
              <w:rPr>
                <w:bCs/>
                <w:strike/>
                <w:szCs w:val="24"/>
                <w:lang w:eastAsia="lt-LT"/>
              </w:rPr>
              <w:t>22.011.121</w:t>
            </w:r>
          </w:p>
          <w:p w:rsidR="00A95895" w:rsidRPr="00FC5999" w:rsidRDefault="00A95895">
            <w:pPr>
              <w:tabs>
                <w:tab w:val="left" w:pos="0"/>
              </w:tabs>
              <w:suppressAutoHyphens/>
              <w:contextualSpacing/>
              <w:jc w:val="center"/>
              <w:rPr>
                <w:b/>
                <w:bCs/>
                <w:szCs w:val="24"/>
                <w:lang w:eastAsia="lt-LT"/>
              </w:rPr>
            </w:pPr>
            <w:r w:rsidRPr="00FC5999">
              <w:rPr>
                <w:b/>
                <w:bCs/>
                <w:szCs w:val="24"/>
                <w:lang w:eastAsia="lt-LT"/>
              </w:rPr>
              <w:t>1</w:t>
            </w:r>
            <w:r w:rsidR="00FC5999">
              <w:rPr>
                <w:b/>
                <w:bCs/>
                <w:szCs w:val="24"/>
                <w:lang w:eastAsia="lt-LT"/>
              </w:rPr>
              <w:t>0</w:t>
            </w:r>
            <w:r w:rsidRPr="00FC5999">
              <w:rPr>
                <w:b/>
                <w:bCs/>
                <w:szCs w:val="24"/>
                <w:lang w:eastAsia="lt-LT"/>
              </w:rPr>
              <w:t>.511.121</w:t>
            </w:r>
          </w:p>
        </w:tc>
        <w:tc>
          <w:tcPr>
            <w:tcW w:w="1415"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bCs/>
                <w:szCs w:val="24"/>
                <w:lang w:eastAsia="lt-LT"/>
              </w:rPr>
            </w:pPr>
            <w:r>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tcPr>
          <w:p w:rsidR="00E60B05" w:rsidRPr="00AD2189" w:rsidRDefault="00FA1B1E" w:rsidP="00AD2189">
            <w:pPr>
              <w:tabs>
                <w:tab w:val="left" w:pos="0"/>
              </w:tabs>
              <w:suppressAutoHyphens/>
              <w:contextualSpacing/>
              <w:jc w:val="center"/>
              <w:rPr>
                <w:bCs/>
                <w:szCs w:val="24"/>
                <w:lang w:eastAsia="lt-LT"/>
              </w:rPr>
            </w:pPr>
            <w:r w:rsidRPr="00AD2189">
              <w:rPr>
                <w:bCs/>
                <w:szCs w:val="24"/>
                <w:lang w:eastAsia="lt-LT"/>
              </w:rPr>
              <w:t>162.162</w:t>
            </w:r>
          </w:p>
        </w:tc>
        <w:tc>
          <w:tcPr>
            <w:tcW w:w="1420" w:type="dxa"/>
            <w:tcBorders>
              <w:top w:val="single" w:sz="4" w:space="0" w:color="auto"/>
              <w:left w:val="single" w:sz="4" w:space="0" w:color="auto"/>
              <w:bottom w:val="single" w:sz="4" w:space="0" w:color="auto"/>
              <w:right w:val="single" w:sz="4" w:space="0" w:color="auto"/>
            </w:tcBorders>
          </w:tcPr>
          <w:p w:rsidR="004C1552" w:rsidRPr="00E228E2" w:rsidRDefault="00FA1B1E">
            <w:pPr>
              <w:tabs>
                <w:tab w:val="left" w:pos="0"/>
              </w:tabs>
              <w:suppressAutoHyphens/>
              <w:contextualSpacing/>
              <w:jc w:val="center"/>
              <w:rPr>
                <w:szCs w:val="24"/>
                <w:lang w:eastAsia="lt-LT"/>
              </w:rPr>
            </w:pPr>
            <w:r w:rsidRPr="00E228E2">
              <w:rPr>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rsidR="00E60B05" w:rsidRPr="00AD2189" w:rsidRDefault="00FA1B1E" w:rsidP="00AD2189">
            <w:pPr>
              <w:tabs>
                <w:tab w:val="left" w:pos="0"/>
              </w:tabs>
              <w:suppressAutoHyphens/>
              <w:contextualSpacing/>
              <w:jc w:val="center"/>
              <w:rPr>
                <w:bCs/>
                <w:szCs w:val="24"/>
                <w:lang w:eastAsia="lt-LT"/>
              </w:rPr>
            </w:pPr>
            <w:r w:rsidRPr="00AD2189">
              <w:rPr>
                <w:bCs/>
                <w:szCs w:val="24"/>
                <w:lang w:eastAsia="lt-LT"/>
              </w:rPr>
              <w:t>162.162</w:t>
            </w:r>
          </w:p>
        </w:tc>
        <w:tc>
          <w:tcPr>
            <w:tcW w:w="1135" w:type="dxa"/>
            <w:tcBorders>
              <w:top w:val="single" w:sz="4" w:space="0" w:color="auto"/>
              <w:left w:val="single" w:sz="4" w:space="0" w:color="auto"/>
              <w:bottom w:val="single" w:sz="4" w:space="0" w:color="auto"/>
              <w:right w:val="single" w:sz="4" w:space="0" w:color="auto"/>
            </w:tcBorders>
          </w:tcPr>
          <w:p w:rsidR="004C1552" w:rsidRPr="00E228E2" w:rsidRDefault="00FA1B1E">
            <w:pPr>
              <w:tabs>
                <w:tab w:val="left" w:pos="0"/>
              </w:tabs>
              <w:suppressAutoHyphens/>
              <w:contextualSpacing/>
              <w:jc w:val="center"/>
              <w:rPr>
                <w:bCs/>
                <w:lang w:eastAsia="lt-LT"/>
              </w:rPr>
            </w:pPr>
            <w:r w:rsidRPr="00E228E2">
              <w:rPr>
                <w:bCs/>
                <w:lang w:eastAsia="lt-LT"/>
              </w:rPr>
              <w:t>0</w:t>
            </w:r>
          </w:p>
        </w:tc>
        <w:tc>
          <w:tcPr>
            <w:tcW w:w="992"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lang w:eastAsia="lt-LT"/>
              </w:rPr>
            </w:pPr>
            <w:r>
              <w:rPr>
                <w:lang w:eastAsia="lt-LT"/>
              </w:rPr>
              <w:t>0</w:t>
            </w:r>
          </w:p>
        </w:tc>
      </w:tr>
      <w:tr w:rsidR="004C1552">
        <w:trPr>
          <w:trHeight w:val="249"/>
        </w:trPr>
        <w:tc>
          <w:tcPr>
            <w:tcW w:w="9356" w:type="dxa"/>
            <w:gridSpan w:val="8"/>
            <w:tcBorders>
              <w:top w:val="single" w:sz="4" w:space="0" w:color="auto"/>
              <w:left w:val="single" w:sz="4" w:space="0" w:color="auto"/>
              <w:bottom w:val="single" w:sz="4" w:space="0" w:color="auto"/>
              <w:right w:val="single" w:sz="4" w:space="0" w:color="auto"/>
            </w:tcBorders>
            <w:hideMark/>
          </w:tcPr>
          <w:p w:rsidR="004C1552" w:rsidRPr="00E228E2" w:rsidRDefault="00FA1B1E">
            <w:pPr>
              <w:tabs>
                <w:tab w:val="left" w:pos="0"/>
              </w:tabs>
              <w:suppressAutoHyphens/>
              <w:ind w:left="720" w:hanging="360"/>
              <w:contextualSpacing/>
              <w:rPr>
                <w:lang w:eastAsia="lt-LT"/>
              </w:rPr>
            </w:pPr>
            <w:r w:rsidRPr="00E228E2">
              <w:rPr>
                <w:lang w:eastAsia="lt-LT"/>
              </w:rPr>
              <w:t>2. Veiklos lėšų rezervas ir jam finansuoti skiriamos nacionalinės lėšos</w:t>
            </w:r>
          </w:p>
        </w:tc>
      </w:tr>
      <w:tr w:rsidR="004C1552">
        <w:trPr>
          <w:trHeight w:val="249"/>
        </w:trPr>
        <w:tc>
          <w:tcPr>
            <w:tcW w:w="1412" w:type="dxa"/>
            <w:tcBorders>
              <w:top w:val="single" w:sz="4" w:space="0" w:color="auto"/>
              <w:left w:val="single" w:sz="4" w:space="0" w:color="auto"/>
              <w:bottom w:val="single" w:sz="4" w:space="0" w:color="auto"/>
              <w:right w:val="single" w:sz="4" w:space="0" w:color="auto"/>
            </w:tcBorders>
            <w:vAlign w:val="center"/>
          </w:tcPr>
          <w:p w:rsidR="00A95895" w:rsidRPr="00AD2189" w:rsidRDefault="00FA1B1E" w:rsidP="00AD2189">
            <w:pPr>
              <w:tabs>
                <w:tab w:val="left" w:pos="0"/>
              </w:tabs>
              <w:suppressAutoHyphens/>
              <w:jc w:val="center"/>
              <w:rPr>
                <w:bCs/>
                <w:strike/>
                <w:lang w:eastAsia="lt-LT"/>
              </w:rPr>
            </w:pPr>
            <w:r w:rsidRPr="00A95895">
              <w:rPr>
                <w:bCs/>
                <w:strike/>
                <w:lang w:eastAsia="lt-LT"/>
              </w:rPr>
              <w:t>0</w:t>
            </w:r>
          </w:p>
        </w:tc>
        <w:tc>
          <w:tcPr>
            <w:tcW w:w="1415" w:type="dxa"/>
            <w:tcBorders>
              <w:top w:val="single" w:sz="4" w:space="0" w:color="auto"/>
              <w:left w:val="single" w:sz="4" w:space="0" w:color="auto"/>
              <w:bottom w:val="single" w:sz="4" w:space="0" w:color="auto"/>
              <w:right w:val="single" w:sz="4" w:space="0" w:color="auto"/>
            </w:tcBorders>
            <w:vAlign w:val="center"/>
          </w:tcPr>
          <w:p w:rsidR="004C1552" w:rsidRDefault="00FA1B1E">
            <w:pPr>
              <w:tabs>
                <w:tab w:val="left" w:pos="0"/>
              </w:tabs>
              <w:suppressAutoHyphens/>
              <w:jc w:val="center"/>
              <w:rPr>
                <w:bCs/>
                <w:lang w:eastAsia="lt-LT"/>
              </w:rPr>
            </w:pPr>
            <w:r>
              <w:rPr>
                <w:bCs/>
                <w:lang w:eastAsia="lt-LT"/>
              </w:rPr>
              <w:t>0</w:t>
            </w:r>
          </w:p>
        </w:tc>
        <w:tc>
          <w:tcPr>
            <w:tcW w:w="1274" w:type="dxa"/>
            <w:tcBorders>
              <w:top w:val="single" w:sz="4" w:space="0" w:color="auto"/>
              <w:left w:val="single" w:sz="4" w:space="0" w:color="auto"/>
              <w:bottom w:val="single" w:sz="4" w:space="0" w:color="auto"/>
              <w:right w:val="single" w:sz="4" w:space="0" w:color="auto"/>
            </w:tcBorders>
          </w:tcPr>
          <w:p w:rsidR="00E60B05" w:rsidRPr="00AD2189" w:rsidRDefault="00FA1B1E" w:rsidP="00AD2189">
            <w:pPr>
              <w:tabs>
                <w:tab w:val="left" w:pos="0"/>
              </w:tabs>
              <w:suppressAutoHyphens/>
              <w:jc w:val="center"/>
              <w:rPr>
                <w:lang w:eastAsia="lt-LT"/>
              </w:rPr>
            </w:pPr>
            <w:r w:rsidRPr="00AD2189">
              <w:rPr>
                <w:lang w:eastAsia="lt-LT"/>
              </w:rPr>
              <w:t>0</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4C1552" w:rsidRPr="00E228E2" w:rsidRDefault="00FA1B1E">
            <w:pPr>
              <w:tabs>
                <w:tab w:val="left" w:pos="0"/>
              </w:tabs>
              <w:suppressAutoHyphens/>
              <w:jc w:val="center"/>
              <w:rPr>
                <w:lang w:eastAsia="lt-LT"/>
              </w:rPr>
            </w:pPr>
            <w:r w:rsidRPr="00E228E2">
              <w:rPr>
                <w:lang w:eastAsia="lt-LT"/>
              </w:rPr>
              <w:t>0</w:t>
            </w:r>
          </w:p>
        </w:tc>
        <w:tc>
          <w:tcPr>
            <w:tcW w:w="1563" w:type="dxa"/>
            <w:tcBorders>
              <w:top w:val="single" w:sz="4" w:space="0" w:color="auto"/>
              <w:left w:val="single" w:sz="4" w:space="0" w:color="auto"/>
              <w:bottom w:val="single" w:sz="4" w:space="0" w:color="auto"/>
              <w:right w:val="single" w:sz="4" w:space="0" w:color="auto"/>
            </w:tcBorders>
          </w:tcPr>
          <w:p w:rsidR="00E60B05" w:rsidRPr="00AD2189" w:rsidRDefault="00FA1B1E" w:rsidP="00AD2189">
            <w:pPr>
              <w:tabs>
                <w:tab w:val="left" w:pos="0"/>
              </w:tabs>
              <w:suppressAutoHyphens/>
              <w:jc w:val="center"/>
              <w:rPr>
                <w:bCs/>
                <w:lang w:eastAsia="lt-LT"/>
              </w:rPr>
            </w:pPr>
            <w:r w:rsidRPr="00AD2189">
              <w:rPr>
                <w:bCs/>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rsidR="004C1552" w:rsidRPr="00E228E2" w:rsidRDefault="00FA1B1E">
            <w:pPr>
              <w:tabs>
                <w:tab w:val="left" w:pos="0"/>
              </w:tabs>
              <w:suppressAutoHyphens/>
              <w:jc w:val="center"/>
              <w:rPr>
                <w:bCs/>
                <w:lang w:eastAsia="lt-LT"/>
              </w:rPr>
            </w:pPr>
            <w:r w:rsidRPr="00E228E2">
              <w:rPr>
                <w:bCs/>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rsidR="004C1552" w:rsidRDefault="00FA1B1E">
            <w:pPr>
              <w:tabs>
                <w:tab w:val="left" w:pos="0"/>
              </w:tabs>
              <w:suppressAutoHyphens/>
              <w:jc w:val="center"/>
              <w:rPr>
                <w:lang w:eastAsia="lt-LT"/>
              </w:rPr>
            </w:pPr>
            <w:r>
              <w:rPr>
                <w:lang w:eastAsia="lt-LT"/>
              </w:rPr>
              <w:t>0</w:t>
            </w:r>
          </w:p>
        </w:tc>
      </w:tr>
      <w:tr w:rsidR="004C1552">
        <w:trPr>
          <w:trHeight w:val="249"/>
        </w:trPr>
        <w:tc>
          <w:tcPr>
            <w:tcW w:w="9356" w:type="dxa"/>
            <w:gridSpan w:val="8"/>
            <w:tcBorders>
              <w:top w:val="single" w:sz="4" w:space="0" w:color="auto"/>
              <w:left w:val="single" w:sz="4" w:space="0" w:color="auto"/>
              <w:bottom w:val="single" w:sz="4" w:space="0" w:color="auto"/>
              <w:right w:val="single" w:sz="4" w:space="0" w:color="auto"/>
            </w:tcBorders>
          </w:tcPr>
          <w:p w:rsidR="004C1552" w:rsidRPr="00E228E2" w:rsidRDefault="00FA1B1E">
            <w:pPr>
              <w:tabs>
                <w:tab w:val="left" w:pos="0"/>
              </w:tabs>
              <w:suppressAutoHyphens/>
              <w:ind w:left="720" w:hanging="360"/>
              <w:contextualSpacing/>
              <w:rPr>
                <w:lang w:eastAsia="lt-LT"/>
              </w:rPr>
            </w:pPr>
            <w:r w:rsidRPr="00E228E2">
              <w:rPr>
                <w:lang w:eastAsia="lt-LT"/>
              </w:rPr>
              <w:t xml:space="preserve">3. Iš viso </w:t>
            </w:r>
          </w:p>
        </w:tc>
      </w:tr>
      <w:tr w:rsidR="004C1552">
        <w:trPr>
          <w:trHeight w:val="249"/>
        </w:trPr>
        <w:tc>
          <w:tcPr>
            <w:tcW w:w="1412" w:type="dxa"/>
            <w:tcBorders>
              <w:top w:val="single" w:sz="4" w:space="0" w:color="auto"/>
              <w:left w:val="single" w:sz="4" w:space="0" w:color="auto"/>
              <w:bottom w:val="single" w:sz="4" w:space="0" w:color="auto"/>
              <w:right w:val="single" w:sz="4" w:space="0" w:color="auto"/>
            </w:tcBorders>
          </w:tcPr>
          <w:p w:rsidR="004C1552" w:rsidRPr="00A95895" w:rsidRDefault="00FA1B1E">
            <w:pPr>
              <w:tabs>
                <w:tab w:val="left" w:pos="0"/>
              </w:tabs>
              <w:suppressAutoHyphens/>
              <w:contextualSpacing/>
              <w:jc w:val="center"/>
              <w:rPr>
                <w:b/>
                <w:bCs/>
                <w:strike/>
                <w:szCs w:val="24"/>
                <w:lang w:eastAsia="lt-LT"/>
              </w:rPr>
            </w:pPr>
            <w:r w:rsidRPr="00A95895">
              <w:rPr>
                <w:b/>
                <w:bCs/>
                <w:strike/>
                <w:szCs w:val="24"/>
                <w:lang w:eastAsia="lt-LT"/>
              </w:rPr>
              <w:t>22.011.121</w:t>
            </w:r>
          </w:p>
          <w:p w:rsidR="00A95895" w:rsidRDefault="00FC5999">
            <w:pPr>
              <w:tabs>
                <w:tab w:val="left" w:pos="0"/>
              </w:tabs>
              <w:suppressAutoHyphens/>
              <w:contextualSpacing/>
              <w:jc w:val="center"/>
              <w:rPr>
                <w:b/>
                <w:bCs/>
                <w:szCs w:val="24"/>
                <w:lang w:eastAsia="lt-LT"/>
              </w:rPr>
            </w:pPr>
            <w:r>
              <w:rPr>
                <w:b/>
                <w:bCs/>
                <w:szCs w:val="24"/>
                <w:lang w:eastAsia="lt-LT"/>
              </w:rPr>
              <w:t>20</w:t>
            </w:r>
            <w:r w:rsidR="00A95895">
              <w:rPr>
                <w:b/>
                <w:bCs/>
                <w:szCs w:val="24"/>
                <w:lang w:eastAsia="lt-LT"/>
              </w:rPr>
              <w:t>.511.121</w:t>
            </w:r>
          </w:p>
        </w:tc>
        <w:tc>
          <w:tcPr>
            <w:tcW w:w="1415"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b/>
                <w:bCs/>
                <w:szCs w:val="24"/>
                <w:lang w:eastAsia="lt-LT"/>
              </w:rPr>
            </w:pPr>
            <w:r>
              <w:rPr>
                <w:b/>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tcPr>
          <w:p w:rsidR="00E60B05" w:rsidRPr="00AD2189" w:rsidRDefault="00FA1B1E" w:rsidP="00AD2189">
            <w:pPr>
              <w:tabs>
                <w:tab w:val="left" w:pos="0"/>
              </w:tabs>
              <w:suppressAutoHyphens/>
              <w:contextualSpacing/>
              <w:jc w:val="center"/>
              <w:rPr>
                <w:b/>
                <w:bCs/>
                <w:szCs w:val="24"/>
                <w:lang w:eastAsia="lt-LT"/>
              </w:rPr>
            </w:pPr>
            <w:bookmarkStart w:id="0" w:name="_GoBack"/>
            <w:bookmarkEnd w:id="0"/>
            <w:r w:rsidRPr="00AD2189">
              <w:rPr>
                <w:b/>
                <w:bCs/>
                <w:szCs w:val="24"/>
                <w:lang w:eastAsia="lt-LT"/>
              </w:rPr>
              <w:t>162.162</w:t>
            </w:r>
          </w:p>
        </w:tc>
        <w:tc>
          <w:tcPr>
            <w:tcW w:w="1420" w:type="dxa"/>
            <w:tcBorders>
              <w:top w:val="single" w:sz="4" w:space="0" w:color="auto"/>
              <w:left w:val="single" w:sz="4" w:space="0" w:color="auto"/>
              <w:bottom w:val="single" w:sz="4" w:space="0" w:color="auto"/>
              <w:right w:val="single" w:sz="4" w:space="0" w:color="auto"/>
            </w:tcBorders>
          </w:tcPr>
          <w:p w:rsidR="004C1552" w:rsidRPr="00E228E2" w:rsidRDefault="00FA1B1E">
            <w:pPr>
              <w:tabs>
                <w:tab w:val="left" w:pos="0"/>
              </w:tabs>
              <w:suppressAutoHyphens/>
              <w:contextualSpacing/>
              <w:jc w:val="center"/>
              <w:rPr>
                <w:b/>
                <w:szCs w:val="24"/>
                <w:lang w:eastAsia="lt-LT"/>
              </w:rPr>
            </w:pPr>
            <w:r w:rsidRPr="00E228E2">
              <w:rPr>
                <w:b/>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rsidR="00E60B05" w:rsidRPr="00AD2189" w:rsidRDefault="00FA1B1E" w:rsidP="00AD2189">
            <w:pPr>
              <w:tabs>
                <w:tab w:val="left" w:pos="0"/>
              </w:tabs>
              <w:suppressAutoHyphens/>
              <w:contextualSpacing/>
              <w:jc w:val="center"/>
              <w:rPr>
                <w:b/>
                <w:bCs/>
                <w:szCs w:val="24"/>
                <w:lang w:eastAsia="lt-LT"/>
              </w:rPr>
            </w:pPr>
            <w:r w:rsidRPr="00AD2189">
              <w:rPr>
                <w:b/>
                <w:bCs/>
                <w:szCs w:val="24"/>
                <w:lang w:eastAsia="lt-LT"/>
              </w:rPr>
              <w:t>162.162</w:t>
            </w:r>
          </w:p>
        </w:tc>
        <w:tc>
          <w:tcPr>
            <w:tcW w:w="1135" w:type="dxa"/>
            <w:tcBorders>
              <w:top w:val="single" w:sz="4" w:space="0" w:color="auto"/>
              <w:left w:val="single" w:sz="4" w:space="0" w:color="auto"/>
              <w:bottom w:val="single" w:sz="4" w:space="0" w:color="auto"/>
              <w:right w:val="single" w:sz="4" w:space="0" w:color="auto"/>
            </w:tcBorders>
          </w:tcPr>
          <w:p w:rsidR="004C1552" w:rsidRPr="00E228E2" w:rsidRDefault="00FA1B1E">
            <w:pPr>
              <w:tabs>
                <w:tab w:val="left" w:pos="0"/>
              </w:tabs>
              <w:suppressAutoHyphens/>
              <w:contextualSpacing/>
              <w:jc w:val="center"/>
              <w:rPr>
                <w:b/>
                <w:bCs/>
                <w:lang w:eastAsia="lt-LT"/>
              </w:rPr>
            </w:pPr>
            <w:r w:rsidRPr="00E228E2">
              <w:rPr>
                <w:b/>
                <w:bCs/>
                <w:lang w:eastAsia="lt-LT"/>
              </w:rPr>
              <w:t>0</w:t>
            </w:r>
          </w:p>
        </w:tc>
        <w:tc>
          <w:tcPr>
            <w:tcW w:w="992" w:type="dxa"/>
            <w:tcBorders>
              <w:top w:val="single" w:sz="4" w:space="0" w:color="auto"/>
              <w:left w:val="single" w:sz="4" w:space="0" w:color="auto"/>
              <w:bottom w:val="single" w:sz="4" w:space="0" w:color="auto"/>
              <w:right w:val="single" w:sz="4" w:space="0" w:color="auto"/>
            </w:tcBorders>
          </w:tcPr>
          <w:p w:rsidR="004C1552" w:rsidRDefault="00FA1B1E">
            <w:pPr>
              <w:tabs>
                <w:tab w:val="left" w:pos="0"/>
              </w:tabs>
              <w:suppressAutoHyphens/>
              <w:contextualSpacing/>
              <w:jc w:val="center"/>
              <w:rPr>
                <w:b/>
                <w:lang w:eastAsia="lt-LT"/>
              </w:rPr>
            </w:pPr>
            <w:r>
              <w:rPr>
                <w:b/>
                <w:lang w:eastAsia="lt-LT"/>
              </w:rPr>
              <w:t>0</w:t>
            </w:r>
          </w:p>
        </w:tc>
      </w:tr>
    </w:tbl>
    <w:p w:rsidR="004C1552" w:rsidRDefault="004C1552"/>
    <w:p w:rsidR="004C1552" w:rsidRDefault="004C1552" w:rsidP="00796D1F">
      <w:pPr>
        <w:pStyle w:val="Pagrindinistekstas1"/>
        <w:widowControl/>
        <w:tabs>
          <w:tab w:val="left" w:pos="1134"/>
          <w:tab w:val="left" w:pos="1276"/>
          <w:tab w:val="left" w:pos="6237"/>
          <w:tab w:val="left" w:pos="10773"/>
        </w:tabs>
        <w:spacing w:line="240" w:lineRule="auto"/>
        <w:ind w:firstLine="0"/>
        <w:rPr>
          <w:snapToGrid w:val="0"/>
        </w:rPr>
      </w:pPr>
    </w:p>
    <w:sectPr w:rsidR="004C1552" w:rsidSect="00796D1F">
      <w:headerReference w:type="even" r:id="rId7"/>
      <w:footerReference w:type="even" r:id="rId8"/>
      <w:footerReference w:type="default" r:id="rId9"/>
      <w:headerReference w:type="first" r:id="rId10"/>
      <w:footerReference w:type="first" r:id="rId11"/>
      <w:footnotePr>
        <w:pos w:val="beneathText"/>
      </w:footnotePr>
      <w:pgSz w:w="11905" w:h="16837"/>
      <w:pgMar w:top="1134" w:right="567" w:bottom="992" w:left="1701" w:header="1140"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B1E" w:rsidRDefault="00FA1B1E">
      <w:pPr>
        <w:suppressAutoHyphens/>
        <w:rPr>
          <w:lang w:eastAsia="lt-LT"/>
        </w:rPr>
      </w:pPr>
      <w:r>
        <w:rPr>
          <w:lang w:eastAsia="lt-LT"/>
        </w:rPr>
        <w:separator/>
      </w:r>
    </w:p>
  </w:endnote>
  <w:endnote w:type="continuationSeparator" w:id="0">
    <w:p w:rsidR="00FA1B1E" w:rsidRDefault="00FA1B1E">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E" w:rsidRDefault="00FA1B1E">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E" w:rsidRDefault="00FA1B1E">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E" w:rsidRDefault="00FA1B1E">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B1E" w:rsidRDefault="00FA1B1E">
      <w:pPr>
        <w:suppressAutoHyphens/>
        <w:rPr>
          <w:lang w:eastAsia="lt-LT"/>
        </w:rPr>
      </w:pPr>
      <w:r>
        <w:rPr>
          <w:lang w:eastAsia="lt-LT"/>
        </w:rPr>
        <w:separator/>
      </w:r>
    </w:p>
  </w:footnote>
  <w:footnote w:type="continuationSeparator" w:id="0">
    <w:p w:rsidR="00FA1B1E" w:rsidRDefault="00FA1B1E">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E" w:rsidRDefault="00FA1B1E">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E" w:rsidRDefault="00FA1B1E">
    <w:pPr>
      <w:tabs>
        <w:tab w:val="center" w:pos="4153"/>
        <w:tab w:val="right" w:pos="9100"/>
      </w:tabs>
      <w:suppressAutoHyphens/>
      <w:rPr>
        <w:rFonts w:ascii="Tahoma" w:hAnsi="Tahoma"/>
        <w:spacing w:val="10"/>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hideGrammaticalError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595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AAA"/>
    <w:rsid w:val="00046B2F"/>
    <w:rsid w:val="00067C4F"/>
    <w:rsid w:val="004533FC"/>
    <w:rsid w:val="00465CE6"/>
    <w:rsid w:val="004C1552"/>
    <w:rsid w:val="00796D1F"/>
    <w:rsid w:val="008E3B0E"/>
    <w:rsid w:val="00A95895"/>
    <w:rsid w:val="00AD2189"/>
    <w:rsid w:val="00D03AAA"/>
    <w:rsid w:val="00E228E2"/>
    <w:rsid w:val="00E60B05"/>
    <w:rsid w:val="00F02D95"/>
    <w:rsid w:val="00F843AB"/>
    <w:rsid w:val="00FA1303"/>
    <w:rsid w:val="00FA1B1E"/>
    <w:rsid w:val="00FC5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412E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pPr>
      <w:widowControl w:val="0"/>
      <w:autoSpaceDE w:val="0"/>
      <w:autoSpaceDN w:val="0"/>
      <w:adjustRightInd w:val="0"/>
      <w:spacing w:line="360" w:lineRule="atLeast"/>
      <w:ind w:firstLine="312"/>
      <w:jc w:val="both"/>
    </w:pPr>
    <w:rPr>
      <w:rFonts w:ascii="TimesLT" w:hAnsi="TimesLT"/>
      <w:sz w:val="20"/>
      <w:lang w:val="en-US"/>
    </w:rPr>
  </w:style>
  <w:style w:type="paragraph" w:customStyle="1" w:styleId="Default">
    <w:name w:val="Default"/>
    <w:pPr>
      <w:autoSpaceDE w:val="0"/>
      <w:autoSpaceDN w:val="0"/>
      <w:adjustRightInd w:val="0"/>
    </w:pPr>
    <w:rPr>
      <w:rFonts w:eastAsiaTheme="minorHAnsi"/>
      <w:color w:val="000000"/>
      <w:szCs w:val="24"/>
    </w:rPr>
  </w:style>
  <w:style w:type="paragraph" w:styleId="NoSpacing">
    <w:name w:val="No Spacing"/>
    <w:uiPriority w:val="1"/>
    <w:qFormat/>
    <w:rPr>
      <w:rFonts w:asciiTheme="minorHAnsi" w:eastAsiaTheme="minorEastAsia" w:hAnsiTheme="minorHAnsi" w:cstheme="minorBidi"/>
      <w:sz w:val="22"/>
      <w:szCs w:val="22"/>
      <w:lang w:eastAsia="lt-LT"/>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Pr>
      <w:rFonts w:ascii="Courier New" w:hAnsi="Courier New" w:cs="Courier New"/>
      <w:sz w:val="20"/>
      <w:lang w:eastAsia="lt-LT"/>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normal-h">
    <w:name w:val="normal-h"/>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66123">
      <w:bodyDiv w:val="1"/>
      <w:marLeft w:val="0"/>
      <w:marRight w:val="0"/>
      <w:marTop w:val="0"/>
      <w:marBottom w:val="0"/>
      <w:divBdr>
        <w:top w:val="none" w:sz="0" w:space="0" w:color="auto"/>
        <w:left w:val="none" w:sz="0" w:space="0" w:color="auto"/>
        <w:bottom w:val="none" w:sz="0" w:space="0" w:color="auto"/>
        <w:right w:val="none" w:sz="0" w:space="0" w:color="auto"/>
      </w:divBdr>
    </w:div>
    <w:div w:id="18101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D1B67D9-5C0F-4EA0-A3DF-01AF1860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3395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2017-10-10T11:35:00Z</dcterms:created>
  <dcterms:modified xsi:type="dcterms:W3CDTF">2017-11-23T06:48:00Z</dcterms:modified>
</cp:coreProperties>
</file>