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81" w:rsidRDefault="003E4781" w:rsidP="003E4781"/>
    <w:p w:rsidR="003E4781" w:rsidRDefault="003E4781" w:rsidP="003E4781">
      <w:pPr>
        <w:tabs>
          <w:tab w:val="left" w:pos="0"/>
          <w:tab w:val="left" w:pos="567"/>
        </w:tabs>
        <w:jc w:val="center"/>
        <w:rPr>
          <w:b/>
          <w:szCs w:val="24"/>
        </w:rPr>
      </w:pPr>
      <w:r>
        <w:rPr>
          <w:b/>
          <w:szCs w:val="24"/>
        </w:rPr>
        <w:t xml:space="preserve">ŠEŠTASIS SKIRSNIS </w:t>
      </w:r>
    </w:p>
    <w:p w:rsidR="003E4781" w:rsidRDefault="003E4781" w:rsidP="003E4781">
      <w:pPr>
        <w:tabs>
          <w:tab w:val="left" w:pos="0"/>
          <w:tab w:val="left" w:pos="567"/>
          <w:tab w:val="left" w:pos="3240"/>
        </w:tabs>
        <w:jc w:val="center"/>
        <w:rPr>
          <w:szCs w:val="24"/>
        </w:rPr>
      </w:pPr>
      <w:r>
        <w:rPr>
          <w:b/>
          <w:szCs w:val="24"/>
        </w:rPr>
        <w:t>VEIKSMŲ PROGRAMOS PRIORITETO ĮGYVENDINIMO PRIEMONĖ</w:t>
      </w:r>
      <w:r>
        <w:rPr>
          <w:szCs w:val="24"/>
        </w:rPr>
        <w:t xml:space="preserve"> </w:t>
      </w:r>
    </w:p>
    <w:p w:rsidR="003E4781" w:rsidRDefault="003E4781" w:rsidP="003E4781">
      <w:pPr>
        <w:tabs>
          <w:tab w:val="left" w:pos="0"/>
          <w:tab w:val="left" w:pos="567"/>
        </w:tabs>
        <w:jc w:val="center"/>
        <w:rPr>
          <w:szCs w:val="24"/>
        </w:rPr>
      </w:pPr>
      <w:r>
        <w:rPr>
          <w:b/>
          <w:szCs w:val="24"/>
        </w:rPr>
        <w:t xml:space="preserve">NR. 08.4.2-ESFA-V-628 </w:t>
      </w:r>
      <w:r>
        <w:rPr>
          <w:rFonts w:eastAsia="Calibri"/>
          <w:b/>
          <w:szCs w:val="24"/>
        </w:rPr>
        <w:t>„</w:t>
      </w:r>
      <w:r>
        <w:rPr>
          <w:rFonts w:eastAsia="Calibri"/>
          <w:b/>
          <w:caps/>
          <w:szCs w:val="24"/>
        </w:rPr>
        <w:t>Tikslinių teritorijų gyventojų sveikos gyvensenos skatinimas</w:t>
      </w:r>
      <w:r>
        <w:rPr>
          <w:rFonts w:eastAsia="Calibri"/>
          <w:b/>
          <w:szCs w:val="24"/>
        </w:rPr>
        <w:t>“</w:t>
      </w:r>
    </w:p>
    <w:p w:rsidR="003E4781" w:rsidRDefault="003E4781" w:rsidP="003E4781">
      <w:pPr>
        <w:tabs>
          <w:tab w:val="left" w:pos="0"/>
          <w:tab w:val="left" w:pos="426"/>
          <w:tab w:val="left" w:pos="10205"/>
        </w:tabs>
        <w:ind w:right="424"/>
        <w:jc w:val="center"/>
        <w:rPr>
          <w:i/>
          <w:szCs w:val="24"/>
        </w:rPr>
      </w:pPr>
    </w:p>
    <w:p w:rsidR="003E4781" w:rsidRDefault="003E4781" w:rsidP="003E4781">
      <w:pPr>
        <w:tabs>
          <w:tab w:val="left" w:pos="0"/>
          <w:tab w:val="left" w:pos="567"/>
          <w:tab w:val="left" w:pos="1276"/>
        </w:tabs>
        <w:ind w:left="851" w:hanging="11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85"/>
      </w:tblGrid>
      <w:tr w:rsidR="003E4781" w:rsidTr="00C65219">
        <w:tc>
          <w:tcPr>
            <w:tcW w:w="14601" w:type="dxa"/>
            <w:hideMark/>
          </w:tcPr>
          <w:p w:rsidR="003E4781" w:rsidRDefault="003E4781" w:rsidP="00C65219">
            <w:pPr>
              <w:tabs>
                <w:tab w:val="left" w:pos="0"/>
                <w:tab w:val="left" w:pos="459"/>
              </w:tabs>
              <w:ind w:left="34" w:hanging="42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1.1.</w:t>
            </w:r>
            <w:r>
              <w:rPr>
                <w:color w:val="000000"/>
                <w:szCs w:val="24"/>
              </w:rPr>
              <w:tab/>
              <w:t>Priemonės įgyvendinimas finansuojamas Europos socialinio fondo lėšomis.</w:t>
            </w:r>
          </w:p>
        </w:tc>
      </w:tr>
      <w:tr w:rsidR="003E4781" w:rsidTr="00C65219">
        <w:tc>
          <w:tcPr>
            <w:tcW w:w="14601" w:type="dxa"/>
            <w:hideMark/>
          </w:tcPr>
          <w:p w:rsidR="003E4781" w:rsidRDefault="003E4781" w:rsidP="00C65219">
            <w:pPr>
              <w:tabs>
                <w:tab w:val="left" w:pos="459"/>
              </w:tabs>
              <w:ind w:left="34" w:hanging="42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1.2.</w:t>
            </w:r>
            <w:r>
              <w:rPr>
                <w:color w:val="000000"/>
                <w:szCs w:val="24"/>
              </w:rPr>
              <w:tab/>
              <w:t>Įgyvendinant priemonę, prisidedama prie uždavinio „Sumažinti sveikatos netolygumus, gerinant sveikatos priežiūros kokybę ir prieinamumą tikslinėms gyventojų grupėms ir skatinti sveiką senėjimą“.</w:t>
            </w:r>
          </w:p>
        </w:tc>
      </w:tr>
      <w:tr w:rsidR="003E4781" w:rsidTr="00C65219">
        <w:tc>
          <w:tcPr>
            <w:tcW w:w="14601" w:type="dxa"/>
          </w:tcPr>
          <w:p w:rsidR="003E4781" w:rsidRDefault="003E4781" w:rsidP="00C65219">
            <w:pPr>
              <w:tabs>
                <w:tab w:val="left" w:pos="0"/>
                <w:tab w:val="left" w:pos="459"/>
                <w:tab w:val="left" w:pos="743"/>
                <w:tab w:val="left" w:pos="1026"/>
              </w:tabs>
              <w:ind w:firstLine="34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1.3.</w:t>
            </w:r>
            <w:r>
              <w:rPr>
                <w:color w:val="000000"/>
                <w:szCs w:val="24"/>
              </w:rPr>
              <w:tab/>
              <w:t>Remiamos tikslinių teritorijų gyventojams skirtos veiklos kraujotakos sistemos ligų, galvos smegenų kraujotakos ligų, onkologinių ligų, traumų ir nelaimingų atsitikimų ir mirtingumo nuo išorinių mirties priežasčių srityse</w:t>
            </w:r>
            <w:r>
              <w:rPr>
                <w:szCs w:val="24"/>
              </w:rPr>
              <w:t xml:space="preserve">: </w:t>
            </w:r>
          </w:p>
          <w:p w:rsidR="003E4781" w:rsidRDefault="003E4781" w:rsidP="008D3120">
            <w:pPr>
              <w:tabs>
                <w:tab w:val="left" w:pos="0"/>
                <w:tab w:val="left" w:pos="768"/>
                <w:tab w:val="left" w:pos="1335"/>
              </w:tabs>
              <w:ind w:firstLine="59"/>
              <w:jc w:val="both"/>
              <w:rPr>
                <w:i/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1.3.1.</w:t>
            </w:r>
            <w:r>
              <w:rPr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  <w:lang w:eastAsia="lt-LT"/>
              </w:rPr>
              <w:t xml:space="preserve">informacijos sklaidai parengimas, informacijos sklaida, visuomenės švietimas sveikatos profilaktikos, pagrindinių rizikos veiksnių bei </w:t>
            </w:r>
            <w:r>
              <w:rPr>
                <w:szCs w:val="24"/>
                <w:lang w:eastAsia="lt-LT"/>
              </w:rPr>
              <w:t>sveikatai palankių prekių ir paslaugų temomis</w:t>
            </w:r>
            <w:r w:rsidR="008D3120">
              <w:rPr>
                <w:szCs w:val="24"/>
                <w:lang w:eastAsia="lt-LT"/>
              </w:rPr>
              <w:t xml:space="preserve">, </w:t>
            </w:r>
            <w:r w:rsidR="008D3120" w:rsidRPr="00D16E1C">
              <w:rPr>
                <w:b/>
                <w:szCs w:val="24"/>
              </w:rPr>
              <w:t xml:space="preserve">visuomenės </w:t>
            </w:r>
            <w:r w:rsidR="008D3120" w:rsidRPr="0078288E">
              <w:rPr>
                <w:b/>
                <w:szCs w:val="24"/>
              </w:rPr>
              <w:t>sveikatos raštingumo didinimas</w:t>
            </w:r>
            <w:r w:rsidR="008D3120">
              <w:rPr>
                <w:szCs w:val="24"/>
              </w:rPr>
              <w:t>;</w:t>
            </w:r>
            <w:r>
              <w:rPr>
                <w:szCs w:val="24"/>
                <w:lang w:eastAsia="lt-LT"/>
              </w:rPr>
              <w:t xml:space="preserve"> </w:t>
            </w:r>
          </w:p>
          <w:p w:rsidR="003E4781" w:rsidRDefault="003E4781" w:rsidP="00C65219">
            <w:pPr>
              <w:tabs>
                <w:tab w:val="left" w:pos="743"/>
              </w:tabs>
              <w:ind w:left="34"/>
              <w:jc w:val="both"/>
              <w:rPr>
                <w:i/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1.3.2.</w:t>
            </w:r>
            <w:r>
              <w:rPr>
                <w:szCs w:val="24"/>
                <w:lang w:eastAsia="lt-LT"/>
              </w:rPr>
              <w:tab/>
              <w:t xml:space="preserve">metodikų, rekomendacijų ir kt. dokumentų, reikalingų gyventojų sveikai gyvensenai ir ligų profilaktikai skatinti, rengimas; </w:t>
            </w:r>
          </w:p>
          <w:p w:rsidR="003E4781" w:rsidRDefault="003E4781" w:rsidP="00C65219">
            <w:pPr>
              <w:tabs>
                <w:tab w:val="left" w:pos="459"/>
                <w:tab w:val="left" w:pos="743"/>
                <w:tab w:val="left" w:pos="1026"/>
              </w:tabs>
              <w:ind w:left="34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1.3.3.</w:t>
            </w:r>
            <w:r>
              <w:rPr>
                <w:szCs w:val="24"/>
                <w:lang w:eastAsia="lt-LT"/>
              </w:rPr>
              <w:tab/>
              <w:t xml:space="preserve">tyrimų atlikimas, įgyvendinamų veiksmų bei jų poveikio stebėsena ir vertinimas; </w:t>
            </w:r>
          </w:p>
          <w:p w:rsidR="003E4781" w:rsidRDefault="003E4781" w:rsidP="00C65219">
            <w:pPr>
              <w:tabs>
                <w:tab w:val="left" w:pos="459"/>
                <w:tab w:val="left" w:pos="743"/>
                <w:tab w:val="left" w:pos="1026"/>
              </w:tabs>
              <w:ind w:left="34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1.3.4.</w:t>
            </w:r>
            <w:r>
              <w:rPr>
                <w:szCs w:val="24"/>
                <w:lang w:eastAsia="lt-LT"/>
              </w:rPr>
              <w:tab/>
            </w:r>
            <w:r>
              <w:rPr>
                <w:color w:val="000000"/>
                <w:szCs w:val="24"/>
                <w:lang w:eastAsia="lt-LT"/>
              </w:rPr>
              <w:t xml:space="preserve">sveikatos įgūdžiams formuoti skirtų teminių sveikatos mokymo kabinetų įrengimas, reikalingos įrangos ir priemonių  įsigijimas; </w:t>
            </w:r>
          </w:p>
          <w:p w:rsidR="003E4781" w:rsidRDefault="003E4781" w:rsidP="00C65219">
            <w:pPr>
              <w:tabs>
                <w:tab w:val="left" w:pos="459"/>
                <w:tab w:val="left" w:pos="743"/>
                <w:tab w:val="left" w:pos="1026"/>
              </w:tabs>
              <w:ind w:left="34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1.3.5.</w:t>
            </w:r>
            <w:r>
              <w:rPr>
                <w:szCs w:val="24"/>
                <w:lang w:eastAsia="lt-LT"/>
              </w:rPr>
              <w:tab/>
              <w:t>visuomenės sveikatos specialistų, pirminės sveikatos priežiūros ir kitų specialistų kvalifikacijos tobulinimas gyventojų sveikatos išsaugojimo įgūdžiams formuoti.</w:t>
            </w:r>
          </w:p>
          <w:p w:rsidR="003E4781" w:rsidRDefault="003E4781" w:rsidP="00C65219">
            <w:pPr>
              <w:tabs>
                <w:tab w:val="left" w:pos="459"/>
                <w:tab w:val="left" w:pos="743"/>
                <w:tab w:val="left" w:pos="1026"/>
              </w:tabs>
              <w:ind w:left="34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3E4781" w:rsidTr="00C65219">
        <w:trPr>
          <w:trHeight w:val="285"/>
        </w:trPr>
        <w:tc>
          <w:tcPr>
            <w:tcW w:w="14601" w:type="dxa"/>
          </w:tcPr>
          <w:p w:rsidR="003E4781" w:rsidRDefault="003E4781" w:rsidP="00C65219">
            <w:pPr>
              <w:tabs>
                <w:tab w:val="left" w:pos="34"/>
                <w:tab w:val="left" w:pos="459"/>
                <w:tab w:val="left" w:pos="743"/>
                <w:tab w:val="left" w:pos="1026"/>
              </w:tabs>
              <w:ind w:left="34"/>
              <w:contextualSpacing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1.4.</w:t>
            </w:r>
            <w:r>
              <w:rPr>
                <w:color w:val="000000"/>
                <w:szCs w:val="24"/>
              </w:rPr>
              <w:tab/>
              <w:t>Galimi pareiškėjai: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1.4.1.</w:t>
            </w:r>
            <w:r>
              <w:rPr>
                <w:szCs w:val="24"/>
              </w:rPr>
              <w:tab/>
            </w:r>
            <w:r>
              <w:rPr>
                <w:bCs/>
                <w:color w:val="000000"/>
                <w:szCs w:val="24"/>
              </w:rPr>
              <w:t>Lietuvos Respublikos sveikatos apsaugos ministerija ir (ar) jai pavaldžios įstaigos pagal kompetenciją;</w:t>
            </w:r>
          </w:p>
          <w:p w:rsidR="003E4781" w:rsidRDefault="003E4781" w:rsidP="00C65219">
            <w:pPr>
              <w:tabs>
                <w:tab w:val="left" w:pos="34"/>
                <w:tab w:val="left" w:pos="459"/>
                <w:tab w:val="left" w:pos="743"/>
                <w:tab w:val="left" w:pos="885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1.4.2.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Vilniaus universitetas, Lietuvos sveikatos mokslų universitetas, Lietuvos sporto universitetas, Klaipėdos universitetas;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1.4.3.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Nacionalinis vėžio institutas;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1.4.4.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VšĮ Vilniaus universiteto ligoninės Santariškių klinikos;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1.4.5.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VšĮ Lietuvos sveikatos mokslų universiteto ligoninė Kauno klinikos;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1.4.6.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Valstybinė geležinkelio inspekcija prie Susisiekimo ministerijos.</w:t>
            </w:r>
          </w:p>
          <w:p w:rsidR="003E4781" w:rsidRDefault="003E4781" w:rsidP="00C65219">
            <w:pPr>
              <w:tabs>
                <w:tab w:val="left" w:pos="0"/>
                <w:tab w:val="left" w:pos="1026"/>
                <w:tab w:val="left" w:pos="1556"/>
                <w:tab w:val="left" w:pos="1877"/>
                <w:tab w:val="left" w:pos="2302"/>
              </w:tabs>
              <w:ind w:left="318"/>
              <w:jc w:val="both"/>
              <w:rPr>
                <w:color w:val="000000"/>
                <w:szCs w:val="24"/>
              </w:rPr>
            </w:pPr>
          </w:p>
          <w:p w:rsidR="003E4781" w:rsidRDefault="003E4781" w:rsidP="00C65219">
            <w:pPr>
              <w:tabs>
                <w:tab w:val="left" w:pos="0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1.5.</w:t>
            </w:r>
            <w:r>
              <w:rPr>
                <w:color w:val="000000"/>
                <w:szCs w:val="24"/>
              </w:rPr>
              <w:tab/>
              <w:t>Galimi partneriai: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1.5.1.</w:t>
            </w:r>
            <w:r>
              <w:rPr>
                <w:szCs w:val="24"/>
              </w:rPr>
              <w:tab/>
            </w:r>
            <w:r>
              <w:rPr>
                <w:bCs/>
                <w:color w:val="000000"/>
                <w:szCs w:val="24"/>
              </w:rPr>
              <w:t>Lietuvos Respublikos sveikatos apsaugos ministerija ir (ar) jai pavaldžios įstaigos pagal kompetenciją;</w:t>
            </w:r>
          </w:p>
          <w:p w:rsidR="003E4781" w:rsidRDefault="003E4781" w:rsidP="00C65219">
            <w:pPr>
              <w:tabs>
                <w:tab w:val="left" w:pos="34"/>
                <w:tab w:val="left" w:pos="318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1.5.2.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Vilniaus universitetas, Lietuvos sveikatos mokslų universitetas, Lietuvos sporto universitetas, K</w:t>
            </w:r>
            <w:r>
              <w:rPr>
                <w:szCs w:val="24"/>
              </w:rPr>
              <w:t>laipėdos</w:t>
            </w:r>
            <w:r>
              <w:rPr>
                <w:szCs w:val="23"/>
              </w:rPr>
              <w:t xml:space="preserve"> universitetas;</w:t>
            </w:r>
          </w:p>
          <w:p w:rsidR="003E4781" w:rsidRDefault="003E4781" w:rsidP="00C65219">
            <w:pPr>
              <w:tabs>
                <w:tab w:val="left" w:pos="0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1.5.3.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Nacionalinis vėžio institutas;</w:t>
            </w:r>
          </w:p>
          <w:p w:rsidR="003E4781" w:rsidRDefault="003E4781" w:rsidP="00C65219">
            <w:pPr>
              <w:tabs>
                <w:tab w:val="left" w:pos="0"/>
                <w:tab w:val="left" w:pos="459"/>
                <w:tab w:val="left" w:pos="743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1.5.4.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VšĮ Vilniaus universiteto ligoninės Santariškių klinikos;</w:t>
            </w:r>
          </w:p>
          <w:p w:rsidR="003E4781" w:rsidRDefault="003E4781" w:rsidP="00C65219">
            <w:pPr>
              <w:tabs>
                <w:tab w:val="left" w:pos="0"/>
                <w:tab w:val="left" w:pos="743"/>
                <w:tab w:val="left" w:pos="1026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1.5.5.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VšĮ Lietuvos sveikatos mokslų universiteto ligoninė Kauno klinikos;</w:t>
            </w:r>
          </w:p>
          <w:p w:rsidR="003E4781" w:rsidRDefault="003E4781" w:rsidP="00C65219">
            <w:pPr>
              <w:tabs>
                <w:tab w:val="left" w:pos="0"/>
                <w:tab w:val="left" w:pos="743"/>
                <w:tab w:val="left" w:pos="1026"/>
                <w:tab w:val="left" w:pos="1556"/>
                <w:tab w:val="left" w:pos="1877"/>
                <w:tab w:val="left" w:pos="2302"/>
              </w:tabs>
              <w:ind w:left="34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1.5.6.</w:t>
            </w:r>
            <w:r>
              <w:rPr>
                <w:szCs w:val="24"/>
              </w:rPr>
              <w:tab/>
            </w:r>
            <w:r>
              <w:rPr>
                <w:color w:val="000000"/>
                <w:szCs w:val="24"/>
              </w:rPr>
              <w:t>Valstybinė geležinkelio inspekcija prie Susisiekimo ministerijos</w:t>
            </w:r>
          </w:p>
        </w:tc>
      </w:tr>
    </w:tbl>
    <w:p w:rsidR="003E4781" w:rsidRDefault="003E4781" w:rsidP="003E4781">
      <w:pPr>
        <w:tabs>
          <w:tab w:val="left" w:pos="0"/>
          <w:tab w:val="left" w:pos="567"/>
        </w:tabs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</w:tabs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  <w:tab w:val="left" w:pos="1276"/>
        </w:tabs>
        <w:ind w:left="851" w:hanging="1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85"/>
      </w:tblGrid>
      <w:tr w:rsidR="003E4781" w:rsidTr="00C65219">
        <w:tc>
          <w:tcPr>
            <w:tcW w:w="14601" w:type="dxa"/>
          </w:tcPr>
          <w:p w:rsidR="003E4781" w:rsidRDefault="003E4781" w:rsidP="00C65219">
            <w:pPr>
              <w:tabs>
                <w:tab w:val="left" w:pos="0"/>
                <w:tab w:val="left" w:pos="567"/>
              </w:tabs>
              <w:ind w:firstLine="34"/>
              <w:jc w:val="both"/>
              <w:rPr>
                <w:szCs w:val="24"/>
              </w:rPr>
            </w:pPr>
            <w:r>
              <w:rPr>
                <w:szCs w:val="24"/>
              </w:rPr>
              <w:t>Negrąžinamoji subsidija.</w:t>
            </w:r>
          </w:p>
        </w:tc>
      </w:tr>
    </w:tbl>
    <w:p w:rsidR="003E4781" w:rsidRDefault="003E4781" w:rsidP="003E4781">
      <w:pPr>
        <w:tabs>
          <w:tab w:val="left" w:pos="0"/>
          <w:tab w:val="left" w:pos="567"/>
        </w:tabs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</w:tabs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  <w:tab w:val="left" w:pos="1276"/>
        </w:tabs>
        <w:ind w:left="851" w:hanging="1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5"/>
      </w:tblGrid>
      <w:tr w:rsidR="003E4781" w:rsidTr="00C65219">
        <w:tc>
          <w:tcPr>
            <w:tcW w:w="14601" w:type="dxa"/>
          </w:tcPr>
          <w:p w:rsidR="003E4781" w:rsidRDefault="003E4781" w:rsidP="00C65219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Valstybės projektų planavimas.</w:t>
            </w:r>
          </w:p>
        </w:tc>
      </w:tr>
    </w:tbl>
    <w:p w:rsidR="003E4781" w:rsidRDefault="003E4781" w:rsidP="003E4781">
      <w:pPr>
        <w:tabs>
          <w:tab w:val="left" w:pos="0"/>
          <w:tab w:val="left" w:pos="567"/>
        </w:tabs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</w:tabs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  <w:tab w:val="left" w:pos="1276"/>
        </w:tabs>
        <w:ind w:left="851" w:hanging="11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5"/>
      </w:tblGrid>
      <w:tr w:rsidR="003E4781" w:rsidTr="00C65219">
        <w:tc>
          <w:tcPr>
            <w:tcW w:w="14601" w:type="dxa"/>
          </w:tcPr>
          <w:p w:rsidR="003E4781" w:rsidRDefault="003E4781" w:rsidP="00C65219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szCs w:val="24"/>
              </w:rPr>
            </w:pPr>
            <w:r>
              <w:rPr>
                <w:szCs w:val="24"/>
              </w:rPr>
              <w:t>Viešoji įstaiga Europos socialinio fondo agentūra.</w:t>
            </w:r>
          </w:p>
        </w:tc>
      </w:tr>
    </w:tbl>
    <w:p w:rsidR="003E4781" w:rsidRDefault="003E4781" w:rsidP="003E4781">
      <w:pPr>
        <w:tabs>
          <w:tab w:val="left" w:pos="0"/>
          <w:tab w:val="left" w:pos="567"/>
        </w:tabs>
        <w:ind w:left="644"/>
        <w:jc w:val="both"/>
        <w:rPr>
          <w:szCs w:val="24"/>
        </w:rPr>
      </w:pPr>
    </w:p>
    <w:p w:rsidR="003E4781" w:rsidRDefault="003E4781" w:rsidP="003E4781">
      <w:pPr>
        <w:tabs>
          <w:tab w:val="left" w:pos="0"/>
          <w:tab w:val="left" w:pos="567"/>
        </w:tabs>
        <w:ind w:left="644"/>
        <w:jc w:val="both"/>
        <w:rPr>
          <w:szCs w:val="24"/>
        </w:rPr>
      </w:pPr>
    </w:p>
    <w:p w:rsidR="003E4781" w:rsidRDefault="003E4781" w:rsidP="003E4781">
      <w:pPr>
        <w:tabs>
          <w:tab w:val="left" w:pos="567"/>
          <w:tab w:val="left" w:pos="993"/>
          <w:tab w:val="left" w:pos="1276"/>
        </w:tabs>
        <w:ind w:left="851"/>
        <w:contextualSpacing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  <w:t>Reikalavimai, taikomi priemonei atskirti nuo kitų iš ES bei kitos tarptautinės finansinės paramos finansuojamų programų priemonių</w:t>
      </w:r>
    </w:p>
    <w:p w:rsidR="003E4781" w:rsidRDefault="003E4781" w:rsidP="003E4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42"/>
          <w:tab w:val="left" w:pos="567"/>
        </w:tabs>
        <w:ind w:right="141" w:firstLine="709"/>
        <w:jc w:val="both"/>
        <w:rPr>
          <w:szCs w:val="24"/>
        </w:rPr>
      </w:pPr>
      <w:r>
        <w:rPr>
          <w:szCs w:val="24"/>
        </w:rPr>
        <w:t>Pagal priemonę nefinansuojamos regioninio lygmens veiklos, kadangi jos finansuojamos įgyvendinant priemonę 08.4.2-ESFA-R-630 „Sveikos gyvensenos skatinimas regioniniu lygiu“.</w:t>
      </w:r>
    </w:p>
    <w:p w:rsidR="003E4781" w:rsidRDefault="003E4781" w:rsidP="003E4781">
      <w:pPr>
        <w:tabs>
          <w:tab w:val="left" w:pos="0"/>
          <w:tab w:val="left" w:pos="567"/>
        </w:tabs>
        <w:jc w:val="both"/>
        <w:rPr>
          <w:bCs/>
          <w:szCs w:val="24"/>
        </w:rPr>
      </w:pPr>
    </w:p>
    <w:p w:rsidR="003E4781" w:rsidRDefault="003E4781" w:rsidP="003E4781">
      <w:pPr>
        <w:tabs>
          <w:tab w:val="left" w:pos="0"/>
          <w:tab w:val="left" w:pos="567"/>
        </w:tabs>
        <w:jc w:val="both"/>
        <w:rPr>
          <w:bCs/>
          <w:szCs w:val="24"/>
        </w:rPr>
      </w:pPr>
    </w:p>
    <w:p w:rsidR="003E4781" w:rsidRDefault="003E4781" w:rsidP="003E4781">
      <w:pPr>
        <w:tabs>
          <w:tab w:val="left" w:pos="142"/>
          <w:tab w:val="left" w:pos="567"/>
          <w:tab w:val="left" w:pos="1276"/>
        </w:tabs>
        <w:ind w:left="851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>P</w:t>
      </w:r>
      <w:r>
        <w:rPr>
          <w:bCs/>
          <w:szCs w:val="24"/>
        </w:rPr>
        <w:t>riemonės įgyvendinimo stebėsenos rodikliai</w:t>
      </w: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88"/>
        <w:gridCol w:w="1515"/>
        <w:gridCol w:w="1984"/>
        <w:gridCol w:w="2836"/>
      </w:tblGrid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R.S.359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„Standartizuoto 0–64 m. amžiaus gyventojų mirtingumo sumažėjimas tikslinėse teritorijose nuo kraujotakos sistemos ligų“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Atvejų skaičius 100 000 gyv.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R.S.360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 xml:space="preserve">„Standartizuoto 0–64 m. amžiaus gyventojų mirtingumo sumažėjimas tikslinėse teritorijose nuo </w:t>
            </w:r>
            <w:proofErr w:type="spellStart"/>
            <w:r>
              <w:rPr>
                <w:bCs/>
                <w:szCs w:val="24"/>
              </w:rPr>
              <w:t>cerebrovaskulinių</w:t>
            </w:r>
            <w:proofErr w:type="spellEnd"/>
            <w:r>
              <w:rPr>
                <w:bCs/>
                <w:szCs w:val="24"/>
              </w:rPr>
              <w:t xml:space="preserve"> ligų“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Atvejų skaičius 100 000 gyv.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R.S.361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bCs/>
                <w:szCs w:val="24"/>
              </w:rPr>
            </w:pPr>
            <w:r>
              <w:rPr>
                <w:szCs w:val="24"/>
              </w:rPr>
              <w:t>„Standartizuoto 0–64 m. amžiaus gyventojų mirtingumo sumažėjimas tikslinėse teritorijose nuo piktybinių navikų“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Atvejų skaičius 100 000 gyv.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R.S.362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szCs w:val="24"/>
              </w:rPr>
              <w:t>„Standartizuoto 0</w:t>
            </w:r>
            <w:r>
              <w:rPr>
                <w:szCs w:val="24"/>
              </w:rPr>
              <w:t>–</w:t>
            </w:r>
            <w:r>
              <w:rPr>
                <w:bCs/>
                <w:szCs w:val="24"/>
              </w:rPr>
              <w:t>64 m. amžiaus gyventojų mirtingumo sumažėjimas tikslinėse teritorijose dėl išorinių mirties priežasčių“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Atvejų skaičius 100 000 gyv.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R.N.631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„Tikslinių teritorijų gyventojų, žinančių, ką reiškia gyventi sveikai, dalies padidėjimas 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Procentiniai punktai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R.N.632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„Tikslinių teritorijų gyventojų, manančių, kad jie atsakingi už savo sveikatą, dalies padidėjimas“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Procentiniai punktai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P.N.633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„Įrengti teminiai sveikatos mokymo kabinetai Sveikatos mokymo ir ligų prevencijos centre“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P.N.602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„Mokymuose dalyvavę sveikatos priežiūros ir kiti specialistai“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3E4781" w:rsidTr="00C6521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P.N.603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„Parengtos ir patvirtintos metodikos, tvarkos aprašai ir kiti dokumentai“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E4781" w:rsidTr="00C65219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  <w:tab w:val="left" w:pos="142"/>
                <w:tab w:val="left" w:pos="993"/>
              </w:tabs>
              <w:spacing w:line="22" w:lineRule="atLeast"/>
              <w:ind w:firstLine="3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P.N.619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  <w:tab w:val="left" w:pos="142"/>
                <w:tab w:val="left" w:pos="993"/>
              </w:tabs>
              <w:spacing w:line="22" w:lineRule="atLeas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</w:t>
            </w:r>
            <w:r>
              <w:rPr>
                <w:szCs w:val="24"/>
              </w:rPr>
              <w:t>Įgyvendintos priemonės, skirtos skatinti tikslinių grupių asmenis dalyvauti sveikatinimo veikloje ir (ar) didinančios jų sveikatos raštingumą</w:t>
            </w:r>
            <w:r>
              <w:rPr>
                <w:color w:val="000000"/>
                <w:szCs w:val="24"/>
                <w:lang w:eastAsia="lt-LT"/>
              </w:rPr>
              <w:t>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142"/>
                <w:tab w:val="left" w:pos="173"/>
                <w:tab w:val="left" w:pos="993"/>
              </w:tabs>
              <w:spacing w:line="22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142"/>
                <w:tab w:val="left" w:pos="173"/>
                <w:tab w:val="left" w:pos="993"/>
              </w:tabs>
              <w:spacing w:line="22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142"/>
                <w:tab w:val="left" w:pos="173"/>
                <w:tab w:val="left" w:pos="993"/>
              </w:tabs>
              <w:spacing w:line="22" w:lineRule="atLeast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10</w:t>
            </w:r>
          </w:p>
        </w:tc>
      </w:tr>
      <w:tr w:rsidR="008D3120" w:rsidTr="00C65219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20" w:rsidRPr="00432E6F" w:rsidRDefault="008D3120" w:rsidP="008D3120">
            <w:pPr>
              <w:spacing w:before="100" w:beforeAutospacing="1" w:after="100" w:afterAutospacing="1"/>
              <w:ind w:firstLine="30"/>
              <w:rPr>
                <w:b/>
                <w:szCs w:val="24"/>
                <w:lang w:eastAsia="lt-LT"/>
              </w:rPr>
            </w:pPr>
            <w:r w:rsidRPr="00432E6F">
              <w:rPr>
                <w:b/>
                <w:color w:val="000000"/>
                <w:szCs w:val="24"/>
                <w:lang w:eastAsia="lt-LT"/>
              </w:rPr>
              <w:t>„P.</w:t>
            </w:r>
            <w:r w:rsidRPr="00935463">
              <w:rPr>
                <w:b/>
                <w:color w:val="000000"/>
                <w:szCs w:val="24"/>
                <w:lang w:eastAsia="lt-LT"/>
              </w:rPr>
              <w:t>S</w:t>
            </w:r>
            <w:r w:rsidRPr="00432E6F">
              <w:rPr>
                <w:b/>
                <w:color w:val="000000"/>
                <w:szCs w:val="24"/>
                <w:lang w:eastAsia="lt-LT"/>
              </w:rPr>
              <w:t>.</w:t>
            </w:r>
            <w:r w:rsidRPr="00935463">
              <w:rPr>
                <w:b/>
                <w:color w:val="000000"/>
                <w:szCs w:val="24"/>
                <w:lang w:eastAsia="lt-LT"/>
              </w:rPr>
              <w:t>372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20" w:rsidRPr="00432E6F" w:rsidRDefault="008D3120" w:rsidP="008D3120">
            <w:pPr>
              <w:spacing w:before="100" w:beforeAutospacing="1" w:after="100" w:afterAutospacing="1"/>
              <w:rPr>
                <w:b/>
                <w:szCs w:val="24"/>
                <w:lang w:eastAsia="lt-LT"/>
              </w:rPr>
            </w:pPr>
            <w:r w:rsidRPr="00935463">
              <w:rPr>
                <w:b/>
                <w:bCs/>
                <w:szCs w:val="24"/>
              </w:rPr>
              <w:t>„Tikslinių grupių asmenys, kurie dalyvavo informavimo, švietimo ir mokymo renginiuose bei sveikatos raštingumą didinančiuose veiklose“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20" w:rsidRPr="00432E6F" w:rsidRDefault="008D3120" w:rsidP="008D3120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432E6F">
              <w:rPr>
                <w:b/>
                <w:color w:val="000000"/>
                <w:szCs w:val="24"/>
                <w:lang w:eastAsia="lt-LT"/>
              </w:rPr>
              <w:t>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20" w:rsidRPr="007C4D5B" w:rsidRDefault="008D3120" w:rsidP="008D3120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3</w:t>
            </w:r>
            <w:r w:rsidRPr="007C4D5B">
              <w:rPr>
                <w:b/>
                <w:color w:val="000000"/>
                <w:szCs w:val="24"/>
                <w:lang w:eastAsia="lt-LT"/>
              </w:rPr>
              <w:t>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20" w:rsidRPr="007C4D5B" w:rsidRDefault="008D3120" w:rsidP="008D3120">
            <w:pPr>
              <w:spacing w:before="100" w:beforeAutospacing="1" w:after="100" w:afterAutospacing="1"/>
              <w:jc w:val="center"/>
              <w:rPr>
                <w:b/>
                <w:szCs w:val="24"/>
                <w:lang w:eastAsia="lt-LT"/>
              </w:rPr>
            </w:pPr>
            <w:r w:rsidRPr="007C4D5B">
              <w:rPr>
                <w:b/>
                <w:color w:val="000000"/>
                <w:szCs w:val="24"/>
                <w:lang w:eastAsia="lt-LT"/>
              </w:rPr>
              <w:t>6</w:t>
            </w:r>
            <w:r>
              <w:rPr>
                <w:b/>
                <w:color w:val="000000"/>
                <w:szCs w:val="24"/>
                <w:lang w:eastAsia="lt-LT"/>
              </w:rPr>
              <w:t>0</w:t>
            </w:r>
            <w:r w:rsidRPr="007C4D5B">
              <w:rPr>
                <w:b/>
                <w:color w:val="000000"/>
                <w:szCs w:val="24"/>
                <w:lang w:eastAsia="lt-LT"/>
              </w:rPr>
              <w:t>00“</w:t>
            </w:r>
          </w:p>
        </w:tc>
      </w:tr>
    </w:tbl>
    <w:p w:rsidR="003E4781" w:rsidRDefault="003E4781" w:rsidP="003E4781"/>
    <w:p w:rsidR="003E4781" w:rsidRDefault="003E4781" w:rsidP="003E4781">
      <w:bookmarkStart w:id="0" w:name="_GoBack"/>
      <w:bookmarkEnd w:id="0"/>
    </w:p>
    <w:p w:rsidR="003E4781" w:rsidRDefault="003E4781" w:rsidP="003E4781">
      <w:pPr>
        <w:tabs>
          <w:tab w:val="left" w:pos="142"/>
          <w:tab w:val="left" w:pos="567"/>
          <w:tab w:val="left" w:pos="1276"/>
        </w:tabs>
        <w:ind w:left="851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</w:r>
      <w:r>
        <w:rPr>
          <w:bCs/>
          <w:szCs w:val="24"/>
        </w:rPr>
        <w:t>Priemonės finansavimo šaltiniai</w:t>
      </w:r>
    </w:p>
    <w:p w:rsidR="003E4781" w:rsidRDefault="003E4781" w:rsidP="003E4781">
      <w:pPr>
        <w:tabs>
          <w:tab w:val="left" w:pos="0"/>
          <w:tab w:val="left" w:pos="142"/>
          <w:tab w:val="left" w:pos="7088"/>
          <w:tab w:val="left" w:pos="8364"/>
        </w:tabs>
        <w:ind w:right="2664" w:firstLine="9144"/>
        <w:rPr>
          <w:szCs w:val="24"/>
        </w:rPr>
      </w:pPr>
      <w:r>
        <w:rPr>
          <w:szCs w:val="24"/>
        </w:rPr>
        <w:t>(eurais)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254"/>
        <w:gridCol w:w="1843"/>
        <w:gridCol w:w="2835"/>
        <w:gridCol w:w="1984"/>
        <w:gridCol w:w="1419"/>
        <w:gridCol w:w="1274"/>
      </w:tblGrid>
      <w:tr w:rsidR="003E4781" w:rsidTr="00C65219">
        <w:trPr>
          <w:trHeight w:val="454"/>
          <w:tblHeader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Projektams skiriamas finansavimas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Kiti projektų finansavimo šaltiniai</w:t>
            </w:r>
          </w:p>
        </w:tc>
      </w:tr>
      <w:tr w:rsidR="003E4781" w:rsidTr="00C65219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ind w:left="-108" w:right="-108"/>
              <w:jc w:val="center"/>
              <w:rPr>
                <w:bCs/>
                <w:szCs w:val="24"/>
              </w:rPr>
            </w:pPr>
          </w:p>
          <w:p w:rsidR="003E4781" w:rsidRDefault="003E4781" w:rsidP="00C65219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ES struktūrinių fondų</w:t>
            </w:r>
          </w:p>
          <w:p w:rsidR="003E4781" w:rsidRDefault="003E4781" w:rsidP="00C65219">
            <w:pPr>
              <w:ind w:left="-108"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lėšos – iki</w:t>
            </w:r>
          </w:p>
        </w:tc>
        <w:tc>
          <w:tcPr>
            <w:tcW w:w="136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Nacionalinės lėšos</w:t>
            </w:r>
          </w:p>
        </w:tc>
      </w:tr>
      <w:tr w:rsidR="003E4781" w:rsidTr="00C65219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Lietuvos Respublikos valstybės biudžeto lėšos – iki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</w:p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Projektų vykdytojų lėšos</w:t>
            </w:r>
          </w:p>
        </w:tc>
      </w:tr>
      <w:tr w:rsidR="003E4781" w:rsidTr="00C65219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Iš viso – ne mažiau kaip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Lietuvos Respublikos valstybės biudžeto lėšos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Savivaldybės biudžeto</w:t>
            </w:r>
          </w:p>
          <w:p w:rsidR="003E4781" w:rsidRDefault="003E4781" w:rsidP="00C65219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tabs>
                <w:tab w:val="left" w:pos="0"/>
              </w:tabs>
              <w:ind w:left="34" w:right="-108" w:hanging="3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Kitos viešosios lėšos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Privačios lėšos </w:t>
            </w:r>
          </w:p>
        </w:tc>
      </w:tr>
      <w:tr w:rsidR="003E4781" w:rsidTr="00C65219">
        <w:trPr>
          <w:trHeight w:val="24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3E4781" w:rsidTr="00C65219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6 908 518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1 219 150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4781" w:rsidTr="00C65219">
        <w:trPr>
          <w:trHeight w:val="24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781" w:rsidRDefault="003E4781" w:rsidP="00C65219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  <w:t>Veiklos lėšų rezervas ir jam finansuoti skiriamos nacionalinės lėšos</w:t>
            </w:r>
          </w:p>
        </w:tc>
      </w:tr>
      <w:tr w:rsidR="003E4781" w:rsidTr="00C65219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4781" w:rsidTr="00C65219">
        <w:trPr>
          <w:trHeight w:val="249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</w:rPr>
              <w:tab/>
              <w:t xml:space="preserve">Iš viso </w:t>
            </w:r>
          </w:p>
        </w:tc>
      </w:tr>
      <w:tr w:rsidR="003E4781" w:rsidTr="00C65219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6 908 518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1 219 150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781" w:rsidRDefault="003E4781" w:rsidP="00C65219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0“</w:t>
            </w:r>
          </w:p>
        </w:tc>
      </w:tr>
    </w:tbl>
    <w:p w:rsidR="003E4781" w:rsidRDefault="003E4781" w:rsidP="003E4781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</w:t>
      </w:r>
    </w:p>
    <w:p w:rsidR="003E4781" w:rsidRDefault="003E4781" w:rsidP="003E4781">
      <w:pPr>
        <w:tabs>
          <w:tab w:val="left" w:pos="0"/>
          <w:tab w:val="left" w:pos="426"/>
          <w:tab w:val="left" w:pos="10205"/>
        </w:tabs>
        <w:ind w:right="424"/>
        <w:jc w:val="center"/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3E4781" w:rsidRDefault="003E4781" w:rsidP="003E4781">
      <w:pPr>
        <w:tabs>
          <w:tab w:val="left" w:pos="0"/>
          <w:tab w:val="left" w:pos="567"/>
          <w:tab w:val="left" w:pos="9781"/>
        </w:tabs>
        <w:ind w:left="1004" w:right="140"/>
        <w:jc w:val="right"/>
        <w:rPr>
          <w:rFonts w:eastAsia="Calibri"/>
          <w:bCs/>
          <w:szCs w:val="24"/>
          <w:lang w:eastAsia="lt-LT"/>
        </w:rPr>
      </w:pPr>
    </w:p>
    <w:p w:rsidR="00701D6B" w:rsidRDefault="00701D6B"/>
    <w:sectPr w:rsidR="00701D6B" w:rsidSect="003E478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81"/>
    <w:rsid w:val="003D2274"/>
    <w:rsid w:val="003E4781"/>
    <w:rsid w:val="0053190E"/>
    <w:rsid w:val="00701D6B"/>
    <w:rsid w:val="008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76F1"/>
  <w15:chartTrackingRefBased/>
  <w15:docId w15:val="{76CE8A20-567D-49A2-9D80-4EDA8C64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7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3506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Sandra Jarašiūnienė</cp:lastModifiedBy>
  <cp:revision>2</cp:revision>
  <dcterms:created xsi:type="dcterms:W3CDTF">2017-11-30T06:42:00Z</dcterms:created>
  <dcterms:modified xsi:type="dcterms:W3CDTF">2017-11-30T06:49:00Z</dcterms:modified>
</cp:coreProperties>
</file>