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0E78ED" w:rsidRPr="00086E14" w14:paraId="62D519D8" w14:textId="77777777" w:rsidTr="001C7F89">
        <w:tc>
          <w:tcPr>
            <w:tcW w:w="3696" w:type="dxa"/>
          </w:tcPr>
          <w:p w14:paraId="6058F939" w14:textId="77777777" w:rsidR="006A194C" w:rsidRPr="00086E14" w:rsidRDefault="006A194C" w:rsidP="00645733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 xml:space="preserve">Projektų konkurso ir tęstinės </w:t>
            </w:r>
            <w:r w:rsidR="00787614" w:rsidRPr="00086E14">
              <w:rPr>
                <w:rFonts w:ascii="Times New Roman" w:hAnsi="Times New Roman" w:cs="Times New Roman"/>
                <w:sz w:val="24"/>
                <w:szCs w:val="24"/>
              </w:rPr>
              <w:t xml:space="preserve">projektų </w:t>
            </w: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>atrankos planavimo proceso</w:t>
            </w:r>
            <w:r w:rsidR="006457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086E14">
              <w:rPr>
                <w:rFonts w:ascii="Times New Roman" w:hAnsi="Times New Roman" w:cs="Times New Roman"/>
                <w:sz w:val="24"/>
                <w:szCs w:val="24"/>
              </w:rPr>
              <w:t>riedas</w:t>
            </w:r>
          </w:p>
          <w:p w14:paraId="505DE1A3" w14:textId="77777777" w:rsidR="003B79DC" w:rsidRPr="00086E14" w:rsidRDefault="003B79DC" w:rsidP="006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1391" w14:textId="1EAB047D" w:rsidR="008379FF" w:rsidRPr="005E701D" w:rsidRDefault="00E72CF3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</w:t>
            </w:r>
            <w:r w:rsidR="003234C1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2017-0</w:t>
            </w:r>
            <w:r w:rsidR="00055AFD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7870E4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–</w:t>
            </w:r>
            <w:r w:rsidR="00055AFD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</w:t>
            </w:r>
            <w:r w:rsidR="005E701D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</w:t>
            </w: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</w:t>
            </w:r>
          </w:p>
          <w:p w14:paraId="4A4963FD" w14:textId="77777777" w:rsidR="003B79DC" w:rsidRPr="00086E14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Style w:val="FootnoteReference"/>
                <w:rFonts w:ascii="Times New Roman" w:hAnsi="Times New Roman" w:cs="Times New Roman"/>
                <w:i/>
                <w:sz w:val="24"/>
                <w:szCs w:val="24"/>
              </w:rPr>
              <w:footnoteReference w:id="1"/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C8DB13B" w14:textId="77777777" w:rsidR="000E78ED" w:rsidRPr="00E01724" w:rsidRDefault="000E78ED" w:rsidP="001C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31943E1B" w14:textId="77777777" w:rsidTr="00F26FB4">
        <w:tc>
          <w:tcPr>
            <w:tcW w:w="3696" w:type="dxa"/>
          </w:tcPr>
          <w:tbl>
            <w:tblPr>
              <w:tblStyle w:val="TableGrid"/>
              <w:tblW w:w="9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380"/>
              <w:gridCol w:w="4160"/>
            </w:tblGrid>
            <w:tr w:rsidR="007D52FB" w:rsidRPr="00067B16" w14:paraId="32A8977A" w14:textId="77777777" w:rsidTr="001C7F89">
              <w:trPr>
                <w:trHeight w:val="1976"/>
              </w:trPr>
              <w:tc>
                <w:tcPr>
                  <w:tcW w:w="9215" w:type="dxa"/>
                  <w:gridSpan w:val="3"/>
                  <w:vAlign w:val="center"/>
                </w:tcPr>
                <w:p w14:paraId="244D6596" w14:textId="77777777" w:rsidR="000E78ED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B145442" wp14:editId="75F12557">
                        <wp:extent cx="2124075" cy="990600"/>
                        <wp:effectExtent l="0" t="0" r="9525" b="0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41" t="16322" r="11626" b="270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24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3EF778" w14:textId="77777777" w:rsidR="00D0100B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A7DF727" w14:textId="77777777" w:rsidTr="001C7F89">
              <w:trPr>
                <w:trHeight w:val="430"/>
              </w:trPr>
              <w:tc>
                <w:tcPr>
                  <w:tcW w:w="9215" w:type="dxa"/>
                  <w:gridSpan w:val="3"/>
                </w:tcPr>
                <w:p w14:paraId="08C7F7D8" w14:textId="77777777" w:rsidR="00787614" w:rsidRPr="00067B1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  <w:r w:rsidR="00F34C79" w:rsidRPr="00067B16">
                    <w:rPr>
                      <w:rStyle w:val="FootnoteReference"/>
                      <w:rFonts w:ascii="Times New Roman" w:hAnsi="Times New Roman" w:cs="Times New Roman"/>
                      <w:b/>
                      <w:sz w:val="24"/>
                      <w:szCs w:val="24"/>
                    </w:rPr>
                    <w:footnoteReference w:id="2"/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(-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es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14:paraId="7A7BC8BF" w14:textId="77777777" w:rsidR="002618E1" w:rsidRDefault="002618E1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9D138D3" w14:textId="3FB1AC21" w:rsidR="00787614" w:rsidRPr="00067B16" w:rsidRDefault="00EA5685" w:rsidP="0009482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Priemonė Nr. 0</w:t>
                  </w:r>
                  <w:r w:rsidR="00C67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.2.1-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IVG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Expo konsultantas LT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</w:p>
              </w:tc>
            </w:tr>
            <w:tr w:rsidR="007D52FB" w:rsidRPr="00067B16" w14:paraId="1F7C9542" w14:textId="77777777" w:rsidTr="001C7F89">
              <w:tc>
                <w:tcPr>
                  <w:tcW w:w="9215" w:type="dxa"/>
                  <w:gridSpan w:val="3"/>
                </w:tcPr>
                <w:p w14:paraId="7D7F80C9" w14:textId="77777777" w:rsidR="00787614" w:rsidRPr="00067B1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2E3261EA" w14:textId="77777777" w:rsidTr="001C7F89">
              <w:trPr>
                <w:trHeight w:val="343"/>
              </w:trPr>
              <w:tc>
                <w:tcPr>
                  <w:tcW w:w="9215" w:type="dxa"/>
                  <w:gridSpan w:val="3"/>
                </w:tcPr>
                <w:p w14:paraId="0976D0BC" w14:textId="0D516040" w:rsidR="00787614" w:rsidRPr="003234C1" w:rsidRDefault="00787614" w:rsidP="0009482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234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094825" w:rsidRPr="003234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</w:tr>
            <w:tr w:rsidR="007D52FB" w:rsidRPr="00067B16" w14:paraId="2A8824F5" w14:textId="77777777" w:rsidTr="001C7F89">
              <w:tc>
                <w:tcPr>
                  <w:tcW w:w="5055" w:type="dxa"/>
                  <w:gridSpan w:val="2"/>
                </w:tcPr>
                <w:p w14:paraId="5DE30886" w14:textId="77777777" w:rsidR="000E78ED" w:rsidRPr="001C7F89" w:rsidRDefault="00EA5685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0E78ED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ir</w:t>
                  </w:r>
                </w:p>
              </w:tc>
              <w:tc>
                <w:tcPr>
                  <w:tcW w:w="4160" w:type="dxa"/>
                </w:tcPr>
                <w:p w14:paraId="69CAF78F" w14:textId="70131D53" w:rsidR="000E78ED" w:rsidRPr="001C7F89" w:rsidRDefault="00094825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Uždaroji akcinė bendrovė „Investicijų ir verslo garantijos“</w:t>
                  </w:r>
                </w:p>
              </w:tc>
            </w:tr>
            <w:tr w:rsidR="007D52FB" w:rsidRPr="00067B16" w14:paraId="0F3D7BE1" w14:textId="77777777" w:rsidTr="001C7F89">
              <w:tc>
                <w:tcPr>
                  <w:tcW w:w="9215" w:type="dxa"/>
                  <w:gridSpan w:val="3"/>
                  <w:tcBorders>
                    <w:bottom w:val="single" w:sz="4" w:space="0" w:color="auto"/>
                  </w:tcBorders>
                </w:tcPr>
                <w:p w14:paraId="43FE9615" w14:textId="77777777" w:rsidR="0073341B" w:rsidRPr="00067B16" w:rsidRDefault="0073341B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D07D9F" w14:textId="1BA9E63C" w:rsidR="000E78ED" w:rsidRDefault="000E78ED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veiksmų programos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priemonę</w:t>
                  </w:r>
                  <w:r w:rsid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Nr. 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.2.1-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IVG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-82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Expo konsultantas LT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16FF603" w14:textId="77777777" w:rsidR="001C7F89" w:rsidRPr="00067B16" w:rsidRDefault="001C7F89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3A24946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60F5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7B467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0C2E9" w14:textId="17202EB5" w:rsidR="0094300F" w:rsidRPr="003234C1" w:rsidRDefault="00170506" w:rsidP="00384005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4C1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Suteikti </w:t>
                  </w:r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>labai mažoms, mažoms ir vidutinėms įmonėms</w:t>
                  </w:r>
                  <w:r w:rsidRPr="003234C1">
                    <w:rPr>
                      <w:rFonts w:ascii="Times New Roman" w:eastAsia="AngsanaUPC" w:hAnsi="Times New Roman"/>
                      <w:bCs/>
                      <w:sz w:val="24"/>
                      <w:szCs w:val="24"/>
                    </w:rPr>
                    <w:t xml:space="preserve"> (toliau – MVĮ) reikiamą informacinę, konsultacinę metodinę ir kitą paramą eksporto, potencialių rinkų paieškos, tarptautinės prekybos klausimais ir taip paskatinti eksporto ir įmonių konkurencingumo augimą.</w:t>
                  </w:r>
                </w:p>
              </w:tc>
            </w:tr>
            <w:tr w:rsidR="007D52FB" w:rsidRPr="00067B16" w14:paraId="4E408054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DA1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4A78B87D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F8EE" w14:textId="77777777" w:rsidR="00170506" w:rsidRPr="003234C1" w:rsidRDefault="00170506" w:rsidP="00170506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Aukštos kokybės konsultacijos eksporto ir įmonių tarptautinio bendradarbiavimo skatinimo klausimais iki trejų metų </w:t>
                  </w:r>
                  <w:r w:rsidRPr="003234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veikiančioms MVĮ</w:t>
                  </w:r>
                  <w:r w:rsidRPr="003234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;</w:t>
                  </w:r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6E65B12" w14:textId="5BAF587D" w:rsidR="000B11C4" w:rsidRPr="003234C1" w:rsidRDefault="00170506" w:rsidP="00170506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3234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2. </w:t>
                  </w:r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Aukštos kokybės konsultacijos eksporto ir įmonių tarptautinio bendradarbiavimo skatinimo klausimais virš trejų metų </w:t>
                  </w:r>
                  <w:r w:rsidRPr="003234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veikiančioms </w:t>
                  </w:r>
                  <w:r w:rsidRPr="003234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MVĮ</w:t>
                  </w:r>
                  <w:r w:rsidRPr="003234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</w:tr>
            <w:tr w:rsidR="007D52FB" w:rsidRPr="00067B16" w14:paraId="5D677BAE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7F899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4A58D681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F34C" w14:textId="0DE23A04" w:rsidR="00160AB7" w:rsidRPr="003234C1" w:rsidRDefault="00170506" w:rsidP="00D72A7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MVĮ, kuri</w:t>
                  </w:r>
                  <w:r w:rsidR="00055AFD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os</w:t>
                  </w:r>
                  <w:r w:rsidRPr="003234C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72A76" w:rsidRPr="003234C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ne trumpiau kaip šešis mėnesius iki paraiškos pateikimo mėnesio kiekvieną mėnesį turėjo </w:t>
                  </w:r>
                  <w:r w:rsidR="00D72A76" w:rsidRPr="003234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apdraustųjų.</w:t>
                  </w:r>
                </w:p>
              </w:tc>
            </w:tr>
            <w:tr w:rsidR="00D72A76" w:rsidRPr="00067B16" w14:paraId="1595022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0B094" w14:textId="77777777" w:rsidR="00D72A76" w:rsidRPr="00067B16" w:rsidRDefault="00D72A76" w:rsidP="00D72A76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0CF6" w14:textId="0DFE91E0" w:rsidR="00D72A76" w:rsidRPr="003234C1" w:rsidRDefault="00D72A76" w:rsidP="00D72A76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Tęstinė projektų atranka.</w:t>
                  </w:r>
                </w:p>
              </w:tc>
            </w:tr>
            <w:tr w:rsidR="002F7369" w:rsidRPr="00067B16" w14:paraId="570580F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476A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DA21949" w14:textId="0E7189D2" w:rsidR="00DB709D" w:rsidRDefault="00DB709D" w:rsidP="00DB709D">
                  <w:pPr>
                    <w:rPr>
                      <w:rFonts w:ascii="Times New Roman" w:hAnsi="Times New Roman" w:cs="Times New Roman"/>
                    </w:rPr>
                  </w:pPr>
                </w:p>
                <w:p w14:paraId="2EB0E6DA" w14:textId="77777777" w:rsidR="002F7369" w:rsidRPr="00DB709D" w:rsidRDefault="002F7369" w:rsidP="00DB709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7056" w14:textId="7845E888" w:rsidR="002F7369" w:rsidRPr="003234C1" w:rsidRDefault="00C3351B" w:rsidP="003234C1">
                  <w:pPr>
                    <w:tabs>
                      <w:tab w:val="left" w:pos="1134"/>
                      <w:tab w:val="left" w:pos="1418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Vienam projekto vykdytojui per dotacijos sutarties galiojimo laikotarpį didžiausia galima skirti finansavimo lėšų suma yra 4 </w:t>
                  </w:r>
                  <w:r w:rsidR="00055AF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 </w:t>
                  </w:r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000 </w:t>
                  </w:r>
                  <w:proofErr w:type="spellStart"/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3234C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(keturi tūkstančiai eurų).</w:t>
                  </w:r>
                </w:p>
              </w:tc>
            </w:tr>
            <w:tr w:rsidR="002F7369" w:rsidRPr="00067B16" w14:paraId="10071A28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04E08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6B9EA" w14:textId="1DB32B4E" w:rsidR="002F7369" w:rsidRPr="003234C1" w:rsidRDefault="00C3351B" w:rsidP="00055AF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5 584 801 </w:t>
                  </w:r>
                  <w:proofErr w:type="spellStart"/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3234C1">
                    <w:rPr>
                      <w:rFonts w:ascii="Times New Roman" w:hAnsi="Times New Roman"/>
                      <w:sz w:val="24"/>
                      <w:szCs w:val="24"/>
                    </w:rPr>
                    <w:t xml:space="preserve"> (penkių milijonų penkių šimtų aštuoniasdešimt keturių tūkstančių aštuonių šimtų vieno euro)</w:t>
                  </w:r>
                  <w:r w:rsidR="00C50A1A" w:rsidRPr="003234C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  <w:tr w:rsidR="00062C3A" w:rsidRPr="00067B16" w14:paraId="28659381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2354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F538F" w14:textId="6CAE43AC" w:rsidR="00062C3A" w:rsidRPr="003234C1" w:rsidDel="00011C71" w:rsidRDefault="00E6070E" w:rsidP="005E701D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2017-0</w:t>
                  </w:r>
                  <w:r w:rsidR="0005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05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E7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48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E7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bookmarkStart w:id="0" w:name="_GoBack"/>
                  <w:bookmarkEnd w:id="0"/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val</w:t>
                  </w:r>
                  <w:r w:rsidR="009060C9" w:rsidRPr="003234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062C3A" w:rsidRPr="00067B16" w14:paraId="4C1F929F" w14:textId="77777777" w:rsidTr="00956D6B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8DC2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</w:t>
                  </w:r>
                  <w:r w:rsidR="00D37B95"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3"/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22CA" w14:textId="79E9E879" w:rsidR="00062C3A" w:rsidRPr="003234C1" w:rsidRDefault="00F262E0" w:rsidP="00B24D93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2020-11-30 17:00 val.</w:t>
                  </w:r>
                </w:p>
              </w:tc>
            </w:tr>
            <w:tr w:rsidR="00956D6B" w:rsidRPr="00067B16" w14:paraId="7EC20D0F" w14:textId="77777777" w:rsidTr="00B748A3">
              <w:trPr>
                <w:trHeight w:val="2831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8C589" w14:textId="77777777" w:rsidR="00956D6B" w:rsidRPr="00067B16" w:rsidRDefault="00956D6B" w:rsidP="003D50A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6CCF088F" w14:textId="77777777" w:rsidR="00956D6B" w:rsidRPr="00067B16" w:rsidRDefault="00956D6B" w:rsidP="003D50A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083EE" w14:textId="106F3FF8" w:rsidR="00956D6B" w:rsidRPr="00B748A3" w:rsidRDefault="00F262E0" w:rsidP="0073364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8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Siekdamas gauti finansavimą, pareiškėjas turi užpildyti paraišką, kurios iš dalies užpildyta forma PDF formatu skelbiama ES struktūrinių fondų svetainės </w:t>
                  </w:r>
                  <w:proofErr w:type="spellStart"/>
                  <w:r w:rsidRPr="00B748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www.esinvesticijos.lt</w:t>
                  </w:r>
                  <w:proofErr w:type="spellEnd"/>
                  <w:r w:rsidRPr="00B748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skiltyje „Finansavimas“ prie paskelbto kvietimo teikti paraiškas „Susijusių dokumentų“ ir </w:t>
                  </w:r>
                  <w:r w:rsidRPr="007336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įgyvendinančiosios institucijos interneto svetainėje </w:t>
                  </w:r>
                  <w:hyperlink r:id="rId10" w:history="1">
                    <w:r w:rsidR="00733649" w:rsidRPr="00733649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 w:val="en-GB"/>
                      </w:rPr>
                      <w:t>http://invega.lt/lt/expo-konsultantas-lt/</w:t>
                    </w:r>
                  </w:hyperlink>
                  <w:r w:rsidR="00733649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</w:tbl>
          <w:p w14:paraId="757C0337" w14:textId="77777777"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14:paraId="1F1F65A8" w14:textId="77777777" w:rsidR="00490B21" w:rsidRPr="00250F59" w:rsidRDefault="00490B21" w:rsidP="00333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B9B53" w14:textId="77777777" w:rsidR="00912E4F" w:rsidRPr="00067B16" w:rsidRDefault="00912E4F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tbl>
      <w:tblPr>
        <w:tblStyle w:val="TableGrid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568"/>
      </w:tblGrid>
      <w:tr w:rsidR="003336AD" w:rsidRPr="00067B16" w14:paraId="66989541" w14:textId="77777777" w:rsidTr="00B748A3">
        <w:trPr>
          <w:trHeight w:val="84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288F6" w14:textId="77777777" w:rsidR="003336AD" w:rsidRPr="00067B16" w:rsidRDefault="003336AD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7F7D" w14:textId="6FFD0F46" w:rsidR="003336AD" w:rsidRPr="00B748A3" w:rsidRDefault="00F262E0" w:rsidP="00B37F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Pareiškėjas užpildytą paraiškos formą kartu su priedais gali teikti raštu įgyvendinančiajai institucijai vienu iš šių būdų: atsiųsti registruotu paštu, pareiškėjas ar jam atstovaujantis asmuo įteikti asmeniškai, pristatyti pašto kurjeriu, elektroniniu paštu </w:t>
            </w:r>
            <w:proofErr w:type="spellStart"/>
            <w:r w:rsidR="00B37F24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@invega.lt</w:t>
            </w:r>
            <w:proofErr w:type="spellEnd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 tik tuo atveju, kai siunčiami elektroniniai dokumentai, </w:t>
            </w:r>
            <w:r w:rsidR="00B37F24" w:rsidRPr="00B3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pasirašyti </w:t>
            </w:r>
            <w:r w:rsidR="00B37F24" w:rsidRPr="00B37F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elektroninio pasirašymo priemonėmis su kvalifikuoto elektroninio parašo sertifikatais</w:t>
            </w:r>
            <w:r w:rsidR="00B37F24" w:rsidRPr="00B3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B37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E9" w:rsidRPr="00067B16" w14:paraId="7FA48628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D52" w14:textId="77777777" w:rsidR="000E1BE9" w:rsidRPr="00067B16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C2F" w14:textId="64921644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Uždaroji akcinė bendrovė „Investicijų ir verslo garantijos“</w:t>
            </w:r>
          </w:p>
        </w:tc>
      </w:tr>
      <w:tr w:rsidR="000E1BE9" w:rsidRPr="00067B16" w14:paraId="78D67E5C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9A0" w14:textId="77777777" w:rsidR="000E1BE9" w:rsidRPr="00067B16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AF2" w14:textId="7A1A4B25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Konstitucijos pr. 7, 16 aukštas, 09308 Vilnius</w:t>
            </w:r>
          </w:p>
        </w:tc>
      </w:tr>
      <w:tr w:rsidR="000E1BE9" w:rsidRPr="00067B16" w14:paraId="64E329C7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791" w14:textId="77777777" w:rsidR="000E1BE9" w:rsidRPr="00067B16" w:rsidRDefault="000E1BE9" w:rsidP="000E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348" w14:textId="5A3FDF8C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Justina Balčiūtė, tel. Nr. (8 5) 210 6391, </w:t>
            </w:r>
            <w:proofErr w:type="spellStart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F24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@invega.lt</w:t>
            </w:r>
            <w:proofErr w:type="spellEnd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87D993" w14:textId="62DAA6DE" w:rsidR="000E1BE9" w:rsidRPr="00B748A3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Ernesta Sečinskytė, tel. Nr. (8 5) 247 7607, el. paštas </w:t>
            </w:r>
            <w:proofErr w:type="spellStart"/>
            <w:r w:rsidR="00B37F24" w:rsidRPr="00B37F24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r w:rsidR="00B37F24">
              <w:rPr>
                <w:rFonts w:ascii="Times New Roman" w:hAnsi="Times New Roman" w:cs="Times New Roman"/>
                <w:sz w:val="24"/>
                <w:szCs w:val="24"/>
              </w:rPr>
              <w:t>@invega.lt</w:t>
            </w:r>
            <w:proofErr w:type="spellEnd"/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5712A" w14:textId="79407A6C" w:rsidR="000E1BE9" w:rsidRPr="00B748A3" w:rsidRDefault="000E1BE9" w:rsidP="00B37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Gintaras Uselis, tel. Nr. (8 5) 211 3568, el. paštas </w:t>
            </w:r>
            <w:r w:rsidR="00B37F24">
              <w:rPr>
                <w:rFonts w:ascii="Times New Roman" w:hAnsi="Times New Roman" w:cs="Times New Roman"/>
                <w:sz w:val="24"/>
                <w:szCs w:val="24"/>
              </w:rPr>
              <w:t>expo</w:t>
            </w:r>
            <w:r w:rsidRPr="00B748A3">
              <w:rPr>
                <w:rFonts w:ascii="Times New Roman" w:hAnsi="Times New Roman" w:cs="Times New Roman"/>
                <w:sz w:val="24"/>
                <w:szCs w:val="24"/>
              </w:rPr>
              <w:t>@invega.lt</w:t>
            </w:r>
          </w:p>
        </w:tc>
      </w:tr>
      <w:tr w:rsidR="003234C1" w:rsidRPr="00067B16" w14:paraId="05684068" w14:textId="77777777" w:rsidTr="00B748A3">
        <w:trPr>
          <w:trHeight w:val="27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91B" w14:textId="77777777" w:rsidR="003234C1" w:rsidRPr="00067B16" w:rsidRDefault="003234C1" w:rsidP="003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55526DA3" w14:textId="77777777" w:rsidR="003234C1" w:rsidRPr="00067B16" w:rsidRDefault="003234C1" w:rsidP="00323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4BB" w14:textId="39A57107" w:rsidR="003234C1" w:rsidRPr="00B748A3" w:rsidRDefault="005E701D" w:rsidP="003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234C1" w:rsidRPr="00B748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="003234C1" w:rsidRPr="00B74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34C1" w:rsidRPr="00B748A3">
              <w:rPr>
                <w:rFonts w:ascii="Times New Roman" w:hAnsi="Times New Roman" w:cs="Times New Roman"/>
                <w:sz w:val="24"/>
                <w:szCs w:val="24"/>
              </w:rPr>
              <w:t xml:space="preserve">skiltyje „Finansavimas“ prie paskelbto kvietimo teikti paraiškas „Susijusių dokumentų“ ir įgyvendinančiosios </w:t>
            </w:r>
            <w:r w:rsidR="003234C1" w:rsidRPr="00733649">
              <w:rPr>
                <w:rFonts w:ascii="Times New Roman" w:hAnsi="Times New Roman" w:cs="Times New Roman"/>
                <w:sz w:val="24"/>
                <w:szCs w:val="24"/>
              </w:rPr>
              <w:t xml:space="preserve">institucijos interneto svetainėje </w:t>
            </w:r>
            <w:hyperlink r:id="rId12" w:history="1">
              <w:r w:rsidR="00733649" w:rsidRPr="0073364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http://invega.lt/lt/expo-konsultantas-lt/</w:t>
              </w:r>
            </w:hyperlink>
            <w:r w:rsidR="007336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0B7B7A6D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E6070E">
      <w:headerReference w:type="default" r:id="rId13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1B67F" w14:textId="77777777" w:rsidR="00F532DB" w:rsidRDefault="00F532DB" w:rsidP="0039439E">
      <w:pPr>
        <w:spacing w:after="0" w:line="240" w:lineRule="auto"/>
      </w:pPr>
      <w:r>
        <w:separator/>
      </w:r>
    </w:p>
  </w:endnote>
  <w:endnote w:type="continuationSeparator" w:id="0">
    <w:p w14:paraId="5CAE9ABC" w14:textId="77777777" w:rsidR="00F532DB" w:rsidRDefault="00F532DB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766DB" w14:textId="77777777" w:rsidR="00F532DB" w:rsidRDefault="00F532DB" w:rsidP="0039439E">
      <w:pPr>
        <w:spacing w:after="0" w:line="240" w:lineRule="auto"/>
      </w:pPr>
      <w:r>
        <w:separator/>
      </w:r>
    </w:p>
  </w:footnote>
  <w:footnote w:type="continuationSeparator" w:id="0">
    <w:p w14:paraId="533E3B09" w14:textId="77777777" w:rsidR="00F532DB" w:rsidRDefault="00F532DB" w:rsidP="0039439E">
      <w:pPr>
        <w:spacing w:after="0" w:line="240" w:lineRule="auto"/>
      </w:pPr>
      <w:r>
        <w:continuationSeparator/>
      </w:r>
    </w:p>
  </w:footnote>
  <w:footnote w:id="1">
    <w:p w14:paraId="1E9A21F8" w14:textId="77777777" w:rsidR="008379FF" w:rsidRPr="008A5CB7" w:rsidRDefault="00DB709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="008379FF" w:rsidRPr="008A5CB7">
        <w:rPr>
          <w:rStyle w:val="FootnoteReference"/>
          <w:rFonts w:ascii="Times New Roman" w:hAnsi="Times New Roman" w:cs="Times New Roman"/>
        </w:rPr>
        <w:footnoteRef/>
      </w:r>
      <w:r w:rsidR="008379FF" w:rsidRPr="008A5CB7">
        <w:rPr>
          <w:rFonts w:ascii="Times New Roman" w:hAnsi="Times New Roman" w:cs="Times New Roman"/>
        </w:rPr>
        <w:t xml:space="preserve"> Pastaba programavimui: Įrašoma automatiškai skelbiant </w:t>
      </w:r>
      <w:hyperlink r:id="rId1" w:history="1">
        <w:r w:rsidR="006D69F5" w:rsidRPr="008A5CB7">
          <w:rPr>
            <w:rStyle w:val="Hyperlink"/>
            <w:rFonts w:ascii="Times New Roman" w:hAnsi="Times New Roman" w:cs="Times New Roman"/>
          </w:rPr>
          <w:t>www.esinvestiticijos.lt</w:t>
        </w:r>
      </w:hyperlink>
      <w:r w:rsidR="006D69F5" w:rsidRPr="008A5CB7">
        <w:rPr>
          <w:rFonts w:ascii="Times New Roman" w:hAnsi="Times New Roman" w:cs="Times New Roman"/>
        </w:rPr>
        <w:t xml:space="preserve">.  </w:t>
      </w:r>
      <w:r w:rsidR="004F5E3A" w:rsidRPr="008A5CB7">
        <w:rPr>
          <w:rFonts w:ascii="Times New Roman" w:hAnsi="Times New Roman" w:cs="Times New Roman"/>
        </w:rPr>
        <w:t>Galimas simbolių skaičius – 10.</w:t>
      </w:r>
    </w:p>
  </w:footnote>
  <w:footnote w:id="2">
    <w:p w14:paraId="1A15DACC" w14:textId="77777777" w:rsidR="00F34C79" w:rsidRPr="008A5CB7" w:rsidRDefault="00F34C79">
      <w:pPr>
        <w:pStyle w:val="FootnoteText"/>
        <w:rPr>
          <w:rFonts w:ascii="Times New Roman" w:hAnsi="Times New Roman" w:cs="Times New Roman"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Skelbdama spaudoje, ĮI gali atsisakyti kai kurių formos laukelių, išskyrus pagal PAFT </w:t>
      </w:r>
      <w:r w:rsidR="000F20D9" w:rsidRPr="008A5CB7">
        <w:rPr>
          <w:rFonts w:ascii="Times New Roman" w:hAnsi="Times New Roman" w:cs="Times New Roman"/>
        </w:rPr>
        <w:t xml:space="preserve">8 ar 9 skirsnius </w:t>
      </w:r>
      <w:r w:rsidRPr="008A5CB7">
        <w:rPr>
          <w:rFonts w:ascii="Times New Roman" w:hAnsi="Times New Roman" w:cs="Times New Roman"/>
        </w:rPr>
        <w:t>privalomus laukelius</w:t>
      </w:r>
      <w:r w:rsidR="004405CB" w:rsidRPr="008A5CB7">
        <w:rPr>
          <w:rFonts w:ascii="Times New Roman" w:hAnsi="Times New Roman" w:cs="Times New Roman"/>
        </w:rPr>
        <w:t xml:space="preserve">, taip pat ĮI gali sujungti kelių kvietimų informaciją į vieną </w:t>
      </w:r>
      <w:r w:rsidR="000F20D9" w:rsidRPr="008A5CB7">
        <w:rPr>
          <w:rFonts w:ascii="Times New Roman" w:hAnsi="Times New Roman" w:cs="Times New Roman"/>
        </w:rPr>
        <w:t>skelbimą</w:t>
      </w:r>
      <w:r w:rsidR="004405CB" w:rsidRPr="008A5CB7">
        <w:rPr>
          <w:rFonts w:ascii="Times New Roman" w:hAnsi="Times New Roman" w:cs="Times New Roman"/>
        </w:rPr>
        <w:t xml:space="preserve">. </w:t>
      </w:r>
    </w:p>
  </w:footnote>
  <w:footnote w:id="3">
    <w:p w14:paraId="53778452" w14:textId="77777777" w:rsidR="00D37B95" w:rsidRPr="00B24D93" w:rsidRDefault="00D37B95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06817074"/>
      <w:docPartObj>
        <w:docPartGallery w:val="Page Numbers (Top of Page)"/>
        <w:docPartUnique/>
      </w:docPartObj>
    </w:sdtPr>
    <w:sdtEndPr/>
    <w:sdtContent>
      <w:p w14:paraId="2577A7EE" w14:textId="01856830" w:rsidR="000D3E46" w:rsidRPr="000D3E46" w:rsidRDefault="000D3E4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3E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3E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0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3"/>
    <w:rsid w:val="00011C71"/>
    <w:rsid w:val="00055AFD"/>
    <w:rsid w:val="000621D0"/>
    <w:rsid w:val="00062C3A"/>
    <w:rsid w:val="00067B16"/>
    <w:rsid w:val="0007387F"/>
    <w:rsid w:val="00080BB6"/>
    <w:rsid w:val="00086E14"/>
    <w:rsid w:val="00094825"/>
    <w:rsid w:val="000B11C4"/>
    <w:rsid w:val="000C45EC"/>
    <w:rsid w:val="000D3E46"/>
    <w:rsid w:val="000E01B1"/>
    <w:rsid w:val="000E1271"/>
    <w:rsid w:val="000E1BE9"/>
    <w:rsid w:val="000E78ED"/>
    <w:rsid w:val="000F20D9"/>
    <w:rsid w:val="0010178B"/>
    <w:rsid w:val="00104F84"/>
    <w:rsid w:val="001222E3"/>
    <w:rsid w:val="0015223E"/>
    <w:rsid w:val="001528B4"/>
    <w:rsid w:val="00154F3F"/>
    <w:rsid w:val="00160AB7"/>
    <w:rsid w:val="00170506"/>
    <w:rsid w:val="001730FD"/>
    <w:rsid w:val="001869D8"/>
    <w:rsid w:val="00196A1E"/>
    <w:rsid w:val="001B2F57"/>
    <w:rsid w:val="001B6BA0"/>
    <w:rsid w:val="001C6A7C"/>
    <w:rsid w:val="001C7F89"/>
    <w:rsid w:val="001D2AF1"/>
    <w:rsid w:val="001E4755"/>
    <w:rsid w:val="001E7D8D"/>
    <w:rsid w:val="001F6041"/>
    <w:rsid w:val="00214507"/>
    <w:rsid w:val="00250F59"/>
    <w:rsid w:val="002618E1"/>
    <w:rsid w:val="0028256E"/>
    <w:rsid w:val="002A1851"/>
    <w:rsid w:val="002D490B"/>
    <w:rsid w:val="002D4CF1"/>
    <w:rsid w:val="002E62A4"/>
    <w:rsid w:val="002F7369"/>
    <w:rsid w:val="003234C1"/>
    <w:rsid w:val="003336AD"/>
    <w:rsid w:val="00362FE9"/>
    <w:rsid w:val="003673A5"/>
    <w:rsid w:val="00370DB6"/>
    <w:rsid w:val="00374683"/>
    <w:rsid w:val="003815C2"/>
    <w:rsid w:val="00381AB0"/>
    <w:rsid w:val="00384005"/>
    <w:rsid w:val="00390735"/>
    <w:rsid w:val="0039439E"/>
    <w:rsid w:val="003B79DC"/>
    <w:rsid w:val="003C0ABF"/>
    <w:rsid w:val="003D50AE"/>
    <w:rsid w:val="003E0323"/>
    <w:rsid w:val="003F130D"/>
    <w:rsid w:val="003F3603"/>
    <w:rsid w:val="003F4E68"/>
    <w:rsid w:val="00431DAB"/>
    <w:rsid w:val="004405CB"/>
    <w:rsid w:val="00444F58"/>
    <w:rsid w:val="00464C75"/>
    <w:rsid w:val="00467F32"/>
    <w:rsid w:val="00483635"/>
    <w:rsid w:val="004837B1"/>
    <w:rsid w:val="00485DFB"/>
    <w:rsid w:val="00490B21"/>
    <w:rsid w:val="004A16E8"/>
    <w:rsid w:val="004B59E4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723CE"/>
    <w:rsid w:val="0059692C"/>
    <w:rsid w:val="005C76B3"/>
    <w:rsid w:val="005D1B0B"/>
    <w:rsid w:val="005E701D"/>
    <w:rsid w:val="005F1C01"/>
    <w:rsid w:val="006069C0"/>
    <w:rsid w:val="00632DB6"/>
    <w:rsid w:val="00644A0F"/>
    <w:rsid w:val="00645733"/>
    <w:rsid w:val="00673BCE"/>
    <w:rsid w:val="00682BE6"/>
    <w:rsid w:val="0069129D"/>
    <w:rsid w:val="006A0F73"/>
    <w:rsid w:val="006A194C"/>
    <w:rsid w:val="006D69F5"/>
    <w:rsid w:val="006F52FC"/>
    <w:rsid w:val="00702322"/>
    <w:rsid w:val="0071296A"/>
    <w:rsid w:val="00724B0F"/>
    <w:rsid w:val="00726039"/>
    <w:rsid w:val="0073341B"/>
    <w:rsid w:val="00733649"/>
    <w:rsid w:val="007434D5"/>
    <w:rsid w:val="0074379F"/>
    <w:rsid w:val="00745D29"/>
    <w:rsid w:val="0076698C"/>
    <w:rsid w:val="007726DF"/>
    <w:rsid w:val="007870E4"/>
    <w:rsid w:val="00787614"/>
    <w:rsid w:val="007B7FBE"/>
    <w:rsid w:val="007C2FAA"/>
    <w:rsid w:val="007D1FE2"/>
    <w:rsid w:val="007D459F"/>
    <w:rsid w:val="007D52FB"/>
    <w:rsid w:val="007F6BCA"/>
    <w:rsid w:val="00826D46"/>
    <w:rsid w:val="008379FF"/>
    <w:rsid w:val="008773C4"/>
    <w:rsid w:val="008A096F"/>
    <w:rsid w:val="008A129C"/>
    <w:rsid w:val="008A5CB7"/>
    <w:rsid w:val="008C114A"/>
    <w:rsid w:val="008E1270"/>
    <w:rsid w:val="008E41A8"/>
    <w:rsid w:val="008E7B67"/>
    <w:rsid w:val="009060C9"/>
    <w:rsid w:val="00912E4F"/>
    <w:rsid w:val="00926030"/>
    <w:rsid w:val="0094300F"/>
    <w:rsid w:val="00943DF9"/>
    <w:rsid w:val="00951E73"/>
    <w:rsid w:val="00956D6B"/>
    <w:rsid w:val="00965B0C"/>
    <w:rsid w:val="009707D6"/>
    <w:rsid w:val="0098653C"/>
    <w:rsid w:val="00992423"/>
    <w:rsid w:val="00992AC6"/>
    <w:rsid w:val="00A1107D"/>
    <w:rsid w:val="00A23E55"/>
    <w:rsid w:val="00A26EDF"/>
    <w:rsid w:val="00A34F18"/>
    <w:rsid w:val="00A44D8C"/>
    <w:rsid w:val="00A61D91"/>
    <w:rsid w:val="00A703A7"/>
    <w:rsid w:val="00A918F9"/>
    <w:rsid w:val="00A933AC"/>
    <w:rsid w:val="00A967D9"/>
    <w:rsid w:val="00A97206"/>
    <w:rsid w:val="00AA05EF"/>
    <w:rsid w:val="00AB33CD"/>
    <w:rsid w:val="00AC4324"/>
    <w:rsid w:val="00AD4D76"/>
    <w:rsid w:val="00AE7AFB"/>
    <w:rsid w:val="00B1633E"/>
    <w:rsid w:val="00B24D93"/>
    <w:rsid w:val="00B37F24"/>
    <w:rsid w:val="00B42FF4"/>
    <w:rsid w:val="00B63082"/>
    <w:rsid w:val="00B64206"/>
    <w:rsid w:val="00B748A3"/>
    <w:rsid w:val="00B84A20"/>
    <w:rsid w:val="00B85A62"/>
    <w:rsid w:val="00BC0EB1"/>
    <w:rsid w:val="00BC66AE"/>
    <w:rsid w:val="00BC69A1"/>
    <w:rsid w:val="00BE213A"/>
    <w:rsid w:val="00BF1C03"/>
    <w:rsid w:val="00C05051"/>
    <w:rsid w:val="00C1392A"/>
    <w:rsid w:val="00C16ADB"/>
    <w:rsid w:val="00C20E74"/>
    <w:rsid w:val="00C3351B"/>
    <w:rsid w:val="00C336EE"/>
    <w:rsid w:val="00C458C7"/>
    <w:rsid w:val="00C50A1A"/>
    <w:rsid w:val="00C54E49"/>
    <w:rsid w:val="00C6755A"/>
    <w:rsid w:val="00CC484A"/>
    <w:rsid w:val="00CF6934"/>
    <w:rsid w:val="00CF71F6"/>
    <w:rsid w:val="00D0100B"/>
    <w:rsid w:val="00D039E5"/>
    <w:rsid w:val="00D06A15"/>
    <w:rsid w:val="00D147F5"/>
    <w:rsid w:val="00D14D15"/>
    <w:rsid w:val="00D2230D"/>
    <w:rsid w:val="00D37B95"/>
    <w:rsid w:val="00D45727"/>
    <w:rsid w:val="00D71E42"/>
    <w:rsid w:val="00D72A76"/>
    <w:rsid w:val="00DB709D"/>
    <w:rsid w:val="00DC680F"/>
    <w:rsid w:val="00DD5E0B"/>
    <w:rsid w:val="00DE5318"/>
    <w:rsid w:val="00DE6ED1"/>
    <w:rsid w:val="00E01724"/>
    <w:rsid w:val="00E16CCD"/>
    <w:rsid w:val="00E20087"/>
    <w:rsid w:val="00E40F15"/>
    <w:rsid w:val="00E441E2"/>
    <w:rsid w:val="00E6070E"/>
    <w:rsid w:val="00E65D4D"/>
    <w:rsid w:val="00E72CF3"/>
    <w:rsid w:val="00E83C33"/>
    <w:rsid w:val="00E960DE"/>
    <w:rsid w:val="00E97C9C"/>
    <w:rsid w:val="00EA5685"/>
    <w:rsid w:val="00EA680C"/>
    <w:rsid w:val="00ED6836"/>
    <w:rsid w:val="00EE1B8B"/>
    <w:rsid w:val="00EF2642"/>
    <w:rsid w:val="00EF3E98"/>
    <w:rsid w:val="00EF40B8"/>
    <w:rsid w:val="00F210BA"/>
    <w:rsid w:val="00F262E0"/>
    <w:rsid w:val="00F34C79"/>
    <w:rsid w:val="00F442AD"/>
    <w:rsid w:val="00F532DB"/>
    <w:rsid w:val="00F62F67"/>
    <w:rsid w:val="00F726EE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2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0E"/>
  </w:style>
  <w:style w:type="paragraph" w:styleId="Footer">
    <w:name w:val="footer"/>
    <w:basedOn w:val="Normal"/>
    <w:link w:val="Foot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0E"/>
  </w:style>
  <w:style w:type="character" w:styleId="FollowedHyperlink">
    <w:name w:val="FollowedHyperlink"/>
    <w:basedOn w:val="DefaultParagraphFont"/>
    <w:uiPriority w:val="99"/>
    <w:semiHidden/>
    <w:unhideWhenUsed/>
    <w:rsid w:val="00DB70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522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0E"/>
  </w:style>
  <w:style w:type="paragraph" w:styleId="Footer">
    <w:name w:val="footer"/>
    <w:basedOn w:val="Normal"/>
    <w:link w:val="FooterChar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0E"/>
  </w:style>
  <w:style w:type="character" w:styleId="FollowedHyperlink">
    <w:name w:val="FollowedHyperlink"/>
    <w:basedOn w:val="DefaultParagraphFont"/>
    <w:uiPriority w:val="99"/>
    <w:semiHidden/>
    <w:unhideWhenUsed/>
    <w:rsid w:val="00DB7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vega.lt/lt/expo-konsultantas-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investicijos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vega.lt/lt/expo-konsultantas-l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investi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C118-4E71-46EF-BB81-4AC1EAFD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Vilija Šveikauskienė</cp:lastModifiedBy>
  <cp:revision>4</cp:revision>
  <cp:lastPrinted>2017-01-06T13:01:00Z</cp:lastPrinted>
  <dcterms:created xsi:type="dcterms:W3CDTF">2017-08-01T11:16:00Z</dcterms:created>
  <dcterms:modified xsi:type="dcterms:W3CDTF">2017-08-02T13:22:00Z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