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text" w:horzAnchor="margin" w:tblpY="-28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9247"/>
        <w:gridCol w:w="213"/>
        <w:gridCol w:w="10"/>
      </w:tblGrid>
      <w:tr w:rsidR="002E1AD2" w:rsidRPr="00E01724" w14:paraId="571C76B5" w14:textId="77777777" w:rsidTr="002E1AD2">
        <w:trPr>
          <w:gridAfter w:val="2"/>
          <w:wAfter w:w="223" w:type="dxa"/>
        </w:trPr>
        <w:tc>
          <w:tcPr>
            <w:tcW w:w="9354" w:type="dxa"/>
            <w:gridSpan w:val="2"/>
          </w:tcPr>
          <w:p w14:paraId="3FAF9EE8" w14:textId="431560FC" w:rsidR="007D4D4A" w:rsidRPr="007D4D4A" w:rsidRDefault="007D4D4A" w:rsidP="007D4D4A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2B68A1"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7E3B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B68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E3B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B68A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4F6FF13D" w14:textId="77777777" w:rsidR="007D4D4A" w:rsidRPr="007D4D4A" w:rsidRDefault="007D4D4A" w:rsidP="007D4D4A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7D4D4A">
              <w:rPr>
                <w:rFonts w:ascii="Times New Roman" w:hAnsi="Times New Roman" w:cs="Times New Roman"/>
                <w:sz w:val="24"/>
                <w:szCs w:val="24"/>
              </w:rPr>
              <w:t>(kvietimo paskelbimo data)</w:t>
            </w:r>
          </w:p>
          <w:p w14:paraId="118C86CF" w14:textId="77777777" w:rsidR="002E1AD2" w:rsidRPr="00E01724" w:rsidRDefault="002E1AD2" w:rsidP="002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86E14" w14:paraId="5DDE684E" w14:textId="77777777" w:rsidTr="002E1AD2">
        <w:trPr>
          <w:gridBefore w:val="1"/>
          <w:wBefore w:w="107" w:type="dxa"/>
        </w:trPr>
        <w:tc>
          <w:tcPr>
            <w:tcW w:w="9470" w:type="dxa"/>
            <w:gridSpan w:val="3"/>
          </w:tcPr>
          <w:p w14:paraId="7A02F0D7" w14:textId="77777777" w:rsidR="000E78ED" w:rsidRPr="00E01724" w:rsidRDefault="000E78ED" w:rsidP="002E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14:paraId="1EBB6912" w14:textId="77777777" w:rsidTr="002E1AD2">
        <w:trPr>
          <w:gridAfter w:val="1"/>
          <w:wAfter w:w="10" w:type="dxa"/>
        </w:trPr>
        <w:tc>
          <w:tcPr>
            <w:tcW w:w="9567" w:type="dxa"/>
            <w:gridSpan w:val="3"/>
          </w:tcPr>
          <w:tbl>
            <w:tblPr>
              <w:tblStyle w:val="Lentelstinklelis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4673"/>
            </w:tblGrid>
            <w:tr w:rsidR="007D52FB" w:rsidRPr="00067B16" w14:paraId="5B8B9065" w14:textId="77777777" w:rsidTr="000621D0">
              <w:trPr>
                <w:trHeight w:val="1976"/>
              </w:trPr>
              <w:tc>
                <w:tcPr>
                  <w:tcW w:w="9351" w:type="dxa"/>
                  <w:gridSpan w:val="2"/>
                  <w:vAlign w:val="center"/>
                </w:tcPr>
                <w:p w14:paraId="38547072" w14:textId="77777777" w:rsidR="000E78ED" w:rsidRPr="007D52FB" w:rsidRDefault="000E78ED" w:rsidP="0005365E">
                  <w:pPr>
                    <w:framePr w:hSpace="180" w:wrap="around" w:vAnchor="text" w:hAnchor="margin" w:y="-28"/>
                    <w:jc w:val="center"/>
                    <w:rPr>
                      <w:i/>
                    </w:rPr>
                  </w:pPr>
                </w:p>
                <w:p w14:paraId="1A6AA5C6" w14:textId="77777777" w:rsidR="000E78ED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79B33ACE" wp14:editId="6BE3DB88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866670A" w14:textId="77777777" w:rsidR="00D0100B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78F3DD0A" w14:textId="77777777" w:rsidTr="000621D0">
              <w:trPr>
                <w:trHeight w:val="430"/>
              </w:trPr>
              <w:tc>
                <w:tcPr>
                  <w:tcW w:w="9351" w:type="dxa"/>
                  <w:gridSpan w:val="2"/>
                </w:tcPr>
                <w:p w14:paraId="78BCAADD" w14:textId="0AE62B45" w:rsidR="00787614" w:rsidRPr="001623F6" w:rsidRDefault="00787614" w:rsidP="00B259D1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Kvietimas teikti paraiškas</w:t>
                  </w:r>
                  <w:r w:rsidR="007E3B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antrajam etapui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390735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34F18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pagal </w:t>
                  </w:r>
                  <w:r w:rsidR="00613170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2014–2020 m. Europos Sąjungos fondų investicijų veiksmų programos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priemon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ės</w:t>
                  </w:r>
                  <w:r w:rsidR="0040769E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92367A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 J05-LVPA-K „Intelektas. Bendri mokslo–verslo projektai“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finansavimo sąlygų aprašą Nr. 2</w:t>
                  </w:r>
                </w:p>
              </w:tc>
            </w:tr>
            <w:tr w:rsidR="007D52FB" w:rsidRPr="00067B16" w14:paraId="77AAF0FE" w14:textId="77777777" w:rsidTr="000621D0">
              <w:tc>
                <w:tcPr>
                  <w:tcW w:w="9351" w:type="dxa"/>
                  <w:gridSpan w:val="2"/>
                </w:tcPr>
                <w:p w14:paraId="3E73B31B" w14:textId="77777777" w:rsidR="00787614" w:rsidRPr="00991083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D52FB" w:rsidRPr="00067B16" w14:paraId="458CE6DE" w14:textId="77777777" w:rsidTr="000621D0">
              <w:trPr>
                <w:trHeight w:val="343"/>
              </w:trPr>
              <w:tc>
                <w:tcPr>
                  <w:tcW w:w="9351" w:type="dxa"/>
                  <w:gridSpan w:val="2"/>
                </w:tcPr>
                <w:p w14:paraId="73EC2679" w14:textId="1D3F7B2C" w:rsidR="00787614" w:rsidRPr="00991083" w:rsidRDefault="00787614" w:rsidP="005A0425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9910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9910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30B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820C99" w:rsidRPr="009910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</w:t>
                  </w:r>
                  <w:r w:rsidR="00820C99" w:rsidRPr="0099108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 pradedantiesiems inovatoriams)</w:t>
                  </w:r>
                </w:p>
              </w:tc>
            </w:tr>
            <w:tr w:rsidR="007D52FB" w:rsidRPr="00067B16" w14:paraId="00A88527" w14:textId="77777777" w:rsidTr="000621D0">
              <w:tc>
                <w:tcPr>
                  <w:tcW w:w="9351" w:type="dxa"/>
                  <w:gridSpan w:val="2"/>
                </w:tcPr>
                <w:p w14:paraId="4981B6AD" w14:textId="77777777" w:rsidR="0073341B" w:rsidRPr="00067B16" w:rsidRDefault="0073341B" w:rsidP="00F74F60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049F77F" w14:textId="2764FE82" w:rsidR="000E78ED" w:rsidRPr="00067B16" w:rsidRDefault="009E41FF" w:rsidP="00130B3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Respublikos ūkio ministerija</w:t>
                  </w:r>
                  <w:r w:rsidR="006461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Lietuvos Respublikos švietimo ir mokslo ministerija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43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viešoji įstaiga</w:t>
                  </w:r>
                  <w:r w:rsidR="006131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755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verslo paramos</w:t>
                  </w:r>
                  <w:r w:rsidR="0016703D" w:rsidRPr="001670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agentūra</w:t>
                  </w:r>
                  <w:r w:rsidR="00FE2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</w:t>
                  </w:r>
                  <w:r w:rsidR="00043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iau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LVPA)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="007E3BA3" w:rsidRPr="007E3B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antra</w:t>
                  </w:r>
                  <w:r w:rsidR="006A00F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jam</w:t>
                  </w:r>
                  <w:r w:rsidR="007E3BA3" w:rsidRPr="007E3B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konkurso etapui</w:t>
                  </w:r>
                  <w:r w:rsidR="007E3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="00787614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="007D52F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priemonę</w:t>
                  </w:r>
                  <w:r w:rsidR="00F726E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51BE7" w:rsidRPr="007E35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="0047552E" w:rsidRPr="007E351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r.</w:t>
                  </w:r>
                  <w:r w:rsidR="00E51BE7" w:rsidRPr="007E35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J05-LVPA-K„Intelektas. Bendri mokslo–verslo projektai“</w:t>
                  </w:r>
                  <w:r w:rsidR="0047552E" w:rsidRPr="007E351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642AF" w:rsidRPr="007E35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(toliau – Priemonė)</w:t>
                  </w:r>
                  <w:r w:rsidR="00633B34" w:rsidRPr="007E35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067B16" w14:paraId="5B2AD5EF" w14:textId="77777777" w:rsidTr="00EE10C9">
              <w:trPr>
                <w:trHeight w:val="304"/>
              </w:trPr>
              <w:tc>
                <w:tcPr>
                  <w:tcW w:w="9351" w:type="dxa"/>
                  <w:gridSpan w:val="2"/>
                  <w:tcBorders>
                    <w:bottom w:val="single" w:sz="4" w:space="0" w:color="auto"/>
                  </w:tcBorders>
                </w:tcPr>
                <w:p w14:paraId="5C08DD9E" w14:textId="77777777" w:rsidR="000E78ED" w:rsidRPr="00067B16" w:rsidRDefault="000E78ED" w:rsidP="00F74F60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168CBA92" w14:textId="77777777" w:rsidTr="00125809"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E0778" w14:textId="77777777" w:rsidR="0028256E" w:rsidRPr="00067B16" w:rsidRDefault="00DE6ED1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14:paraId="535151AC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70D78" w14:textId="77777777" w:rsidR="0094300F" w:rsidRPr="000B36E8" w:rsidRDefault="00E51BE7" w:rsidP="00BA459F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paskatinti įmones investuoti į inovaciniams gaminiams, paslaugoms ar procesams kurti reikalingus </w:t>
                  </w:r>
                  <w:r w:rsidR="00BA459F"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mokslinius tyrimus ir eksperimentinę plėtrą (toliau – 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r w:rsidR="00BA459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>, taip pat paskatinti įmonių plėtrą ir naujų inovacinių įmonių steigimąsi investuojant į MTEP ir inovacijų infrastruktūros kūrimą ir plėtrą.</w:t>
                  </w:r>
                </w:p>
              </w:tc>
            </w:tr>
            <w:tr w:rsidR="007D52FB" w:rsidRPr="00067B16" w14:paraId="17727FCD" w14:textId="77777777" w:rsidTr="00125809"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E1DD3" w14:textId="77777777" w:rsidR="0028256E" w:rsidRPr="00067B16" w:rsidRDefault="00DE6ED1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Finansuojam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772AF6A0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44333" w14:textId="77777777" w:rsidR="006B078B" w:rsidRDefault="006B078B" w:rsidP="006B078B">
                  <w:pPr>
                    <w:pStyle w:val="Sraopastraipa"/>
                    <w:numPr>
                      <w:ilvl w:val="1"/>
                      <w:numId w:val="8"/>
                    </w:num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078B">
                    <w:rPr>
                      <w:rFonts w:ascii="Times New Roman" w:hAnsi="Times New Roman"/>
                      <w:sz w:val="24"/>
                      <w:szCs w:val="24"/>
                    </w:rPr>
                    <w:t>MTEP;</w:t>
                  </w:r>
                </w:p>
                <w:p w14:paraId="43D2C4BB" w14:textId="77777777" w:rsidR="006B078B" w:rsidRDefault="006B078B" w:rsidP="006B078B">
                  <w:pPr>
                    <w:pStyle w:val="Sraopastraipa"/>
                    <w:numPr>
                      <w:ilvl w:val="1"/>
                      <w:numId w:val="8"/>
                    </w:num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078B">
                    <w:rPr>
                      <w:rFonts w:ascii="Times New Roman" w:hAnsi="Times New Roman"/>
                      <w:sz w:val="24"/>
                      <w:szCs w:val="24"/>
                    </w:rPr>
                    <w:t xml:space="preserve"> įmonių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pradinės investicijos, kuriomis</w:t>
                  </w:r>
                </w:p>
                <w:p w14:paraId="07D22589" w14:textId="77777777" w:rsidR="006B078B" w:rsidRPr="006B078B" w:rsidRDefault="006B078B" w:rsidP="006B078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078B">
                    <w:rPr>
                      <w:rFonts w:ascii="Times New Roman" w:hAnsi="Times New Roman"/>
                      <w:sz w:val="24"/>
                      <w:szCs w:val="24"/>
                    </w:rPr>
                    <w:t>kuriama naujos ar plečiama esamos įmonės MTEP ir inovacijų infrastruktūra, kuri nėra prieinama viešai arba klasteriuose;</w:t>
                  </w:r>
                </w:p>
                <w:p w14:paraId="23F6A5F4" w14:textId="77777777" w:rsidR="006B078B" w:rsidRDefault="006B078B" w:rsidP="006B078B">
                  <w:pPr>
                    <w:pStyle w:val="Sraopastraipa"/>
                    <w:numPr>
                      <w:ilvl w:val="1"/>
                      <w:numId w:val="8"/>
                    </w:num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naujų produktų ir technologijų</w:t>
                  </w:r>
                </w:p>
                <w:p w14:paraId="4849496C" w14:textId="77777777" w:rsidR="000B11C4" w:rsidRDefault="006B078B" w:rsidP="006B078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078B">
                    <w:rPr>
                      <w:rFonts w:ascii="Times New Roman" w:hAnsi="Times New Roman"/>
                      <w:sz w:val="24"/>
                      <w:szCs w:val="24"/>
                    </w:rPr>
                    <w:t>sertifikavimas ir su tuo susijusios veiklos.</w:t>
                  </w:r>
                </w:p>
                <w:p w14:paraId="3E928E86" w14:textId="77777777" w:rsidR="00590003" w:rsidRPr="00590003" w:rsidRDefault="00590003" w:rsidP="00BA459F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>Kvietimai teikti paraiškas skelbiami pagal Prioritetines mokslinių tyrimų ir eksperimentinės (socialinės, kultūrinės) plėtros ir inovacijų raidos (sumanios specializacijos) kryptis, patvirtintas Lietuvos Respublikos Vyriausybės 2013 m. spalio 14 d. nutarimu Nr.</w:t>
                  </w:r>
                  <w:r w:rsidR="00BA459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951 „Dėl Prioritetinių mokslinių tyrimų ir eksperimentinės (socialinės, kultūrinės) plėtros ir inovacijų raidos (sumanios specializacijos) krypčių 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patvirtinimo“ (toliau – sumaniosios specializacijos kryptys)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.</w:t>
                  </w:r>
                  <w:r w:rsidRPr="00F270AF" w:rsidDel="00FA7C33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</w:tc>
            </w:tr>
            <w:tr w:rsidR="007D52FB" w:rsidRPr="00067B16" w14:paraId="31EDD907" w14:textId="77777777" w:rsidTr="00125809"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D9C23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Galimi pareiškėjai:</w:t>
                  </w:r>
                </w:p>
                <w:p w14:paraId="1F7BBB31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8FD6C" w14:textId="5F75495F" w:rsidR="00590003" w:rsidRPr="00F270AF" w:rsidRDefault="00590003" w:rsidP="0059000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>privatieji juridiniai asmenys (išskyrus mokslo ir studijų institucijas);</w:t>
                  </w:r>
                </w:p>
                <w:p w14:paraId="1D13DA11" w14:textId="4CAA4448" w:rsidR="00D1310F" w:rsidRDefault="00590003" w:rsidP="00BA459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>viešosios įstaigos, vykdančios MTEP veiklas (išskyrus mokslo ir stud</w:t>
                  </w:r>
                  <w:r w:rsidR="00DC3C70">
                    <w:rPr>
                      <w:rFonts w:ascii="Times New Roman" w:hAnsi="Times New Roman"/>
                      <w:sz w:val="24"/>
                      <w:szCs w:val="24"/>
                    </w:rPr>
                    <w:t xml:space="preserve">ijų institucijas), kai vykdomos </w:t>
                  </w:r>
                  <w:r w:rsidR="00DC3C70"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priemonės Nr. J05-LVPA-K „Intelektas. Bendri mokslo–verslo projektai“ projektų finansavimo sąlygų </w:t>
                  </w:r>
                  <w:r w:rsidR="00DC3C70">
                    <w:rPr>
                      <w:rFonts w:ascii="Times New Roman" w:hAnsi="Times New Roman"/>
                      <w:sz w:val="24"/>
                      <w:szCs w:val="24"/>
                    </w:rPr>
                    <w:t>aprašo</w:t>
                  </w:r>
                  <w:r w:rsidR="00DC3C70"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Nr. </w:t>
                  </w:r>
                  <w:r w:rsidR="00BA459F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DC3C70"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(toliau – Aprašas)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10.1 ir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(ar) 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>10.2 papunkčiuose nurodytos veiklos.</w:t>
                  </w:r>
                  <w:r w:rsidR="00983DC7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  <w:p w14:paraId="1DA18C41" w14:textId="3B0A5633" w:rsidR="00F26501" w:rsidRDefault="006F3C1B" w:rsidP="006F3C1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3DC7">
                    <w:rPr>
                      <w:rFonts w:ascii="Times New Roman" w:hAnsi="Times New Roman"/>
                      <w:sz w:val="24"/>
                      <w:szCs w:val="24"/>
                    </w:rPr>
                    <w:t>Pradedantysis inovatorius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–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labai maža arba maža įmonė (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>privatusis juridinis asmuo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išskyrus mokslo ir studijų institucijas)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arba 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>viešoji įstaiga, vykdanti MTEP veiklas (išskyrus mokslo ir studijų institucijas)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veikianti 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ne ilgiau kaip penkerius metus nuo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įmonės 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>registravimo iki paraiškos pateikimo įgyvendinančiajai institucijai dienos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kuri nėra skirsčiusi pelno dividendų ar tantjemų mokėjimams ir nebuvo sukurta per susijungimą.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83DC7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  <w:p w14:paraId="01AF020A" w14:textId="7644365F" w:rsidR="006F3C1B" w:rsidRPr="00590003" w:rsidRDefault="00F26501" w:rsidP="00C8697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3DC7">
                    <w:rPr>
                      <w:rFonts w:ascii="Times New Roman" w:hAnsi="Times New Roman"/>
                      <w:sz w:val="24"/>
                      <w:szCs w:val="24"/>
                    </w:rPr>
                    <w:t>Pradedantieji inovatoriai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gali pasirinkti dalyvauti kvietime, skirtame brandiesiems inovatoriams. Pradedantiesiems inovatoriams dalyvaujant kvietime, skirtame brandiesiems inovatoriams, taikomos brandiesiems inovatoriams skirtos Aprašo nuostatos.</w:t>
                  </w:r>
                </w:p>
              </w:tc>
            </w:tr>
            <w:tr w:rsidR="007D52FB" w:rsidRPr="00067B16" w14:paraId="7EB33F19" w14:textId="77777777" w:rsidTr="00125809"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BBF82" w14:textId="77777777" w:rsidR="0028256E" w:rsidRPr="00067B16" w:rsidRDefault="0028256E" w:rsidP="00A23E5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</w:t>
                  </w:r>
                  <w:r w:rsidR="00A23E5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EA02A" w14:textId="77777777" w:rsidR="0028256E" w:rsidRPr="00E776C5" w:rsidRDefault="00E776C5" w:rsidP="00E776C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>Projektų atranka pagal Priemonę bus atliekama projektų konkurso dviem etapais būdu.</w:t>
                  </w:r>
                </w:p>
              </w:tc>
            </w:tr>
            <w:tr w:rsidR="002F7369" w:rsidRPr="00067B16" w14:paraId="09BADE67" w14:textId="77777777" w:rsidTr="00125809"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8AC1A" w14:textId="77777777" w:rsidR="002F7369" w:rsidRPr="00067B16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r w:rsidR="00D37B9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3F3F2B66" w14:textId="77777777" w:rsidR="002F7369" w:rsidRPr="00067B16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0CC9B" w14:textId="3129ED1E" w:rsidR="00D1310F" w:rsidRPr="00F270AF" w:rsidRDefault="00D1310F" w:rsidP="00796250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E64A6D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Didžiausia projektui galim</w:t>
                  </w:r>
                  <w:r w:rsidR="0010401C" w:rsidRPr="00E64A6D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a skirti finansavimo lėšų suma </w:t>
                  </w:r>
                  <w:r w:rsidR="00E64A6D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pradedantiesiems inovatoriams</w:t>
                  </w:r>
                  <w:r w:rsidRPr="00E64A6D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yr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(</w:t>
                  </w:r>
                  <w:r w:rsidR="004E76DD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įgyvendinant visas arba 2 iš Aprašo 10.1-10.3 papunkčiuose nurodytų veiklų, Aprašo 4</w:t>
                  </w:r>
                  <w:r w:rsidR="0031463A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4</w:t>
                  </w:r>
                  <w:r w:rsidR="004E76DD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.1, 4</w:t>
                  </w:r>
                  <w:r w:rsidR="0031463A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4</w:t>
                  </w:r>
                  <w:r w:rsidR="004E76DD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.2 ir 4</w:t>
                  </w:r>
                  <w:r w:rsidR="0031463A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4</w:t>
                  </w:r>
                  <w:r w:rsidR="004E76DD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.3 papunkčiuose nurodytos sumos atitinkamai sumuojamos</w:t>
                  </w:r>
                  <w:r>
                    <w:rPr>
                      <w:rStyle w:val="Komentaronuoroda"/>
                      <w:rFonts w:ascii="Times New Roman" w:eastAsia="Times New Roman" w:hAnsi="Times New Roman"/>
                      <w:szCs w:val="20"/>
                      <w:lang w:eastAsia="lt-LT"/>
                    </w:rPr>
                    <w:t>)</w:t>
                  </w:r>
                  <w:r w:rsidR="00D75233">
                    <w:rPr>
                      <w:rStyle w:val="Komentaronuoroda"/>
                      <w:rFonts w:ascii="Times New Roman" w:eastAsia="Times New Roman" w:hAnsi="Times New Roman"/>
                      <w:szCs w:val="20"/>
                      <w:lang w:eastAsia="lt-LT"/>
                    </w:rPr>
                    <w:t>:</w:t>
                  </w:r>
                </w:p>
                <w:p w14:paraId="03664D60" w14:textId="7A6ADF2B" w:rsidR="00D1310F" w:rsidRPr="00F270AF" w:rsidRDefault="00874232" w:rsidP="00D1310F">
                  <w:pPr>
                    <w:ind w:firstLine="85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44.</w:t>
                  </w:r>
                  <w:r w:rsidR="00D1310F"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1. Aprašo 10.1 papunktyje nurodytai veiklai – </w:t>
                  </w:r>
                  <w:r w:rsidR="00D1310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2</w:t>
                  </w:r>
                  <w:r w:rsidR="00D1310F"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00 000 Eur (du šimtai tūkstančių eurų);</w:t>
                  </w:r>
                </w:p>
                <w:p w14:paraId="06B3011E" w14:textId="710060E4" w:rsidR="00D1310F" w:rsidRPr="00F270AF" w:rsidRDefault="00874232" w:rsidP="00D1310F">
                  <w:pPr>
                    <w:ind w:firstLine="85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44.</w:t>
                  </w:r>
                  <w:r w:rsidR="00D1310F"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2. Aprašo 10.2 papunktyje nurodytai veiklai –</w:t>
                  </w:r>
                  <w:r w:rsidR="004E76DD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D1310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1</w:t>
                  </w:r>
                  <w:r w:rsidR="00D1310F"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00 000 Eur (</w:t>
                  </w:r>
                  <w:r w:rsidR="00D1310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šimtas tūkstančių </w:t>
                  </w:r>
                  <w:r w:rsidR="00D1310F"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eurų);</w:t>
                  </w:r>
                </w:p>
                <w:p w14:paraId="28240AB1" w14:textId="3691F6CD" w:rsidR="002F7369" w:rsidRPr="006F1768" w:rsidRDefault="00874232" w:rsidP="00A77AC2">
                  <w:pPr>
                    <w:ind w:firstLine="85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44.</w:t>
                  </w:r>
                  <w:r w:rsidR="00D1310F"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3. Aprašo 10.3 papunktyje nurodytai veiklai –</w:t>
                  </w:r>
                  <w:r w:rsidR="004E76DD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D1310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1</w:t>
                  </w:r>
                  <w:r w:rsidR="00D1310F"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00 000 Eur (</w:t>
                  </w:r>
                  <w:r w:rsidR="00D1310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šimtas tūkstančių </w:t>
                  </w:r>
                  <w:r w:rsidR="00D1310F"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eurų).</w:t>
                  </w:r>
                </w:p>
              </w:tc>
            </w:tr>
            <w:tr w:rsidR="002F7369" w:rsidRPr="00067B16" w14:paraId="3270BCDE" w14:textId="77777777" w:rsidTr="00125809"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2CE70" w14:textId="77777777" w:rsidR="002F7369" w:rsidRPr="00067B16" w:rsidRDefault="00D37B95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C3F14" w14:textId="07EA0585" w:rsidR="003510BA" w:rsidRDefault="008D11E5" w:rsidP="003510BA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5809">
                    <w:rPr>
                      <w:rFonts w:ascii="Times New Roman" w:hAnsi="Times New Roman"/>
                      <w:sz w:val="24"/>
                      <w:szCs w:val="24"/>
                    </w:rPr>
                    <w:t>P</w:t>
                  </w:r>
                  <w:r w:rsidR="003510BA" w:rsidRPr="00125809">
                    <w:rPr>
                      <w:rFonts w:ascii="Times New Roman" w:hAnsi="Times New Roman"/>
                      <w:sz w:val="24"/>
                      <w:szCs w:val="24"/>
                    </w:rPr>
                    <w:t>radedantiesiems inovatoriams</w:t>
                  </w:r>
                  <w:r w:rsidR="003510BA"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numatoma skirti iki </w:t>
                  </w:r>
                  <w:r w:rsidR="003510B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3510BA"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0 000 000 Eur </w:t>
                  </w:r>
                  <w:r w:rsidR="003510BA">
                    <w:rPr>
                      <w:rFonts w:ascii="Times New Roman" w:hAnsi="Times New Roman"/>
                      <w:sz w:val="24"/>
                      <w:szCs w:val="24"/>
                    </w:rPr>
                    <w:t>(tri</w:t>
                  </w:r>
                  <w:r w:rsidR="003510BA" w:rsidRPr="00F270AF">
                    <w:rPr>
                      <w:rFonts w:ascii="Times New Roman" w:hAnsi="Times New Roman"/>
                      <w:sz w:val="24"/>
                      <w:szCs w:val="24"/>
                    </w:rPr>
                    <w:t>sdešimt milijonų eurų)</w:t>
                  </w:r>
                  <w:r w:rsidR="00BD0CF7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66FCB61C" w14:textId="77777777" w:rsidR="00D83759" w:rsidRPr="00F270AF" w:rsidRDefault="00D83759" w:rsidP="00B10000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Pagal Aprašą sumaniosios specializacijos kryptims pirmajam kvietimui –</w:t>
                  </w:r>
                  <w:r w:rsidRPr="003266B1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lastRenderedPageBreak/>
                    <w:t>pradedantiesiems inovatoriams – numatoma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skirti:</w:t>
                  </w:r>
                </w:p>
                <w:p w14:paraId="07E333D5" w14:textId="77777777" w:rsidR="00D83759" w:rsidRPr="00F270AF" w:rsidRDefault="00D83759" w:rsidP="00D83759">
                  <w:pPr>
                    <w:ind w:firstLine="85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12.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1. energetikai ir tvariai aplinkai – iki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300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000 Eur 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tr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ų milijonų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trijų 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>šimtų tūkstančių eurų)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t. y. </w:t>
                  </w:r>
                  <w:r w:rsidRPr="00B77ADB">
                    <w:rPr>
                      <w:rFonts w:ascii="Times New Roman" w:hAnsi="Times New Roman"/>
                      <w:sz w:val="24"/>
                      <w:szCs w:val="24"/>
                    </w:rPr>
                    <w:t>iki 11 proc. Aprašo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8 punkte nurodytų pradedantiesiems inovatoriams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numatom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ų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skirt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r w:rsidRPr="00B77ADB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lėšų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324815D2" w14:textId="77777777" w:rsidR="00D83759" w:rsidRPr="00F270AF" w:rsidRDefault="00D83759" w:rsidP="00D83759">
                  <w:pPr>
                    <w:ind w:firstLine="851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12.2. 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įtraukiai ir kūrybingai visuomenei – iki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1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5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0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000 Eur (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vieno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milijon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o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penkių šimtų 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tūkstančių eurų)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, t. y. </w:t>
                  </w:r>
                  <w:r w:rsidRPr="00B77ADB">
                    <w:rPr>
                      <w:rFonts w:ascii="Times New Roman" w:hAnsi="Times New Roman"/>
                      <w:sz w:val="24"/>
                      <w:szCs w:val="24"/>
                    </w:rPr>
                    <w:t xml:space="preserve">iki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B77ADB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proc. Aprašo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8 punkte nurodytų pradedantiesiems inovatoriams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numatom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ų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skirt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r w:rsidRPr="00B77ADB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lėšų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;</w:t>
                  </w:r>
                </w:p>
                <w:p w14:paraId="1279EFE9" w14:textId="77777777" w:rsidR="00D83759" w:rsidRPr="00F270AF" w:rsidRDefault="00D83759" w:rsidP="00D83759">
                  <w:pPr>
                    <w:ind w:firstLine="85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12.3. agroinovacijoms ir maisto technologijoms – iki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5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40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0 000 Eur (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penkių 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milijonų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keturių šimtų 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tūkstančių eurų)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, t. y. </w:t>
                  </w:r>
                  <w:r w:rsidRPr="00B77ADB">
                    <w:rPr>
                      <w:rFonts w:ascii="Times New Roman" w:hAnsi="Times New Roman"/>
                      <w:sz w:val="24"/>
                      <w:szCs w:val="24"/>
                    </w:rPr>
                    <w:t>iki 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B77ADB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proc. Aprašo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8 punkte nurodytų pradedantiesiems inovatoriams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numatom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ų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skirt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r w:rsidRPr="00B77ADB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lėšų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;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6AF57038" w14:textId="77777777" w:rsidR="00D83759" w:rsidRPr="00F270AF" w:rsidRDefault="00D83759" w:rsidP="00D83759">
                  <w:pPr>
                    <w:ind w:firstLine="85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12.4. 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naujiems gamybos procesams, medžiagoms ir technologijoms – iki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7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5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0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000 Eur (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septynių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milijonų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penkių 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šimt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ų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tūkstančių eurų)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, t. y. </w:t>
                  </w:r>
                  <w:r w:rsidRPr="00B77ADB">
                    <w:rPr>
                      <w:rFonts w:ascii="Times New Roman" w:hAnsi="Times New Roman"/>
                      <w:sz w:val="24"/>
                      <w:szCs w:val="24"/>
                    </w:rPr>
                    <w:t xml:space="preserve">iki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Pr="00B77ADB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proc. Aprašo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8 punkte nurodytų pradedantiesiems inovatoriams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numatom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ų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skirt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r w:rsidRPr="00B77ADB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lėšų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; </w:t>
                  </w:r>
                </w:p>
                <w:p w14:paraId="64DF057C" w14:textId="0D1BE82D" w:rsidR="00D83759" w:rsidRPr="00F270AF" w:rsidRDefault="00D83759" w:rsidP="00D83759">
                  <w:pPr>
                    <w:ind w:firstLine="85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12.5. 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sveikatos technologijoms ir biotechnologijoms – iki 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1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00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000 Eur (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vienuolikos 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milijonų šimt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o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tūkstančių eurų)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, t. y. </w:t>
                  </w:r>
                  <w:r w:rsidRPr="00B77ADB">
                    <w:rPr>
                      <w:rFonts w:ascii="Times New Roman" w:hAnsi="Times New Roman"/>
                      <w:sz w:val="24"/>
                      <w:szCs w:val="24"/>
                    </w:rPr>
                    <w:t xml:space="preserve">iki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  <w:r w:rsidRPr="00B77ADB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proc. </w:t>
                  </w:r>
                  <w:r w:rsidR="00AA5EB6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B77ADB">
                    <w:rPr>
                      <w:rFonts w:ascii="Times New Roman" w:hAnsi="Times New Roman"/>
                      <w:sz w:val="24"/>
                      <w:szCs w:val="24"/>
                    </w:rPr>
                    <w:t>prašo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8 punkte nurodytų pradedantiesiems inovatoriams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numatom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ų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skirt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r w:rsidRPr="00B77ADB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lėšų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; </w:t>
                  </w:r>
                </w:p>
                <w:p w14:paraId="636B9CF1" w14:textId="4B53821E" w:rsidR="00D83759" w:rsidRPr="003510BA" w:rsidRDefault="00D83759" w:rsidP="00AA5EB6">
                  <w:pPr>
                    <w:ind w:firstLine="85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12.6. 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transportui, logistikai ir informacinėms ir ryšių technologijoms (IRT) – iki 1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200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000 Eur (vieno milijono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dviejų 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šimtų tūkstančių eurų)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, t. y. </w:t>
                  </w:r>
                  <w:r w:rsidRPr="00B77ADB">
                    <w:rPr>
                      <w:rFonts w:ascii="Times New Roman" w:hAnsi="Times New Roman"/>
                      <w:sz w:val="24"/>
                      <w:szCs w:val="24"/>
                    </w:rPr>
                    <w:t xml:space="preserve">iki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77ADB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proc. </w:t>
                  </w:r>
                  <w:r w:rsidR="00AA5EB6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B77ADB">
                    <w:rPr>
                      <w:rFonts w:ascii="Times New Roman" w:hAnsi="Times New Roman"/>
                      <w:sz w:val="24"/>
                      <w:szCs w:val="24"/>
                    </w:rPr>
                    <w:t>prašo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8 punkte nurodytų pradedantiesiems inovatoriams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numatom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ų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skirt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r w:rsidRPr="00B77ADB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lėšų</w:t>
                  </w:r>
                  <w:r w:rsidRPr="00F270AF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.</w:t>
                  </w:r>
                  <w:r w:rsidRPr="00F270A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62C3A" w:rsidRPr="00067B16" w14:paraId="6C24F8CB" w14:textId="77777777" w:rsidTr="00125809"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A5908" w14:textId="68848B8E" w:rsidR="00062C3A" w:rsidRPr="00067B16" w:rsidRDefault="00062C3A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Paraiškos </w:t>
                  </w:r>
                  <w:r w:rsidR="0010640C" w:rsidRPr="0010640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antra</w:t>
                  </w:r>
                  <w:r w:rsidR="00B318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jam</w:t>
                  </w:r>
                  <w:r w:rsidR="0010640C" w:rsidRPr="0010640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konkurso etapui</w:t>
                  </w:r>
                  <w:r w:rsidR="001064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 būti teikiamos nuo: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D117F" w14:textId="24826B33" w:rsidR="00F34D0E" w:rsidRPr="002B0684" w:rsidDel="00011C71" w:rsidRDefault="0010640C" w:rsidP="00405443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2B0684">
                    <w:rPr>
                      <w:rFonts w:ascii="Times New Roman" w:hAnsi="Times New Roman" w:cs="Times New Roman"/>
                      <w:b/>
                      <w:sz w:val="24"/>
                    </w:rPr>
                    <w:t>2017-12-08 9</w:t>
                  </w:r>
                  <w:r w:rsidR="00FE19BA">
                    <w:rPr>
                      <w:rFonts w:ascii="Times New Roman" w:hAnsi="Times New Roman" w:cs="Times New Roman"/>
                      <w:b/>
                      <w:sz w:val="24"/>
                    </w:rPr>
                    <w:t>.00</w:t>
                  </w:r>
                  <w:r w:rsidRPr="002B068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val.</w:t>
                  </w:r>
                </w:p>
              </w:tc>
            </w:tr>
            <w:tr w:rsidR="00062C3A" w:rsidRPr="00067B16" w14:paraId="2AF1AE8D" w14:textId="77777777" w:rsidTr="00125809"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984C5" w14:textId="3CFD1610" w:rsidR="00062C3A" w:rsidRPr="00067B16" w:rsidRDefault="009A1E4E" w:rsidP="00E771AB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Paraiškos </w:t>
                  </w:r>
                  <w:r w:rsidR="00FE19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antrajam konkurso etapui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 būti teikiamos iki (galutinis paraiškų pateikimo terminas):</w:t>
                  </w: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FED5B" w14:textId="6A37B0F5" w:rsidR="002642AF" w:rsidRPr="002B0684" w:rsidRDefault="0010640C" w:rsidP="00E771AB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 w:rsidRPr="002B0684">
                    <w:rPr>
                      <w:rFonts w:ascii="Times New Roman" w:eastAsia="Calibri" w:hAnsi="Times New Roman"/>
                      <w:b/>
                      <w:sz w:val="24"/>
                    </w:rPr>
                    <w:t>2018-01-31</w:t>
                  </w:r>
                  <w:r w:rsidR="002B0684" w:rsidRPr="002B0684"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</w:t>
                  </w:r>
                  <w:r w:rsidR="00FE19BA">
                    <w:rPr>
                      <w:rFonts w:ascii="Times New Roman" w:eastAsia="Calibri" w:hAnsi="Times New Roman"/>
                      <w:b/>
                      <w:sz w:val="24"/>
                    </w:rPr>
                    <w:t>16.00</w:t>
                  </w:r>
                  <w:r w:rsidR="002B0684" w:rsidRPr="002B0684"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val.</w:t>
                  </w:r>
                </w:p>
              </w:tc>
            </w:tr>
            <w:tr w:rsidR="00B1633E" w:rsidRPr="00067B16" w14:paraId="5CDB7F19" w14:textId="77777777" w:rsidTr="00125809">
              <w:trPr>
                <w:trHeight w:val="585"/>
              </w:trPr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21FAE" w14:textId="77777777" w:rsidR="00B1633E" w:rsidRPr="00067B16" w:rsidRDefault="00B1633E" w:rsidP="004B59E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  <w:p w14:paraId="7646227C" w14:textId="77777777" w:rsidR="00B1633E" w:rsidRPr="00067B16" w:rsidRDefault="00B1633E" w:rsidP="004B59E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3AD35" w14:textId="41D986A6" w:rsidR="00DF69F8" w:rsidRDefault="00BA15D8" w:rsidP="001F09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poprojektiniu laikotarpiu privalo naudotis </w:t>
                  </w:r>
                  <w:r w:rsidR="00FE1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Iš Europos Sąjungos struktūrinių fondų lėšų bendrai finansuojamų projektų duomenų mainų svetaine (toliau – 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r w:rsidR="00FE19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išskyrus 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Taisyklėse nustatytas išimtis. DMS naudojimosi tvarka nustatyta Duomenų teikimo per </w:t>
                  </w:r>
                  <w:r w:rsidR="001F09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iš 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struktūrinių fondų lėšų bendrai finansuojamų projektų duomenų mainų svetainę tvarkos apraše (Taisyklių 1 priedas).</w:t>
                  </w:r>
                </w:p>
                <w:p w14:paraId="6FA73C7C" w14:textId="2819BDAF" w:rsidR="00242A17" w:rsidRDefault="00242A17" w:rsidP="002B0D80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</w:p>
                <w:p w14:paraId="1C999824" w14:textId="6436F456" w:rsidR="00A666FE" w:rsidRDefault="00A666FE" w:rsidP="00A666FE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K</w:t>
                  </w:r>
                  <w:r w:rsidR="00222A91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adangi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DMS funkcinės galimybės nepakankamos, </w:t>
                  </w:r>
                  <w:r w:rsidR="00C800F7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paraiška ir susiję dokumentai turi būti teikiami raštu. </w:t>
                  </w:r>
                </w:p>
                <w:p w14:paraId="72011886" w14:textId="77777777" w:rsidR="00FE19BA" w:rsidRDefault="00FE19BA" w:rsidP="002B0D80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</w:p>
                <w:p w14:paraId="2F16B0A3" w14:textId="61263B64" w:rsidR="00FE19BA" w:rsidRDefault="00FE19BA" w:rsidP="002B0D80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I etape paraiškos buvo priimamos iki 2017 m. rugsėjo 29 d., vertinimo reikalavimus atitikusius projektus galima rasti </w:t>
                  </w:r>
                  <w:hyperlink r:id="rId9" w:history="1">
                    <w:r w:rsidRPr="00FE19BA">
                      <w:rPr>
                        <w:rStyle w:val="Hipersaitas"/>
                        <w:rFonts w:ascii="Times New Roman" w:eastAsia="Times New Roman" w:hAnsi="Times New Roman"/>
                        <w:sz w:val="24"/>
                        <w:szCs w:val="24"/>
                        <w:lang w:eastAsia="lt-LT"/>
                      </w:rPr>
                      <w:t>čia.</w:t>
                    </w:r>
                  </w:hyperlink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  <w:p w14:paraId="275401F3" w14:textId="77777777" w:rsidR="00242A17" w:rsidRPr="00AC6E16" w:rsidRDefault="00242A1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BA7C848" w14:textId="77777777" w:rsidR="000E78ED" w:rsidRPr="00067B16" w:rsidRDefault="000E78ED" w:rsidP="0005365E">
            <w:pPr>
              <w:rPr>
                <w:rFonts w:ascii="Times New Roman" w:hAnsi="Times New Roman" w:cs="Times New Roman"/>
              </w:rPr>
            </w:pPr>
          </w:p>
        </w:tc>
      </w:tr>
      <w:tr w:rsidR="00213DA4" w:rsidRPr="00067B16" w14:paraId="72BB3443" w14:textId="77777777" w:rsidTr="002E1AD2">
        <w:trPr>
          <w:gridAfter w:val="1"/>
          <w:wAfter w:w="10" w:type="dxa"/>
        </w:trPr>
        <w:tc>
          <w:tcPr>
            <w:tcW w:w="9567" w:type="dxa"/>
            <w:gridSpan w:val="3"/>
          </w:tcPr>
          <w:p w14:paraId="0EFF49B4" w14:textId="77777777" w:rsidR="00213DA4" w:rsidRPr="007D52FB" w:rsidRDefault="00213DA4" w:rsidP="0005365E">
            <w:pPr>
              <w:jc w:val="center"/>
              <w:rPr>
                <w:i/>
              </w:rPr>
            </w:pPr>
          </w:p>
        </w:tc>
      </w:tr>
    </w:tbl>
    <w:p w14:paraId="16BA9535" w14:textId="77777777" w:rsidR="00296D70" w:rsidRDefault="00296D70" w:rsidP="00296D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FAD88A" w14:textId="12D0DF2F" w:rsidR="00912E4F" w:rsidRPr="009B2F4C" w:rsidRDefault="00912E4F" w:rsidP="00213D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2F4C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726039" w:rsidRPr="009B2F4C">
        <w:rPr>
          <w:rFonts w:ascii="Times New Roman" w:hAnsi="Times New Roman" w:cs="Times New Roman"/>
          <w:sz w:val="24"/>
          <w:szCs w:val="24"/>
        </w:rPr>
        <w:t>apie paraiškų teikimą:</w:t>
      </w:r>
      <w:r w:rsidR="00213DA4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Lentelstinklelis"/>
        <w:tblW w:w="9351" w:type="dxa"/>
        <w:tblInd w:w="108" w:type="dxa"/>
        <w:tblLook w:val="04A0" w:firstRow="1" w:lastRow="0" w:firstColumn="1" w:lastColumn="0" w:noHBand="0" w:noVBand="1"/>
      </w:tblPr>
      <w:tblGrid>
        <w:gridCol w:w="4535"/>
        <w:gridCol w:w="4816"/>
      </w:tblGrid>
      <w:tr w:rsidR="0060398F" w:rsidRPr="00067B16" w14:paraId="3998C800" w14:textId="77777777" w:rsidTr="00DD0465">
        <w:trPr>
          <w:trHeight w:val="271"/>
        </w:trPr>
        <w:tc>
          <w:tcPr>
            <w:tcW w:w="4535" w:type="dxa"/>
          </w:tcPr>
          <w:p w14:paraId="0943AE42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816" w:type="dxa"/>
          </w:tcPr>
          <w:p w14:paraId="58BAFF74" w14:textId="504250D4" w:rsidR="00FE19BA" w:rsidRDefault="00C11131" w:rsidP="00FE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</w:t>
            </w:r>
            <w:r w:rsidR="00222A9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adangi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DMS funkcinės galimybės nepakankamos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="00FE19BA">
              <w:rPr>
                <w:rFonts w:ascii="Times New Roman" w:hAnsi="Times New Roman" w:cs="Times New Roman"/>
                <w:sz w:val="24"/>
                <w:szCs w:val="24"/>
              </w:rPr>
              <w:t>araiškos gali būti pateiktos kaip pasirašyti popieriniai dokumentai arba kaip elektroniniai dokumentai, pasirašyti saugiu elektroniniu parašu, priklausomai nuo to, kokią šių dokumentų formą pasirenka pareiškėjas.</w:t>
            </w:r>
            <w:r w:rsidR="00FE19B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8E6DC6F" w14:textId="77777777" w:rsidR="00FE19BA" w:rsidRDefault="00FE19BA" w:rsidP="00FE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Jei paraiška teikiama kaip popierinis dokumentas, pareiškėjas turi pateikti vieną paraiškos originalą ir jos priedus bei elektroninę užpildytos paraiškos formos versiją „pdf“ formatu, įrašytą į elektroninę laikmeną.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Paraiškos originalo ir elektroninės versijos turinys turi būti identiškas. Nustačius, kad paraiškos elektroninės versijos turinys neatitinka originalo, vadovaujamasi paraiškos originale nurodyta informacija.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Paraiška turi būti atsiųsta registruota pašto siunta naudojantis pašto paslaugų teikėjų teikiamomis paslaugomis arba pristatyta į LVPA priimamąjį, Savanorių pr. 28, LT-03116 Vilnius.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BA35940" w14:textId="77777777" w:rsidR="00FE19BA" w:rsidRDefault="00FE19BA" w:rsidP="00FE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Jei paraiška teikiama kaip elektroninis dokumentas, pareiškėjas turi užpildyti paraišką, pasirašytą saugiu elektroniniu parašu, ir pateikti ją elektroniniu paštu </w:t>
            </w:r>
            <w:hyperlink r:id="rId10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dokumentai@lvpa.lt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  Kartu su paraiška teikiami dokumentai ir (ar) skaitmeninės pridedamų dokumentų kopijos elektroniniu parašu gali būti netvirtinami.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4A3DEAA" w14:textId="3B77ECE9" w:rsidR="00FE19BA" w:rsidRDefault="00FE19BA" w:rsidP="00FE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Siunčiant registruota pašto siunta, paraiškos turi būti įteiktos pašto paslaugų </w:t>
            </w:r>
            <w:r w:rsidR="00246E71">
              <w:rPr>
                <w:rFonts w:ascii="Times New Roman" w:hAnsi="Times New Roman" w:cs="Times New Roman"/>
                <w:sz w:val="24"/>
                <w:szCs w:val="24"/>
              </w:rPr>
              <w:t>teikėjui ne vėliau kaip iki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246E71">
              <w:rPr>
                <w:rFonts w:ascii="Times New Roman" w:hAnsi="Times New Roman" w:cs="Times New Roman"/>
                <w:sz w:val="24"/>
                <w:szCs w:val="24"/>
              </w:rPr>
              <w:t>sausio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24:00 val.</w:t>
            </w:r>
          </w:p>
          <w:p w14:paraId="4DA207AF" w14:textId="77777777" w:rsidR="00FE19BA" w:rsidRDefault="00FE19BA" w:rsidP="00FE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D9C04" w14:textId="20EE31AE" w:rsidR="00FE19BA" w:rsidRDefault="00FE19BA" w:rsidP="00FE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Jei paraiška nesiunčiama registruotąja pašto siunta, ji turi</w:t>
            </w:r>
            <w:r w:rsidR="00246E71">
              <w:rPr>
                <w:rFonts w:ascii="Times New Roman" w:hAnsi="Times New Roman" w:cs="Times New Roman"/>
                <w:sz w:val="24"/>
                <w:szCs w:val="24"/>
              </w:rPr>
              <w:t xml:space="preserve"> būti pristatyta į LVPA iki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246E71">
              <w:rPr>
                <w:rFonts w:ascii="Times New Roman" w:hAnsi="Times New Roman" w:cs="Times New Roman"/>
                <w:sz w:val="24"/>
                <w:szCs w:val="24"/>
              </w:rPr>
              <w:t>sausio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r w:rsidR="00246E7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1271E52" w14:textId="5ED4BA84" w:rsidR="00FE19BA" w:rsidRDefault="00FE19BA" w:rsidP="00FE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Jei paraiška teikiama kaip elektroninis dokumentas, ji turi būti atsiųsta elektroniniu paštu </w:t>
            </w:r>
            <w:hyperlink r:id="rId11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dokumentai@lvpa.lt</w:t>
              </w:r>
            </w:hyperlink>
            <w:r w:rsidR="00246E71">
              <w:rPr>
                <w:rFonts w:ascii="Times New Roman" w:hAnsi="Times New Roman" w:cs="Times New Roman"/>
                <w:sz w:val="24"/>
                <w:szCs w:val="24"/>
              </w:rPr>
              <w:t xml:space="preserve"> iki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246E71">
              <w:rPr>
                <w:rFonts w:ascii="Times New Roman" w:hAnsi="Times New Roman" w:cs="Times New Roman"/>
                <w:sz w:val="24"/>
                <w:szCs w:val="24"/>
              </w:rPr>
              <w:t>sausio 31 d. 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  <w:p w14:paraId="24C2F39A" w14:textId="77777777" w:rsidR="00FE19BA" w:rsidRDefault="00FE19BA" w:rsidP="00FE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1D2E" w14:textId="77777777" w:rsidR="00FE19BA" w:rsidRDefault="00FE19BA" w:rsidP="00FE1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LVPA neprisiima atsakomybės dėl ne laiku pristatytų paraiškų.</w:t>
            </w:r>
          </w:p>
          <w:p w14:paraId="17C20541" w14:textId="77777777" w:rsidR="00FE19BA" w:rsidRDefault="00FE19BA" w:rsidP="00AC36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72BF8D33" w14:textId="5D93DDA6" w:rsidR="00C63770" w:rsidRPr="00DF0ED1" w:rsidRDefault="00A66AB6" w:rsidP="00A66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398F" w:rsidRPr="00067B16" w14:paraId="1A583758" w14:textId="77777777" w:rsidTr="00DD0465">
        <w:trPr>
          <w:trHeight w:val="271"/>
        </w:trPr>
        <w:tc>
          <w:tcPr>
            <w:tcW w:w="4535" w:type="dxa"/>
          </w:tcPr>
          <w:p w14:paraId="353D8630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Įgyvendinančiosios institucijos, priimančios paraiškas, pavadinimas:</w:t>
            </w:r>
          </w:p>
        </w:tc>
        <w:tc>
          <w:tcPr>
            <w:tcW w:w="4816" w:type="dxa"/>
          </w:tcPr>
          <w:p w14:paraId="14519F48" w14:textId="77777777" w:rsidR="0060398F" w:rsidRPr="00563026" w:rsidRDefault="009C3D40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LVPA</w:t>
            </w:r>
          </w:p>
        </w:tc>
      </w:tr>
      <w:tr w:rsidR="0060398F" w:rsidRPr="00067B16" w14:paraId="03B9EF34" w14:textId="77777777" w:rsidTr="00DD0465">
        <w:trPr>
          <w:trHeight w:val="271"/>
        </w:trPr>
        <w:tc>
          <w:tcPr>
            <w:tcW w:w="4535" w:type="dxa"/>
          </w:tcPr>
          <w:p w14:paraId="454FE88F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4816" w:type="dxa"/>
          </w:tcPr>
          <w:p w14:paraId="25999BA1" w14:textId="77777777" w:rsidR="009C3D40" w:rsidRDefault="0010665A" w:rsidP="001161EE">
            <w:pPr>
              <w:pStyle w:val="Default"/>
            </w:pPr>
            <w:hyperlink r:id="rId12" w:history="1">
              <w:r w:rsidR="001161EE" w:rsidRPr="004F08B3">
                <w:rPr>
                  <w:rStyle w:val="Hipersaitas"/>
                </w:rPr>
                <w:t>Savanorių pr. 28, LT-03116, Vilnius</w:t>
              </w:r>
            </w:hyperlink>
            <w:r w:rsidR="001161EE" w:rsidRPr="004F08B3">
              <w:t>.</w:t>
            </w:r>
          </w:p>
          <w:p w14:paraId="10F435A0" w14:textId="77777777" w:rsidR="001161EE" w:rsidRPr="00334AF2" w:rsidRDefault="001161EE" w:rsidP="001161EE">
            <w:pPr>
              <w:pStyle w:val="Default"/>
              <w:rPr>
                <w:sz w:val="23"/>
                <w:szCs w:val="23"/>
              </w:rPr>
            </w:pPr>
          </w:p>
        </w:tc>
      </w:tr>
      <w:tr w:rsidR="0060398F" w:rsidRPr="00067B16" w14:paraId="5E98DA1E" w14:textId="77777777" w:rsidTr="00DD0465">
        <w:trPr>
          <w:trHeight w:val="271"/>
        </w:trPr>
        <w:tc>
          <w:tcPr>
            <w:tcW w:w="4535" w:type="dxa"/>
          </w:tcPr>
          <w:p w14:paraId="0F1A5A96" w14:textId="77777777" w:rsidR="0060398F" w:rsidRPr="0041050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</w:tc>
        <w:tc>
          <w:tcPr>
            <w:tcW w:w="4816" w:type="dxa"/>
          </w:tcPr>
          <w:p w14:paraId="0111E4EB" w14:textId="77777777" w:rsidR="001161EE" w:rsidRPr="004F08B3" w:rsidRDefault="001161EE" w:rsidP="00116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Priemonės projektų tinkamumo klausimais:</w:t>
            </w:r>
            <w:r w:rsidRPr="004F08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LVPA Komunikacijos skyriaus vyresnysis informavimo specialistas Deividas Petrulevičius, el. p. </w:t>
            </w:r>
            <w:hyperlink r:id="rId13" w:history="1">
              <w:r w:rsidRPr="004F08B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d.petrulevicius@lvpa.lt</w:t>
              </w:r>
            </w:hyperlink>
            <w:r w:rsidRPr="004F08B3">
              <w:rPr>
                <w:rFonts w:ascii="Times New Roman" w:hAnsi="Times New Roman" w:cs="Times New Roman"/>
                <w:sz w:val="24"/>
                <w:szCs w:val="24"/>
              </w:rPr>
              <w:t>, tel. (8 5) 268 7411.</w:t>
            </w:r>
          </w:p>
          <w:p w14:paraId="2687B63B" w14:textId="77777777" w:rsidR="001161EE" w:rsidRPr="004F08B3" w:rsidRDefault="001161EE" w:rsidP="00116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6CB61" w14:textId="77777777" w:rsidR="001161EE" w:rsidRDefault="001161EE" w:rsidP="00925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LVPA </w:t>
            </w:r>
            <w:r w:rsidR="00D353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353C1" w:rsidRPr="00D353C1">
              <w:rPr>
                <w:rFonts w:ascii="Times New Roman" w:hAnsi="Times New Roman" w:cs="Times New Roman"/>
                <w:sz w:val="24"/>
                <w:szCs w:val="24"/>
              </w:rPr>
              <w:t>. e. p. Mokslo ir inovacijų projektų skyriaus vedėjas</w:t>
            </w:r>
            <w:r w:rsidR="00D353C1">
              <w:rPr>
                <w:rFonts w:ascii="Times New Roman" w:hAnsi="Times New Roman" w:cs="Times New Roman"/>
                <w:sz w:val="24"/>
                <w:szCs w:val="24"/>
              </w:rPr>
              <w:t xml:space="preserve"> Vytaras Tamašauskas</w:t>
            </w: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4" w:history="1">
              <w:r w:rsidR="00D353C1" w:rsidRPr="007169E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v.tamasauskas@lvpa.lt</w:t>
              </w:r>
            </w:hyperlink>
            <w:r w:rsidRPr="004F08B3">
              <w:rPr>
                <w:rFonts w:ascii="Times New Roman" w:hAnsi="Times New Roman" w:cs="Times New Roman"/>
                <w:sz w:val="24"/>
                <w:szCs w:val="24"/>
              </w:rPr>
              <w:t>, tel. (</w:t>
            </w:r>
            <w:r w:rsidRPr="00E756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 5) </w:t>
            </w:r>
            <w:r w:rsidR="003129F6" w:rsidRPr="003129F6">
              <w:rPr>
                <w:rFonts w:ascii="Times New Roman" w:hAnsi="Times New Roman" w:cs="Times New Roman"/>
                <w:sz w:val="24"/>
                <w:szCs w:val="24"/>
              </w:rPr>
              <w:t>203 4869</w:t>
            </w: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65951453" w14:textId="77777777" w:rsidR="00D41980" w:rsidRPr="004F08B3" w:rsidRDefault="00D41980" w:rsidP="00925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B2A2" w14:textId="4DA19078" w:rsidR="00D41980" w:rsidRDefault="00D41980" w:rsidP="00925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0">
              <w:rPr>
                <w:rFonts w:ascii="Times New Roman" w:hAnsi="Times New Roman" w:cs="Times New Roman"/>
                <w:sz w:val="24"/>
                <w:szCs w:val="24"/>
              </w:rPr>
              <w:t>LVPA Mokslo ir inovacijų projektų skyriaus</w:t>
            </w:r>
            <w:r w:rsidR="00D9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091">
              <w:rPr>
                <w:rFonts w:ascii="Times New Roman" w:hAnsi="Times New Roman" w:cs="Times New Roman"/>
                <w:sz w:val="24"/>
                <w:szCs w:val="24"/>
              </w:rPr>
              <w:t xml:space="preserve">vyresnioji </w:t>
            </w:r>
            <w:r w:rsidR="00D95332">
              <w:rPr>
                <w:rFonts w:ascii="Times New Roman" w:hAnsi="Times New Roman" w:cs="Times New Roman"/>
                <w:sz w:val="24"/>
                <w:szCs w:val="24"/>
              </w:rPr>
              <w:t>projektų vadovė</w:t>
            </w:r>
            <w:r w:rsidR="00326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091">
              <w:rPr>
                <w:rFonts w:ascii="Times New Roman" w:hAnsi="Times New Roman" w:cs="Times New Roman"/>
                <w:sz w:val="24"/>
                <w:szCs w:val="24"/>
              </w:rPr>
              <w:t>Jūratė Jakaitienė</w:t>
            </w:r>
            <w:r w:rsidRPr="00D41980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5" w:history="1">
              <w:r w:rsidR="006A1091" w:rsidRPr="006A109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j.jakaitiene@lvpa.lt</w:t>
              </w:r>
            </w:hyperlink>
            <w:r w:rsidRPr="00D41980">
              <w:rPr>
                <w:rFonts w:ascii="Times New Roman" w:hAnsi="Times New Roman" w:cs="Times New Roman"/>
                <w:sz w:val="24"/>
                <w:szCs w:val="24"/>
              </w:rPr>
              <w:t>, tel. (</w:t>
            </w:r>
            <w:r w:rsidRPr="00E756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1980">
              <w:rPr>
                <w:rFonts w:ascii="Times New Roman" w:hAnsi="Times New Roman" w:cs="Times New Roman"/>
                <w:sz w:val="24"/>
                <w:szCs w:val="24"/>
              </w:rPr>
              <w:t xml:space="preserve"> 5)</w:t>
            </w:r>
            <w:r w:rsidR="00E37E04">
              <w:t xml:space="preserve"> </w:t>
            </w:r>
            <w:r w:rsidR="006A1091" w:rsidRPr="006A1091">
              <w:rPr>
                <w:rFonts w:ascii="Times New Roman" w:hAnsi="Times New Roman" w:cs="Times New Roman"/>
                <w:sz w:val="24"/>
                <w:szCs w:val="24"/>
              </w:rPr>
              <w:t xml:space="preserve">  268 7413</w:t>
            </w:r>
            <w:r w:rsidRPr="00D4198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32C87119" w14:textId="77777777" w:rsidR="006A1091" w:rsidRDefault="006A1091" w:rsidP="00925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79FB4" w14:textId="345D4B02" w:rsidR="006A1091" w:rsidRPr="00F61545" w:rsidRDefault="006A1091" w:rsidP="00925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80">
              <w:rPr>
                <w:rFonts w:ascii="Times New Roman" w:hAnsi="Times New Roman" w:cs="Times New Roman"/>
                <w:sz w:val="24"/>
                <w:szCs w:val="24"/>
              </w:rPr>
              <w:t>LVPA Mokslo ir inovacijų projektų skyriaus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vyresnioji projektų vadovė Lina Mačiūnienė</w:t>
            </w:r>
            <w:r w:rsidR="00F61545">
              <w:rPr>
                <w:rFonts w:ascii="Times New Roman" w:hAnsi="Times New Roman" w:cs="Times New Roman"/>
                <w:sz w:val="24"/>
                <w:szCs w:val="24"/>
              </w:rPr>
              <w:t xml:space="preserve">, e. p. </w:t>
            </w:r>
            <w:hyperlink r:id="rId16" w:history="1">
              <w:r w:rsidR="00F61545" w:rsidRPr="00AB0B0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l.maciuniene</w:t>
              </w:r>
              <w:r w:rsidR="00F61545" w:rsidRPr="00AB0B08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F61545" w:rsidRPr="00AB0B0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lvpa.lt</w:t>
              </w:r>
            </w:hyperlink>
            <w:r w:rsidR="00F61545">
              <w:rPr>
                <w:rFonts w:ascii="Times New Roman" w:hAnsi="Times New Roman" w:cs="Times New Roman"/>
                <w:sz w:val="24"/>
                <w:szCs w:val="24"/>
              </w:rPr>
              <w:t xml:space="preserve">, tel. (8 5) </w:t>
            </w:r>
            <w:r w:rsidR="00F61545" w:rsidRPr="00F61545">
              <w:rPr>
                <w:rFonts w:ascii="Times New Roman" w:hAnsi="Times New Roman" w:cs="Times New Roman"/>
                <w:sz w:val="24"/>
                <w:szCs w:val="24"/>
              </w:rPr>
              <w:t>268 7420</w:t>
            </w:r>
            <w:r w:rsidR="00F615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86BBB4" w14:textId="77777777" w:rsidR="00D41980" w:rsidRPr="00D41980" w:rsidRDefault="00D41980" w:rsidP="00925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BD3D7" w14:textId="77777777" w:rsidR="001161EE" w:rsidRPr="004F08B3" w:rsidRDefault="001161EE" w:rsidP="0092509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F08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Bendraisiais klausimais:</w:t>
            </w:r>
          </w:p>
          <w:p w14:paraId="3A5AA4DD" w14:textId="77777777" w:rsidR="001161EE" w:rsidRPr="004F08B3" w:rsidRDefault="001161EE" w:rsidP="009250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vedėja Eglė Žemaitienė, el. p. </w:t>
            </w:r>
            <w:hyperlink r:id="rId17" w:history="1">
              <w:r w:rsidRPr="004F08B3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pt-BR"/>
                </w:rPr>
                <w:t>e.zemaitiene@lvpa.lt</w:t>
              </w:r>
            </w:hyperlink>
            <w:r w:rsidRPr="004F08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</w:p>
          <w:p w14:paraId="4273903F" w14:textId="77777777" w:rsidR="001161EE" w:rsidRPr="004F08B3" w:rsidRDefault="001161EE" w:rsidP="009250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F08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tel. (8 5) 210 9091.</w:t>
            </w:r>
          </w:p>
          <w:p w14:paraId="6671922F" w14:textId="77777777" w:rsidR="001161EE" w:rsidRPr="004F08B3" w:rsidRDefault="001161EE" w:rsidP="009250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E01F1FD" w14:textId="333A7A03" w:rsidR="001161EE" w:rsidRDefault="001161EE" w:rsidP="009250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8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LVPA Komunikacijos skyriaus vyresnioji informavimo specialistė Sigita Varsackytė, el. p. </w:t>
            </w:r>
            <w:hyperlink r:id="rId18" w:history="1">
              <w:r w:rsidRPr="004F08B3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s.varsackyte@lvpa.lt</w:t>
              </w:r>
            </w:hyperlink>
            <w:r w:rsidRPr="004F0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tel. (8 5) 203 4866.</w:t>
            </w:r>
          </w:p>
          <w:p w14:paraId="6567829B" w14:textId="14A503D3" w:rsidR="00E7632A" w:rsidRDefault="00E7632A" w:rsidP="009250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2C15C0" w14:textId="170F7F9B" w:rsidR="00E7632A" w:rsidRPr="00E42A02" w:rsidRDefault="00E7632A" w:rsidP="00925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Dėl </w:t>
            </w:r>
            <w:r w:rsidR="00045D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galimos pateikti </w:t>
            </w:r>
            <w:r w:rsidRPr="00CE61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ekspertinės išvados suteikimo konsultuoja</w:t>
            </w:r>
            <w:r w:rsidRPr="00E42A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F5B125" w14:textId="0ABC558D" w:rsidR="00CE61D2" w:rsidRDefault="00E7632A" w:rsidP="0092509B">
            <w:pPr>
              <w:jc w:val="both"/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  <w:r w:rsidRPr="00E42A02">
              <w:rPr>
                <w:rFonts w:ascii="Times New Roman" w:hAnsi="Times New Roman" w:cs="Times New Roman"/>
                <w:sz w:val="24"/>
                <w:szCs w:val="24"/>
              </w:rPr>
              <w:t xml:space="preserve">Mokslo, inovacijų ir technologijų agentūros Teisės, pirkimų ir vertinimo skyriaus vedėja </w:t>
            </w:r>
            <w:r w:rsidRPr="00E42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Domilė Lideikytė,</w:t>
            </w:r>
            <w:r w:rsidR="004B2D3C" w:rsidRPr="00E42A02">
              <w:rPr>
                <w:rFonts w:ascii="Times New Roman" w:hAnsi="Times New Roman" w:cs="Times New Roman"/>
                <w:sz w:val="24"/>
                <w:szCs w:val="24"/>
              </w:rPr>
              <w:t xml:space="preserve"> el. p. </w:t>
            </w:r>
            <w:hyperlink r:id="rId19" w:history="1">
              <w:r w:rsidR="00CE61D2" w:rsidRPr="00CE61D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domile.lideikyte@mita.lt</w:t>
              </w:r>
            </w:hyperlink>
            <w:r w:rsidR="00E42A02" w:rsidRPr="00E42A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61D2" w:rsidRPr="00E42A02">
              <w:rPr>
                <w:rFonts w:ascii="Times New Roman" w:hAnsi="Times New Roman" w:cs="Times New Roman"/>
                <w:sz w:val="24"/>
                <w:szCs w:val="24"/>
              </w:rPr>
              <w:t xml:space="preserve"> tel. (8 5) 264 4706</w:t>
            </w:r>
            <w:r w:rsidR="00CE61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AC790B" w14:textId="2D2DAC03" w:rsidR="00E7632A" w:rsidRPr="00E42A02" w:rsidRDefault="00E7632A" w:rsidP="00925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8BF76C" w14:textId="77777777" w:rsidR="0060398F" w:rsidRPr="009C5BEE" w:rsidRDefault="00E7632A" w:rsidP="009250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A02">
              <w:rPr>
                <w:rFonts w:ascii="Times New Roman" w:hAnsi="Times New Roman" w:cs="Times New Roman"/>
                <w:sz w:val="24"/>
                <w:szCs w:val="24"/>
              </w:rPr>
              <w:t xml:space="preserve">Lietuvos mokslo tarybos </w:t>
            </w:r>
            <w:r w:rsidR="00972371" w:rsidRPr="00E42A02">
              <w:rPr>
                <w:rFonts w:ascii="Times New Roman" w:hAnsi="Times New Roman" w:cs="Times New Roman"/>
                <w:sz w:val="24"/>
                <w:szCs w:val="24"/>
              </w:rPr>
              <w:t xml:space="preserve">Mokslo fondo direktorė Aušra Vilutienė, </w:t>
            </w:r>
            <w:r w:rsidR="00972371" w:rsidRPr="00E4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el.</w:t>
            </w:r>
            <w:r w:rsidR="00E42A02" w:rsidRPr="00E4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2371" w:rsidRPr="00E4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</w:t>
            </w:r>
            <w:r w:rsidR="00E42A02" w:rsidRPr="00E42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" w:history="1">
              <w:r w:rsidR="00585D80" w:rsidRPr="000A1BE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ausra.vilutiene@lmt.lt</w:t>
              </w:r>
            </w:hyperlink>
            <w:r w:rsidR="00585D80" w:rsidRPr="009C5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tel. (8 5) 261 1009.</w:t>
            </w:r>
          </w:p>
          <w:p w14:paraId="1BAD3361" w14:textId="60375A31" w:rsidR="00585D80" w:rsidRPr="00E42A02" w:rsidRDefault="00585D80" w:rsidP="00585D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98F" w:rsidRPr="00067B16" w14:paraId="795FA810" w14:textId="77777777" w:rsidTr="00DD0465">
        <w:trPr>
          <w:trHeight w:val="271"/>
        </w:trPr>
        <w:tc>
          <w:tcPr>
            <w:tcW w:w="4535" w:type="dxa"/>
          </w:tcPr>
          <w:p w14:paraId="28F48E7C" w14:textId="029FBA1D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</w:tc>
        <w:tc>
          <w:tcPr>
            <w:tcW w:w="4816" w:type="dxa"/>
          </w:tcPr>
          <w:p w14:paraId="490AFFDE" w14:textId="77777777" w:rsidR="0060398F" w:rsidRPr="00563026" w:rsidRDefault="0010665A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0398F" w:rsidRPr="0076068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="0060398F" w:rsidRPr="0056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06B2CD" w14:textId="77777777" w:rsidR="0060398F" w:rsidRPr="0056302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436F" w14:textId="77777777" w:rsidR="0060398F" w:rsidRDefault="0010665A" w:rsidP="007F357C">
            <w:pPr>
              <w:rPr>
                <w:rFonts w:ascii="Times New Roman" w:hAnsi="Times New Roman" w:cs="Times New Roman"/>
              </w:rPr>
            </w:pPr>
            <w:hyperlink r:id="rId22" w:history="1">
              <w:r w:rsidR="0060398F" w:rsidRPr="0056302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http://ukmin.lrv.lt/lt/veiklos-sritys/es-parama-1/2014-2020-m/2014-2020m-galiojantys-kvietimai</w:t>
              </w:r>
            </w:hyperlink>
            <w:r w:rsidR="0060398F">
              <w:rPr>
                <w:rFonts w:ascii="Times New Roman" w:hAnsi="Times New Roman" w:cs="Times New Roman"/>
              </w:rPr>
              <w:t xml:space="preserve"> </w:t>
            </w:r>
          </w:p>
          <w:p w14:paraId="2D55AE73" w14:textId="77777777" w:rsidR="00CB6B0A" w:rsidRDefault="00CB6B0A" w:rsidP="007F357C">
            <w:pPr>
              <w:rPr>
                <w:rFonts w:ascii="Times New Roman" w:hAnsi="Times New Roman" w:cs="Times New Roman"/>
              </w:rPr>
            </w:pPr>
          </w:p>
          <w:p w14:paraId="4B12434D" w14:textId="77777777" w:rsidR="00CB6B0A" w:rsidRPr="002B0D80" w:rsidRDefault="004B1665" w:rsidP="007F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B6B0A" w:rsidRPr="002B0D8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http://lvpa.lt/lt/inovaciju-priemones</w:t>
              </w:r>
            </w:hyperlink>
          </w:p>
          <w:p w14:paraId="16ACAC6E" w14:textId="77777777" w:rsidR="00CB6B0A" w:rsidRPr="00094F70" w:rsidRDefault="00CB6B0A" w:rsidP="007F357C">
            <w:pPr>
              <w:rPr>
                <w:rFonts w:ascii="Times New Roman" w:hAnsi="Times New Roman" w:cs="Times New Roman"/>
              </w:rPr>
            </w:pPr>
          </w:p>
        </w:tc>
      </w:tr>
    </w:tbl>
    <w:p w14:paraId="65BF5F2D" w14:textId="77777777" w:rsidR="0055013B" w:rsidRPr="007D52FB" w:rsidRDefault="0055013B" w:rsidP="00F34C79">
      <w:pPr>
        <w:rPr>
          <w:rFonts w:ascii="Times New Roman" w:hAnsi="Times New Roman" w:cs="Times New Roman"/>
        </w:rPr>
      </w:pPr>
    </w:p>
    <w:sectPr w:rsidR="0055013B" w:rsidRPr="007D52FB" w:rsidSect="00377E3B">
      <w:headerReference w:type="default" r:id="rId24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64608" w14:textId="77777777" w:rsidR="0010665A" w:rsidRDefault="0010665A" w:rsidP="0039439E">
      <w:pPr>
        <w:spacing w:after="0" w:line="240" w:lineRule="auto"/>
      </w:pPr>
      <w:r>
        <w:separator/>
      </w:r>
    </w:p>
  </w:endnote>
  <w:endnote w:type="continuationSeparator" w:id="0">
    <w:p w14:paraId="2F27ED7B" w14:textId="77777777" w:rsidR="0010665A" w:rsidRDefault="0010665A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8CF17" w14:textId="77777777" w:rsidR="0010665A" w:rsidRDefault="0010665A" w:rsidP="0039439E">
      <w:pPr>
        <w:spacing w:after="0" w:line="240" w:lineRule="auto"/>
      </w:pPr>
      <w:r>
        <w:separator/>
      </w:r>
    </w:p>
  </w:footnote>
  <w:footnote w:type="continuationSeparator" w:id="0">
    <w:p w14:paraId="292ACB01" w14:textId="77777777" w:rsidR="0010665A" w:rsidRDefault="0010665A" w:rsidP="0039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970537"/>
      <w:docPartObj>
        <w:docPartGallery w:val="Page Numbers (Top of Page)"/>
        <w:docPartUnique/>
      </w:docPartObj>
    </w:sdtPr>
    <w:sdtEndPr/>
    <w:sdtContent>
      <w:p w14:paraId="1B2188AD" w14:textId="05EA44FA" w:rsidR="0005365E" w:rsidRDefault="000536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D80">
          <w:rPr>
            <w:noProof/>
          </w:rPr>
          <w:t>2</w:t>
        </w:r>
        <w:r>
          <w:fldChar w:fldCharType="end"/>
        </w:r>
      </w:p>
    </w:sdtContent>
  </w:sdt>
  <w:p w14:paraId="70851356" w14:textId="77777777" w:rsidR="0005365E" w:rsidRDefault="000536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5AB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6D0105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0F35DD"/>
    <w:multiLevelType w:val="multilevel"/>
    <w:tmpl w:val="4B78B4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215C1B"/>
    <w:multiLevelType w:val="hybridMultilevel"/>
    <w:tmpl w:val="7D9EB1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8320B0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C1694A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04E8A"/>
    <w:rsid w:val="00011C71"/>
    <w:rsid w:val="00016E09"/>
    <w:rsid w:val="0002414A"/>
    <w:rsid w:val="00026070"/>
    <w:rsid w:val="000279C4"/>
    <w:rsid w:val="000323D7"/>
    <w:rsid w:val="000347E8"/>
    <w:rsid w:val="0004312E"/>
    <w:rsid w:val="00045D56"/>
    <w:rsid w:val="0005295F"/>
    <w:rsid w:val="0005365E"/>
    <w:rsid w:val="00054C3E"/>
    <w:rsid w:val="000621D0"/>
    <w:rsid w:val="00062C3A"/>
    <w:rsid w:val="000649C8"/>
    <w:rsid w:val="00067B16"/>
    <w:rsid w:val="0007387F"/>
    <w:rsid w:val="00073C00"/>
    <w:rsid w:val="0007457F"/>
    <w:rsid w:val="00080BB6"/>
    <w:rsid w:val="00083357"/>
    <w:rsid w:val="00086E14"/>
    <w:rsid w:val="00094F70"/>
    <w:rsid w:val="000A5DA8"/>
    <w:rsid w:val="000B11C4"/>
    <w:rsid w:val="000B1711"/>
    <w:rsid w:val="000B36E8"/>
    <w:rsid w:val="000B546A"/>
    <w:rsid w:val="000C45EC"/>
    <w:rsid w:val="000C5123"/>
    <w:rsid w:val="000D071C"/>
    <w:rsid w:val="000E01B1"/>
    <w:rsid w:val="000E08D2"/>
    <w:rsid w:val="000E1271"/>
    <w:rsid w:val="000E78ED"/>
    <w:rsid w:val="000F20D9"/>
    <w:rsid w:val="000F275A"/>
    <w:rsid w:val="000F5260"/>
    <w:rsid w:val="0010178B"/>
    <w:rsid w:val="001020CD"/>
    <w:rsid w:val="0010401C"/>
    <w:rsid w:val="00104F84"/>
    <w:rsid w:val="0010640C"/>
    <w:rsid w:val="0010665A"/>
    <w:rsid w:val="00112E32"/>
    <w:rsid w:val="00112F7C"/>
    <w:rsid w:val="00114B9A"/>
    <w:rsid w:val="001161EE"/>
    <w:rsid w:val="00125809"/>
    <w:rsid w:val="00125A0A"/>
    <w:rsid w:val="00130B38"/>
    <w:rsid w:val="001362DC"/>
    <w:rsid w:val="001511D7"/>
    <w:rsid w:val="0015223E"/>
    <w:rsid w:val="001528B4"/>
    <w:rsid w:val="00154F3F"/>
    <w:rsid w:val="00160AB7"/>
    <w:rsid w:val="0016182C"/>
    <w:rsid w:val="001623F6"/>
    <w:rsid w:val="0016703D"/>
    <w:rsid w:val="001730FD"/>
    <w:rsid w:val="0017428F"/>
    <w:rsid w:val="001861D8"/>
    <w:rsid w:val="001869D8"/>
    <w:rsid w:val="00196A1E"/>
    <w:rsid w:val="001B2F57"/>
    <w:rsid w:val="001B6BA0"/>
    <w:rsid w:val="001C50A1"/>
    <w:rsid w:val="001C6A7C"/>
    <w:rsid w:val="001D2AF1"/>
    <w:rsid w:val="001D3AD9"/>
    <w:rsid w:val="001E4755"/>
    <w:rsid w:val="001E4BF2"/>
    <w:rsid w:val="001E7D8D"/>
    <w:rsid w:val="001F0916"/>
    <w:rsid w:val="001F10FF"/>
    <w:rsid w:val="001F2C65"/>
    <w:rsid w:val="001F6041"/>
    <w:rsid w:val="0020694A"/>
    <w:rsid w:val="00207474"/>
    <w:rsid w:val="00213DA4"/>
    <w:rsid w:val="00214507"/>
    <w:rsid w:val="00222717"/>
    <w:rsid w:val="00222A91"/>
    <w:rsid w:val="00225697"/>
    <w:rsid w:val="00226500"/>
    <w:rsid w:val="00241456"/>
    <w:rsid w:val="00242A17"/>
    <w:rsid w:val="00246E71"/>
    <w:rsid w:val="00252A14"/>
    <w:rsid w:val="00260644"/>
    <w:rsid w:val="002622CA"/>
    <w:rsid w:val="002642AF"/>
    <w:rsid w:val="00276880"/>
    <w:rsid w:val="0028256E"/>
    <w:rsid w:val="00284E59"/>
    <w:rsid w:val="00295CFA"/>
    <w:rsid w:val="00296D70"/>
    <w:rsid w:val="002A1851"/>
    <w:rsid w:val="002A54E7"/>
    <w:rsid w:val="002A6EF9"/>
    <w:rsid w:val="002B0684"/>
    <w:rsid w:val="002B0D80"/>
    <w:rsid w:val="002B3A0A"/>
    <w:rsid w:val="002B68A1"/>
    <w:rsid w:val="002C25B2"/>
    <w:rsid w:val="002C5F9F"/>
    <w:rsid w:val="002D490B"/>
    <w:rsid w:val="002D4CF1"/>
    <w:rsid w:val="002E1AD2"/>
    <w:rsid w:val="002E62A4"/>
    <w:rsid w:val="002E69E6"/>
    <w:rsid w:val="002F7369"/>
    <w:rsid w:val="003129F6"/>
    <w:rsid w:val="0031463A"/>
    <w:rsid w:val="0031724A"/>
    <w:rsid w:val="003266B1"/>
    <w:rsid w:val="00326C8A"/>
    <w:rsid w:val="00334AF2"/>
    <w:rsid w:val="00334ED6"/>
    <w:rsid w:val="003359D2"/>
    <w:rsid w:val="00336877"/>
    <w:rsid w:val="00350C69"/>
    <w:rsid w:val="003510BA"/>
    <w:rsid w:val="00351333"/>
    <w:rsid w:val="00355300"/>
    <w:rsid w:val="00362FE9"/>
    <w:rsid w:val="003673A5"/>
    <w:rsid w:val="00370DB6"/>
    <w:rsid w:val="00372C9C"/>
    <w:rsid w:val="00374683"/>
    <w:rsid w:val="00377E3B"/>
    <w:rsid w:val="003815C2"/>
    <w:rsid w:val="00381AB0"/>
    <w:rsid w:val="00382137"/>
    <w:rsid w:val="00390735"/>
    <w:rsid w:val="0039439E"/>
    <w:rsid w:val="003A4AD5"/>
    <w:rsid w:val="003B51BA"/>
    <w:rsid w:val="003B79DC"/>
    <w:rsid w:val="003C0ABF"/>
    <w:rsid w:val="003D6123"/>
    <w:rsid w:val="003D7683"/>
    <w:rsid w:val="003D78DA"/>
    <w:rsid w:val="003E0323"/>
    <w:rsid w:val="003E0927"/>
    <w:rsid w:val="003E65FE"/>
    <w:rsid w:val="003F130D"/>
    <w:rsid w:val="003F21E6"/>
    <w:rsid w:val="003F3603"/>
    <w:rsid w:val="003F4E68"/>
    <w:rsid w:val="00404A23"/>
    <w:rsid w:val="00405443"/>
    <w:rsid w:val="0040769E"/>
    <w:rsid w:val="00410506"/>
    <w:rsid w:val="00431DAB"/>
    <w:rsid w:val="0043248F"/>
    <w:rsid w:val="004328A8"/>
    <w:rsid w:val="004405CB"/>
    <w:rsid w:val="00443E4A"/>
    <w:rsid w:val="00444F58"/>
    <w:rsid w:val="0045496D"/>
    <w:rsid w:val="00462073"/>
    <w:rsid w:val="00464C75"/>
    <w:rsid w:val="00467F32"/>
    <w:rsid w:val="00471082"/>
    <w:rsid w:val="0047552E"/>
    <w:rsid w:val="00483635"/>
    <w:rsid w:val="00485DFB"/>
    <w:rsid w:val="00490B21"/>
    <w:rsid w:val="00492B17"/>
    <w:rsid w:val="004A16E8"/>
    <w:rsid w:val="004A47A4"/>
    <w:rsid w:val="004B12B1"/>
    <w:rsid w:val="004B1665"/>
    <w:rsid w:val="004B2D3C"/>
    <w:rsid w:val="004B59E4"/>
    <w:rsid w:val="004C2B59"/>
    <w:rsid w:val="004C3756"/>
    <w:rsid w:val="004D5DF9"/>
    <w:rsid w:val="004D5E53"/>
    <w:rsid w:val="004E3165"/>
    <w:rsid w:val="004E76DD"/>
    <w:rsid w:val="004E7A87"/>
    <w:rsid w:val="004F5E3A"/>
    <w:rsid w:val="005029E8"/>
    <w:rsid w:val="005124A8"/>
    <w:rsid w:val="00523737"/>
    <w:rsid w:val="00527292"/>
    <w:rsid w:val="005364E0"/>
    <w:rsid w:val="0054495C"/>
    <w:rsid w:val="0055013B"/>
    <w:rsid w:val="00566E39"/>
    <w:rsid w:val="005723CE"/>
    <w:rsid w:val="0057453F"/>
    <w:rsid w:val="005746F6"/>
    <w:rsid w:val="00585D80"/>
    <w:rsid w:val="00590003"/>
    <w:rsid w:val="00594066"/>
    <w:rsid w:val="0059692C"/>
    <w:rsid w:val="005A0425"/>
    <w:rsid w:val="005A73DF"/>
    <w:rsid w:val="005B1AD9"/>
    <w:rsid w:val="005B474B"/>
    <w:rsid w:val="005C76B3"/>
    <w:rsid w:val="005D1B0B"/>
    <w:rsid w:val="005D2148"/>
    <w:rsid w:val="005D3F75"/>
    <w:rsid w:val="005F1C01"/>
    <w:rsid w:val="006005E6"/>
    <w:rsid w:val="00602372"/>
    <w:rsid w:val="0060398F"/>
    <w:rsid w:val="00603C67"/>
    <w:rsid w:val="006069C0"/>
    <w:rsid w:val="00613170"/>
    <w:rsid w:val="00617C70"/>
    <w:rsid w:val="00632DB6"/>
    <w:rsid w:val="00633B34"/>
    <w:rsid w:val="0063777E"/>
    <w:rsid w:val="0064463F"/>
    <w:rsid w:val="00644A0F"/>
    <w:rsid w:val="00645733"/>
    <w:rsid w:val="006461E5"/>
    <w:rsid w:val="0065268B"/>
    <w:rsid w:val="006537A6"/>
    <w:rsid w:val="00673BCE"/>
    <w:rsid w:val="00682BE6"/>
    <w:rsid w:val="0069119C"/>
    <w:rsid w:val="0069129D"/>
    <w:rsid w:val="00692C8D"/>
    <w:rsid w:val="006A00FC"/>
    <w:rsid w:val="006A0537"/>
    <w:rsid w:val="006A0F73"/>
    <w:rsid w:val="006A1091"/>
    <w:rsid w:val="006A194C"/>
    <w:rsid w:val="006B078B"/>
    <w:rsid w:val="006D69F5"/>
    <w:rsid w:val="006D74B7"/>
    <w:rsid w:val="006D7B05"/>
    <w:rsid w:val="006E0054"/>
    <w:rsid w:val="006F1768"/>
    <w:rsid w:val="006F2C4F"/>
    <w:rsid w:val="006F342F"/>
    <w:rsid w:val="006F3C1B"/>
    <w:rsid w:val="006F52FC"/>
    <w:rsid w:val="00702322"/>
    <w:rsid w:val="0071296A"/>
    <w:rsid w:val="00724B0F"/>
    <w:rsid w:val="00726039"/>
    <w:rsid w:val="0073341B"/>
    <w:rsid w:val="007434D5"/>
    <w:rsid w:val="00743DB5"/>
    <w:rsid w:val="00745D29"/>
    <w:rsid w:val="0076698C"/>
    <w:rsid w:val="007726DF"/>
    <w:rsid w:val="00782F76"/>
    <w:rsid w:val="00787614"/>
    <w:rsid w:val="00796250"/>
    <w:rsid w:val="007B12C4"/>
    <w:rsid w:val="007B4C74"/>
    <w:rsid w:val="007B67B1"/>
    <w:rsid w:val="007B7FBE"/>
    <w:rsid w:val="007C2FAA"/>
    <w:rsid w:val="007D1FE2"/>
    <w:rsid w:val="007D4D4A"/>
    <w:rsid w:val="007D5068"/>
    <w:rsid w:val="007D52FB"/>
    <w:rsid w:val="007E3515"/>
    <w:rsid w:val="007E3BA3"/>
    <w:rsid w:val="007E7ECD"/>
    <w:rsid w:val="007F357C"/>
    <w:rsid w:val="007F6BCA"/>
    <w:rsid w:val="00807E26"/>
    <w:rsid w:val="00820C99"/>
    <w:rsid w:val="0082537B"/>
    <w:rsid w:val="00826566"/>
    <w:rsid w:val="00826D46"/>
    <w:rsid w:val="008336EF"/>
    <w:rsid w:val="008379FF"/>
    <w:rsid w:val="00845137"/>
    <w:rsid w:val="00851B01"/>
    <w:rsid w:val="008633DE"/>
    <w:rsid w:val="00863CDE"/>
    <w:rsid w:val="00874232"/>
    <w:rsid w:val="008773C4"/>
    <w:rsid w:val="00883125"/>
    <w:rsid w:val="00887B4A"/>
    <w:rsid w:val="00887EFF"/>
    <w:rsid w:val="008A096F"/>
    <w:rsid w:val="008A129C"/>
    <w:rsid w:val="008B151D"/>
    <w:rsid w:val="008B7BCA"/>
    <w:rsid w:val="008C114A"/>
    <w:rsid w:val="008D11E5"/>
    <w:rsid w:val="008E1270"/>
    <w:rsid w:val="008E23C3"/>
    <w:rsid w:val="008E2C35"/>
    <w:rsid w:val="008E41A8"/>
    <w:rsid w:val="008E4CB6"/>
    <w:rsid w:val="008E7B67"/>
    <w:rsid w:val="008F285C"/>
    <w:rsid w:val="008F3CCC"/>
    <w:rsid w:val="00911AED"/>
    <w:rsid w:val="00911F50"/>
    <w:rsid w:val="00912E4F"/>
    <w:rsid w:val="00913B9D"/>
    <w:rsid w:val="0092367A"/>
    <w:rsid w:val="0092509B"/>
    <w:rsid w:val="00926030"/>
    <w:rsid w:val="0094300F"/>
    <w:rsid w:val="009432D5"/>
    <w:rsid w:val="00943DF9"/>
    <w:rsid w:val="00951E73"/>
    <w:rsid w:val="00960228"/>
    <w:rsid w:val="00962255"/>
    <w:rsid w:val="00965B0C"/>
    <w:rsid w:val="009707D6"/>
    <w:rsid w:val="00972371"/>
    <w:rsid w:val="00972755"/>
    <w:rsid w:val="00983DC7"/>
    <w:rsid w:val="0098653C"/>
    <w:rsid w:val="00991083"/>
    <w:rsid w:val="00992423"/>
    <w:rsid w:val="00992AC6"/>
    <w:rsid w:val="00996637"/>
    <w:rsid w:val="009A1E4E"/>
    <w:rsid w:val="009A3504"/>
    <w:rsid w:val="009A4A1F"/>
    <w:rsid w:val="009B11CD"/>
    <w:rsid w:val="009B1BF2"/>
    <w:rsid w:val="009B2F4C"/>
    <w:rsid w:val="009C3D40"/>
    <w:rsid w:val="009C5BEE"/>
    <w:rsid w:val="009D6071"/>
    <w:rsid w:val="009D6EC9"/>
    <w:rsid w:val="009D7186"/>
    <w:rsid w:val="009E41FF"/>
    <w:rsid w:val="009F5360"/>
    <w:rsid w:val="00A00704"/>
    <w:rsid w:val="00A067C1"/>
    <w:rsid w:val="00A22479"/>
    <w:rsid w:val="00A23E55"/>
    <w:rsid w:val="00A26EDF"/>
    <w:rsid w:val="00A3264A"/>
    <w:rsid w:val="00A34F18"/>
    <w:rsid w:val="00A437D8"/>
    <w:rsid w:val="00A44D8C"/>
    <w:rsid w:val="00A54D07"/>
    <w:rsid w:val="00A6032E"/>
    <w:rsid w:val="00A61D91"/>
    <w:rsid w:val="00A63ADF"/>
    <w:rsid w:val="00A666FE"/>
    <w:rsid w:val="00A66AB6"/>
    <w:rsid w:val="00A703A7"/>
    <w:rsid w:val="00A77AC2"/>
    <w:rsid w:val="00A9208D"/>
    <w:rsid w:val="00A967D9"/>
    <w:rsid w:val="00A97206"/>
    <w:rsid w:val="00AA05EF"/>
    <w:rsid w:val="00AA50BC"/>
    <w:rsid w:val="00AA5EB6"/>
    <w:rsid w:val="00AC3643"/>
    <w:rsid w:val="00AC3818"/>
    <w:rsid w:val="00AC3B8A"/>
    <w:rsid w:val="00AC4324"/>
    <w:rsid w:val="00AC6E16"/>
    <w:rsid w:val="00AD4D76"/>
    <w:rsid w:val="00AD7F56"/>
    <w:rsid w:val="00AE7AFB"/>
    <w:rsid w:val="00AF53D1"/>
    <w:rsid w:val="00B02077"/>
    <w:rsid w:val="00B10000"/>
    <w:rsid w:val="00B1633E"/>
    <w:rsid w:val="00B24D93"/>
    <w:rsid w:val="00B259D1"/>
    <w:rsid w:val="00B25EA9"/>
    <w:rsid w:val="00B318F8"/>
    <w:rsid w:val="00B42FF4"/>
    <w:rsid w:val="00B447D4"/>
    <w:rsid w:val="00B52B23"/>
    <w:rsid w:val="00B614D8"/>
    <w:rsid w:val="00B64206"/>
    <w:rsid w:val="00B67CD1"/>
    <w:rsid w:val="00B8007A"/>
    <w:rsid w:val="00B84A20"/>
    <w:rsid w:val="00B85A62"/>
    <w:rsid w:val="00B87033"/>
    <w:rsid w:val="00BA0C58"/>
    <w:rsid w:val="00BA15D8"/>
    <w:rsid w:val="00BA459F"/>
    <w:rsid w:val="00BA77E1"/>
    <w:rsid w:val="00BB2CEF"/>
    <w:rsid w:val="00BB311A"/>
    <w:rsid w:val="00BC0EB1"/>
    <w:rsid w:val="00BC66AE"/>
    <w:rsid w:val="00BC69A1"/>
    <w:rsid w:val="00BD0CF7"/>
    <w:rsid w:val="00BD2AFF"/>
    <w:rsid w:val="00BD689D"/>
    <w:rsid w:val="00BE213A"/>
    <w:rsid w:val="00BE4194"/>
    <w:rsid w:val="00BF1C03"/>
    <w:rsid w:val="00BF54E0"/>
    <w:rsid w:val="00C05051"/>
    <w:rsid w:val="00C06C85"/>
    <w:rsid w:val="00C07CC1"/>
    <w:rsid w:val="00C11131"/>
    <w:rsid w:val="00C13595"/>
    <w:rsid w:val="00C1392A"/>
    <w:rsid w:val="00C15315"/>
    <w:rsid w:val="00C16ADB"/>
    <w:rsid w:val="00C20E74"/>
    <w:rsid w:val="00C20FE0"/>
    <w:rsid w:val="00C30DD4"/>
    <w:rsid w:val="00C336EE"/>
    <w:rsid w:val="00C4528C"/>
    <w:rsid w:val="00C458C7"/>
    <w:rsid w:val="00C54E49"/>
    <w:rsid w:val="00C63770"/>
    <w:rsid w:val="00C800F7"/>
    <w:rsid w:val="00C86974"/>
    <w:rsid w:val="00CA0359"/>
    <w:rsid w:val="00CB44CD"/>
    <w:rsid w:val="00CB6B0A"/>
    <w:rsid w:val="00CC484A"/>
    <w:rsid w:val="00CE61D2"/>
    <w:rsid w:val="00CE6551"/>
    <w:rsid w:val="00CF2B71"/>
    <w:rsid w:val="00CF6934"/>
    <w:rsid w:val="00CF71F6"/>
    <w:rsid w:val="00D0100B"/>
    <w:rsid w:val="00D039E5"/>
    <w:rsid w:val="00D06A15"/>
    <w:rsid w:val="00D1310F"/>
    <w:rsid w:val="00D147F5"/>
    <w:rsid w:val="00D14D15"/>
    <w:rsid w:val="00D158FF"/>
    <w:rsid w:val="00D176B2"/>
    <w:rsid w:val="00D2230D"/>
    <w:rsid w:val="00D274E9"/>
    <w:rsid w:val="00D353C1"/>
    <w:rsid w:val="00D37B95"/>
    <w:rsid w:val="00D37E4A"/>
    <w:rsid w:val="00D41980"/>
    <w:rsid w:val="00D504C6"/>
    <w:rsid w:val="00D52B7F"/>
    <w:rsid w:val="00D71E42"/>
    <w:rsid w:val="00D75233"/>
    <w:rsid w:val="00D82726"/>
    <w:rsid w:val="00D83759"/>
    <w:rsid w:val="00D92BF6"/>
    <w:rsid w:val="00D95332"/>
    <w:rsid w:val="00DA1DA2"/>
    <w:rsid w:val="00DB0BAD"/>
    <w:rsid w:val="00DB206A"/>
    <w:rsid w:val="00DC3C70"/>
    <w:rsid w:val="00DD0465"/>
    <w:rsid w:val="00DD0726"/>
    <w:rsid w:val="00DD5E0B"/>
    <w:rsid w:val="00DD770F"/>
    <w:rsid w:val="00DE5318"/>
    <w:rsid w:val="00DE6016"/>
    <w:rsid w:val="00DE6ED1"/>
    <w:rsid w:val="00DF0ED1"/>
    <w:rsid w:val="00DF1DFA"/>
    <w:rsid w:val="00DF3CBD"/>
    <w:rsid w:val="00DF69F8"/>
    <w:rsid w:val="00E01724"/>
    <w:rsid w:val="00E14742"/>
    <w:rsid w:val="00E16CCD"/>
    <w:rsid w:val="00E20087"/>
    <w:rsid w:val="00E30A6A"/>
    <w:rsid w:val="00E37E04"/>
    <w:rsid w:val="00E410EE"/>
    <w:rsid w:val="00E42A02"/>
    <w:rsid w:val="00E441E2"/>
    <w:rsid w:val="00E45ED7"/>
    <w:rsid w:val="00E51BE7"/>
    <w:rsid w:val="00E64A6D"/>
    <w:rsid w:val="00E65D4D"/>
    <w:rsid w:val="00E756B5"/>
    <w:rsid w:val="00E7632A"/>
    <w:rsid w:val="00E771AB"/>
    <w:rsid w:val="00E776C5"/>
    <w:rsid w:val="00E83C33"/>
    <w:rsid w:val="00E9047F"/>
    <w:rsid w:val="00E960DE"/>
    <w:rsid w:val="00E97C9C"/>
    <w:rsid w:val="00EA44F0"/>
    <w:rsid w:val="00EA4F4D"/>
    <w:rsid w:val="00EA680C"/>
    <w:rsid w:val="00ED6836"/>
    <w:rsid w:val="00EE10C9"/>
    <w:rsid w:val="00EE1B8B"/>
    <w:rsid w:val="00EE4ED2"/>
    <w:rsid w:val="00EF2642"/>
    <w:rsid w:val="00EF3E98"/>
    <w:rsid w:val="00EF40B8"/>
    <w:rsid w:val="00EF721B"/>
    <w:rsid w:val="00F148A6"/>
    <w:rsid w:val="00F16FDC"/>
    <w:rsid w:val="00F20421"/>
    <w:rsid w:val="00F210BA"/>
    <w:rsid w:val="00F26501"/>
    <w:rsid w:val="00F34C79"/>
    <w:rsid w:val="00F34D0E"/>
    <w:rsid w:val="00F37696"/>
    <w:rsid w:val="00F442AD"/>
    <w:rsid w:val="00F445DC"/>
    <w:rsid w:val="00F45A7F"/>
    <w:rsid w:val="00F47D86"/>
    <w:rsid w:val="00F54007"/>
    <w:rsid w:val="00F61545"/>
    <w:rsid w:val="00F62F67"/>
    <w:rsid w:val="00F726EE"/>
    <w:rsid w:val="00F74F60"/>
    <w:rsid w:val="00F90F07"/>
    <w:rsid w:val="00F94CB1"/>
    <w:rsid w:val="00FA2952"/>
    <w:rsid w:val="00FB06A4"/>
    <w:rsid w:val="00FC30FA"/>
    <w:rsid w:val="00FC3E8C"/>
    <w:rsid w:val="00FD2D71"/>
    <w:rsid w:val="00FD72CC"/>
    <w:rsid w:val="00FE0170"/>
    <w:rsid w:val="00FE19BA"/>
    <w:rsid w:val="00FE25CB"/>
    <w:rsid w:val="00FE6C2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5F74"/>
  <w15:docId w15:val="{B8A49CBB-0620-4F13-A894-9A952C32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223E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E3B"/>
  </w:style>
  <w:style w:type="paragraph" w:styleId="Porat">
    <w:name w:val="footer"/>
    <w:basedOn w:val="prastasis"/>
    <w:link w:val="Porat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E3B"/>
  </w:style>
  <w:style w:type="character" w:styleId="Perirtashipersaitas">
    <w:name w:val="FollowedHyperlink"/>
    <w:basedOn w:val="Numatytasispastraiposriftas"/>
    <w:uiPriority w:val="99"/>
    <w:semiHidden/>
    <w:unhideWhenUsed/>
    <w:rsid w:val="004C2B59"/>
    <w:rPr>
      <w:color w:val="800080" w:themeColor="followedHyperlink"/>
      <w:u w:val="single"/>
    </w:rPr>
  </w:style>
  <w:style w:type="paragraph" w:customStyle="1" w:styleId="Default">
    <w:name w:val="Default"/>
    <w:rsid w:val="00471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.petrulevicius@lvpa.lt" TargetMode="External"/><Relationship Id="rId18" Type="http://schemas.openxmlformats.org/officeDocument/2006/relationships/hyperlink" Target="mailto:s.varsackyte@lvpa.l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sinvesticijos.lt/paskelbti_kvietima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vpa.lt/lt/mus-rasite" TargetMode="External"/><Relationship Id="rId17" Type="http://schemas.openxmlformats.org/officeDocument/2006/relationships/hyperlink" Target="mailto:e.zemaitiene@lvpa.l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.maciuniene@lvpa.lt" TargetMode="External"/><Relationship Id="rId20" Type="http://schemas.openxmlformats.org/officeDocument/2006/relationships/hyperlink" Target="mailto:ausra.vilutiene@lmt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kumentai@lvpa.lt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j.jakaitiene@lvpa.lt" TargetMode="External"/><Relationship Id="rId23" Type="http://schemas.openxmlformats.org/officeDocument/2006/relationships/hyperlink" Target="http://lvpa.lt/lt/inovaciju-priemones" TargetMode="External"/><Relationship Id="rId10" Type="http://schemas.openxmlformats.org/officeDocument/2006/relationships/hyperlink" Target="mailto:dokumentai@lvpa.lt" TargetMode="External"/><Relationship Id="rId19" Type="http://schemas.openxmlformats.org/officeDocument/2006/relationships/hyperlink" Target="mailto:domile.lideikyte@mit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vpa.lt/lt/naujienos/intelektas.-bendri-verslo-mokslo-projektai-pirmojo-etapo-vertinimo-pabaigos-rezultatai-528" TargetMode="External"/><Relationship Id="rId14" Type="http://schemas.openxmlformats.org/officeDocument/2006/relationships/hyperlink" Target="mailto:v.tamasauskas@lvpa.lt" TargetMode="External"/><Relationship Id="rId22" Type="http://schemas.openxmlformats.org/officeDocument/2006/relationships/hyperlink" Target="http://ukmin.lrv.lt/lt/veiklos-sritys/es-parama-1/2014-2020-m/2014-2020m-galiojantys-kvietimai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BD77-6B4F-4527-A015-BF680849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6726</Words>
  <Characters>3835</Characters>
  <Application>Microsoft Office Word</Application>
  <DocSecurity>0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Petrulevicius Deividas</cp:lastModifiedBy>
  <cp:revision>13</cp:revision>
  <cp:lastPrinted>2016-11-17T05:38:00Z</cp:lastPrinted>
  <dcterms:created xsi:type="dcterms:W3CDTF">2017-12-05T07:54:00Z</dcterms:created>
  <dcterms:modified xsi:type="dcterms:W3CDTF">2017-12-06T08:16:00Z</dcterms:modified>
</cp:coreProperties>
</file>