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E540" w14:textId="77777777" w:rsidR="00296235" w:rsidRDefault="00296235">
      <w:bookmarkStart w:id="0" w:name="_GoBack"/>
      <w:bookmarkEnd w:id="0"/>
    </w:p>
    <w:p w14:paraId="5931B498" w14:textId="77777777" w:rsidR="008F7B2D" w:rsidRPr="00AF2118" w:rsidRDefault="008F7B2D" w:rsidP="008F7B2D">
      <w:pPr>
        <w:jc w:val="center"/>
        <w:rPr>
          <w:b/>
          <w:szCs w:val="20"/>
        </w:rPr>
      </w:pPr>
      <w:r w:rsidRPr="00AF2118">
        <w:rPr>
          <w:b/>
          <w:szCs w:val="20"/>
        </w:rPr>
        <w:t>DERINIMO PAŽYMA</w:t>
      </w:r>
    </w:p>
    <w:p w14:paraId="62EA1E3B" w14:textId="77777777" w:rsidR="008F7B2D" w:rsidRDefault="008F7B2D" w:rsidP="008F7B2D">
      <w:pPr>
        <w:jc w:val="center"/>
        <w:rPr>
          <w:b/>
          <w:bCs/>
          <w:caps/>
          <w:noProof/>
        </w:rPr>
      </w:pPr>
      <w:r w:rsidRPr="00AF2118">
        <w:rPr>
          <w:b/>
          <w:szCs w:val="20"/>
        </w:rPr>
        <w:t xml:space="preserve">DĖL </w:t>
      </w:r>
      <w:r>
        <w:rPr>
          <w:b/>
          <w:szCs w:val="20"/>
        </w:rPr>
        <w:t>2014-2020 M. EUROPOS SĄJUNGOS FONDŲ INVESTICIJŲ VEIKSMŲ PROGRAMOS 8 PRIORITETO ,,SOCIALINĖS ATSKIRTIES DIDINIMAS IR KOVA SU SKURDU“ NR. 08.6.1-ESFA-V-911 PRIEMONĖS ,,VIETOS PLĖTROS STRATEGIJŲ ĮGYVENDINIMAS“ PROJEKTŲ FINANSAVIMO SĄLYGŲ APRAŠO (TOLIAU – APRAŠAS) PAKEITIMO PROJEKTO</w:t>
      </w:r>
      <w:r w:rsidRPr="00C8247A">
        <w:rPr>
          <w:b/>
          <w:bCs/>
        </w:rPr>
        <w:t xml:space="preserve"> PAKEITIMO </w:t>
      </w:r>
      <w:r w:rsidRPr="00C8247A">
        <w:rPr>
          <w:b/>
          <w:bCs/>
          <w:caps/>
          <w:noProof/>
        </w:rPr>
        <w:t xml:space="preserve">PROJEKTO </w:t>
      </w:r>
    </w:p>
    <w:p w14:paraId="4A96B6AB" w14:textId="2DDE4B78" w:rsidR="008F7B2D" w:rsidRPr="005A1876" w:rsidRDefault="008F7B2D" w:rsidP="008F7B2D">
      <w:pPr>
        <w:jc w:val="center"/>
        <w:rPr>
          <w:b/>
          <w:noProof/>
          <w:sz w:val="22"/>
          <w:szCs w:val="22"/>
        </w:rPr>
      </w:pPr>
      <w:r w:rsidRPr="00DA0402">
        <w:rPr>
          <w:bCs/>
          <w:caps/>
          <w:noProof/>
        </w:rPr>
        <w:t xml:space="preserve">2017 </w:t>
      </w:r>
      <w:r>
        <w:rPr>
          <w:noProof/>
        </w:rPr>
        <w:t xml:space="preserve">m. lapkričio </w:t>
      </w:r>
      <w:r w:rsidR="002D2FC6">
        <w:rPr>
          <w:noProof/>
        </w:rPr>
        <w:t>23</w:t>
      </w:r>
      <w:r>
        <w:rPr>
          <w:noProof/>
        </w:rPr>
        <w:t xml:space="preserve"> d.</w:t>
      </w:r>
    </w:p>
    <w:p w14:paraId="12EA93EB" w14:textId="77777777" w:rsidR="008F7B2D" w:rsidRPr="005A1876" w:rsidRDefault="008F7B2D" w:rsidP="008F7B2D">
      <w:pPr>
        <w:jc w:val="center"/>
        <w:rPr>
          <w:b/>
          <w:noProof/>
          <w:sz w:val="22"/>
          <w:szCs w:val="22"/>
          <w:highlight w:val="green"/>
        </w:rPr>
      </w:pPr>
    </w:p>
    <w:p w14:paraId="4C395106" w14:textId="77777777" w:rsidR="008F7B2D" w:rsidRPr="005A1876" w:rsidRDefault="008F7B2D" w:rsidP="008F7B2D">
      <w:pPr>
        <w:rPr>
          <w:noProof/>
          <w:sz w:val="22"/>
          <w:szCs w:val="22"/>
          <w:highlight w:val="green"/>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4178"/>
        <w:gridCol w:w="7155"/>
      </w:tblGrid>
      <w:tr w:rsidR="004F40C4" w:rsidRPr="005A1876" w14:paraId="21C52ECD" w14:textId="77777777" w:rsidTr="00DA0402">
        <w:tc>
          <w:tcPr>
            <w:tcW w:w="3330" w:type="dxa"/>
          </w:tcPr>
          <w:p w14:paraId="4DE624ED" w14:textId="77777777" w:rsidR="008F7B2D" w:rsidRPr="0078773D" w:rsidRDefault="008F7B2D" w:rsidP="00246EBE">
            <w:pPr>
              <w:jc w:val="center"/>
              <w:rPr>
                <w:b/>
                <w:noProof/>
              </w:rPr>
            </w:pPr>
            <w:r w:rsidRPr="0078773D">
              <w:rPr>
                <w:b/>
                <w:noProof/>
                <w:sz w:val="22"/>
                <w:szCs w:val="22"/>
              </w:rPr>
              <w:t>Institucijos pavadinimas, rašto data ir numeris</w:t>
            </w:r>
          </w:p>
        </w:tc>
        <w:tc>
          <w:tcPr>
            <w:tcW w:w="4178" w:type="dxa"/>
          </w:tcPr>
          <w:p w14:paraId="11237875" w14:textId="77777777" w:rsidR="008F7B2D" w:rsidRPr="0078773D" w:rsidRDefault="008F7B2D" w:rsidP="00246EBE">
            <w:pPr>
              <w:jc w:val="center"/>
              <w:rPr>
                <w:b/>
                <w:noProof/>
              </w:rPr>
            </w:pPr>
            <w:r w:rsidRPr="0078773D">
              <w:rPr>
                <w:b/>
                <w:noProof/>
                <w:sz w:val="22"/>
                <w:szCs w:val="22"/>
              </w:rPr>
              <w:t>Pastabos ir pasiūlymai</w:t>
            </w:r>
          </w:p>
        </w:tc>
        <w:tc>
          <w:tcPr>
            <w:tcW w:w="7155" w:type="dxa"/>
          </w:tcPr>
          <w:p w14:paraId="18D0EA9C" w14:textId="14B0B91F" w:rsidR="008F7B2D" w:rsidRPr="0078773D" w:rsidRDefault="00400474" w:rsidP="00246EBE">
            <w:pPr>
              <w:jc w:val="center"/>
              <w:rPr>
                <w:b/>
                <w:noProof/>
              </w:rPr>
            </w:pPr>
            <w:r>
              <w:rPr>
                <w:b/>
                <w:noProof/>
                <w:sz w:val="22"/>
                <w:szCs w:val="22"/>
              </w:rPr>
              <w:t xml:space="preserve">Informacija, ar atsižvelgta į pastabą, </w:t>
            </w:r>
            <w:r w:rsidR="00175827">
              <w:rPr>
                <w:b/>
                <w:noProof/>
                <w:sz w:val="22"/>
                <w:szCs w:val="22"/>
              </w:rPr>
              <w:t>taip pat</w:t>
            </w:r>
            <w:r>
              <w:rPr>
                <w:b/>
                <w:noProof/>
                <w:sz w:val="22"/>
                <w:szCs w:val="22"/>
              </w:rPr>
              <w:t xml:space="preserve"> </w:t>
            </w:r>
            <w:r w:rsidR="00175827">
              <w:rPr>
                <w:b/>
                <w:noProof/>
                <w:sz w:val="22"/>
                <w:szCs w:val="22"/>
              </w:rPr>
              <w:t xml:space="preserve">paaiškinimai, </w:t>
            </w:r>
            <w:r w:rsidR="008F7B2D" w:rsidRPr="0078773D">
              <w:rPr>
                <w:b/>
                <w:noProof/>
                <w:sz w:val="22"/>
                <w:szCs w:val="22"/>
              </w:rPr>
              <w:t xml:space="preserve">kodėl </w:t>
            </w:r>
            <w:r w:rsidR="00175827">
              <w:rPr>
                <w:b/>
                <w:noProof/>
                <w:sz w:val="22"/>
                <w:szCs w:val="22"/>
              </w:rPr>
              <w:t xml:space="preserve">ir kaip </w:t>
            </w:r>
            <w:r w:rsidR="008F7B2D" w:rsidRPr="0078773D">
              <w:rPr>
                <w:b/>
                <w:noProof/>
                <w:sz w:val="22"/>
                <w:szCs w:val="22"/>
              </w:rPr>
              <w:t xml:space="preserve">atsižvelgta </w:t>
            </w:r>
            <w:r w:rsidR="008F7B2D">
              <w:rPr>
                <w:b/>
                <w:noProof/>
                <w:sz w:val="22"/>
                <w:szCs w:val="22"/>
              </w:rPr>
              <w:t>į pastabą, pasiūlymus</w:t>
            </w:r>
            <w:r w:rsidR="00175827">
              <w:rPr>
                <w:b/>
                <w:noProof/>
                <w:sz w:val="22"/>
                <w:szCs w:val="22"/>
              </w:rPr>
              <w:t>, ir argumentai, kodėl neatsižvelgta į pastabą, pasiūlymus</w:t>
            </w:r>
          </w:p>
        </w:tc>
      </w:tr>
      <w:tr w:rsidR="004F40C4" w:rsidRPr="005A1876" w14:paraId="09D0495B" w14:textId="77777777" w:rsidTr="00DA0402">
        <w:tc>
          <w:tcPr>
            <w:tcW w:w="3330" w:type="dxa"/>
          </w:tcPr>
          <w:p w14:paraId="24A136EE" w14:textId="643A51CF" w:rsidR="00417358" w:rsidRPr="00417358" w:rsidRDefault="00417358" w:rsidP="008D1D3E">
            <w:pPr>
              <w:jc w:val="both"/>
              <w:rPr>
                <w:noProof/>
                <w:sz w:val="22"/>
                <w:szCs w:val="22"/>
              </w:rPr>
            </w:pPr>
            <w:r w:rsidRPr="00417358">
              <w:rPr>
                <w:noProof/>
                <w:sz w:val="22"/>
                <w:szCs w:val="22"/>
              </w:rPr>
              <w:t>VšĮ Europos social</w:t>
            </w:r>
            <w:r>
              <w:rPr>
                <w:noProof/>
                <w:sz w:val="22"/>
                <w:szCs w:val="22"/>
              </w:rPr>
              <w:t>inio fondo agentūr</w:t>
            </w:r>
            <w:r w:rsidR="005D6D3F">
              <w:rPr>
                <w:noProof/>
                <w:sz w:val="22"/>
                <w:szCs w:val="22"/>
              </w:rPr>
              <w:t>a (</w:t>
            </w:r>
            <w:r>
              <w:rPr>
                <w:noProof/>
                <w:sz w:val="22"/>
                <w:szCs w:val="22"/>
              </w:rPr>
              <w:t xml:space="preserve"> </w:t>
            </w:r>
            <w:r w:rsidRPr="00417358">
              <w:rPr>
                <w:noProof/>
                <w:sz w:val="22"/>
                <w:szCs w:val="22"/>
              </w:rPr>
              <w:t>2017-11-13 raštas  Nr. SB-2017-00856</w:t>
            </w:r>
            <w:r w:rsidR="005D6D3F">
              <w:rPr>
                <w:noProof/>
                <w:sz w:val="22"/>
                <w:szCs w:val="22"/>
              </w:rPr>
              <w:t>)</w:t>
            </w:r>
          </w:p>
        </w:tc>
        <w:tc>
          <w:tcPr>
            <w:tcW w:w="4178" w:type="dxa"/>
          </w:tcPr>
          <w:p w14:paraId="57C514BD" w14:textId="45A7661E" w:rsidR="00417358" w:rsidRDefault="00417358" w:rsidP="008D1D3E">
            <w:pPr>
              <w:jc w:val="both"/>
            </w:pPr>
            <w:r>
              <w:t>Atsižvelgdami į Aprašo 44 punkto 5 išlaidų kategorijoje (5.2 papunktyje) papildomai pateiktą išaiškinimą apie savanorių savanorišką veiklą, tiesiogiai susijusią su veiklų vykdymu, siūlome pakartotinai įvertinti, ar savanorių, kurie projekte bus dalyviai, išlaidos tikrai galės būti apskaičiuojamos taikant tokį patį fiksuotą įkainį, kuris taikomas apskaičiuojant ir savanorių, vykdančių veiklas išlaidas, t.</w:t>
            </w:r>
            <w:r w:rsidR="0070726C">
              <w:t xml:space="preserve"> </w:t>
            </w:r>
            <w:r>
              <w:t xml:space="preserve">y. įkainį, kurio dydis nustatytas projektą vykdančio personalo savanoriško darbo įnašo priemonėje 08.6.1-ESFA-V-911 „Vietos plėtros strategijų įgyvendinimas“, fiksuotojo įkainio nustatyto tyrimo ataskaitoje.  </w:t>
            </w:r>
          </w:p>
          <w:p w14:paraId="3EB96D0E" w14:textId="77777777" w:rsidR="00417358" w:rsidRPr="0078773D" w:rsidRDefault="00417358" w:rsidP="00246EBE">
            <w:pPr>
              <w:jc w:val="center"/>
              <w:rPr>
                <w:b/>
                <w:noProof/>
                <w:sz w:val="22"/>
                <w:szCs w:val="22"/>
              </w:rPr>
            </w:pPr>
          </w:p>
        </w:tc>
        <w:tc>
          <w:tcPr>
            <w:tcW w:w="7155" w:type="dxa"/>
          </w:tcPr>
          <w:p w14:paraId="6A99761E" w14:textId="77777777" w:rsidR="00417358" w:rsidRPr="00C63802" w:rsidRDefault="00417358" w:rsidP="00C546A6">
            <w:pPr>
              <w:jc w:val="both"/>
            </w:pPr>
            <w:r w:rsidRPr="00C63802">
              <w:t>Atsižvelgta.</w:t>
            </w:r>
          </w:p>
          <w:p w14:paraId="1C555A68" w14:textId="532C1466" w:rsidR="002038B1" w:rsidRPr="00C63802" w:rsidRDefault="00F77254" w:rsidP="008501FC">
            <w:pPr>
              <w:autoSpaceDE w:val="0"/>
              <w:autoSpaceDN w:val="0"/>
              <w:adjustRightInd w:val="0"/>
              <w:jc w:val="both"/>
            </w:pPr>
            <w:r>
              <w:t xml:space="preserve">Projektą vykdančio personalo savanoriško darbo įnašo priemonėje 08.6.1-ESFA-V-911 „Vietos plėtros strategijų įgyvendinimas“ fiksuotojo įkainio nustatyto tyrimo ataskaitoje </w:t>
            </w:r>
            <w:r w:rsidR="008501FC" w:rsidRPr="00C63802">
              <w:t>(</w:t>
            </w:r>
            <w:hyperlink r:id="rId7" w:history="1">
              <w:r w:rsidR="00366070" w:rsidRPr="00C63802">
                <w:t>http://www.esinvesticijos.lt/docview/?id=10911&amp;h=e54d8&amp;t=vrm911-savanorisko-d-F%C4%AE</w:t>
              </w:r>
            </w:hyperlink>
            <w:r w:rsidR="008501FC" w:rsidRPr="00C63802">
              <w:t xml:space="preserve">) </w:t>
            </w:r>
            <w:r w:rsidR="00980741" w:rsidRPr="00C63802">
              <w:t>savanoriško darbo įnašo fiksuotasis įkainis nustatytas susiejant jį su Lietuvos statistikos departamento skelbiamu vidutiniu šalies darbo užmokesčiu</w:t>
            </w:r>
            <w:r w:rsidR="00980741">
              <w:t xml:space="preserve">. </w:t>
            </w:r>
            <w:r w:rsidR="006C4D00">
              <w:t xml:space="preserve">Tai </w:t>
            </w:r>
            <w:r w:rsidR="00980741">
              <w:t>tyrimo ataskaitoje grindžiama tuo,</w:t>
            </w:r>
            <w:r w:rsidR="006C4D00">
              <w:t xml:space="preserve"> </w:t>
            </w:r>
            <w:r w:rsidR="00980741">
              <w:t xml:space="preserve">kad </w:t>
            </w:r>
            <w:r w:rsidRPr="00C63802">
              <w:t>daugiausia savanoriška veikla linkę užsiimti išsilavinę ir kvalifikuoti</w:t>
            </w:r>
            <w:r w:rsidR="00980741" w:rsidRPr="00C63802">
              <w:t xml:space="preserve"> </w:t>
            </w:r>
            <w:r w:rsidRPr="00C63802">
              <w:t xml:space="preserve">asmenys, kurie, tikėtina, vykdydami savo įprastą veiklą gauna ne mažesnį kaip vidutinį darbo užmokestį, o pagal </w:t>
            </w:r>
            <w:r w:rsidR="00980741" w:rsidRPr="00C63802">
              <w:t>p</w:t>
            </w:r>
            <w:r w:rsidRPr="00C63802">
              <w:t xml:space="preserve">riemonę </w:t>
            </w:r>
            <w:r w:rsidR="00980741">
              <w:t>08.6.1-ESFA-V-911</w:t>
            </w:r>
            <w:r w:rsidR="0078167F">
              <w:t xml:space="preserve"> </w:t>
            </w:r>
            <w:r w:rsidR="00980741">
              <w:t xml:space="preserve">„Vietos plėtros strategijų įgyvendinimas“ </w:t>
            </w:r>
            <w:r w:rsidRPr="00C63802">
              <w:t>numatomų įgyvendinti projektų veiklų pobūdis labai skirtingas ir daugeliui jų vykdyti reikalingi tam tikri gebėjimai ir gana aukšta kvalifikacija (pvz. pradedančiųjų verslininkų konsultavimas,</w:t>
            </w:r>
            <w:r w:rsidR="006B75A5" w:rsidRPr="00C63802">
              <w:t xml:space="preserve"> </w:t>
            </w:r>
            <w:r w:rsidRPr="00C63802">
              <w:t>neformalusis švietimas ir pan.)</w:t>
            </w:r>
            <w:r w:rsidR="00980741" w:rsidRPr="00C63802">
              <w:t xml:space="preserve">. </w:t>
            </w:r>
            <w:r w:rsidRPr="00C63802">
              <w:t xml:space="preserve"> </w:t>
            </w:r>
          </w:p>
          <w:p w14:paraId="117A04C7" w14:textId="77777777" w:rsidR="006930C1" w:rsidRPr="00C63802" w:rsidRDefault="006930C1" w:rsidP="008501FC">
            <w:pPr>
              <w:jc w:val="both"/>
            </w:pPr>
            <w:r w:rsidRPr="00C63802">
              <w:t>Pagal Aprašą remiama veikla ,,</w:t>
            </w:r>
            <w:r w:rsidRPr="00C546A6">
              <w:t xml:space="preserve">bedarbiais esančių ir ekonomiškai neaktyvių asmenų </w:t>
            </w:r>
            <w:r>
              <w:t>savanoriškos</w:t>
            </w:r>
            <w:r w:rsidRPr="00C546A6">
              <w:t xml:space="preserve"> veikla“ </w:t>
            </w:r>
            <w:r>
              <w:t xml:space="preserve">(Aprašo 10.2.1.3 p.) siekiama, kad bedarbiai ir ekonomiškai neaktyvūs asmenys įgytų naujų profesinių ir kitų reikalingų įgūdžių tam, kad pagerinti šių asmenų padėtį darbo rinkoje. Taigi šios veiklos dalyviais </w:t>
            </w:r>
            <w:r w:rsidR="002038B1">
              <w:t>paprastai bus</w:t>
            </w:r>
            <w:r>
              <w:t xml:space="preserve"> </w:t>
            </w:r>
            <w:r w:rsidR="002038B1">
              <w:t xml:space="preserve">darbinei veiklai reikalingos </w:t>
            </w:r>
            <w:r>
              <w:t xml:space="preserve">kvalifikacijos </w:t>
            </w:r>
            <w:r w:rsidR="00311BE0">
              <w:t>ir (</w:t>
            </w:r>
            <w:r>
              <w:t>ar</w:t>
            </w:r>
            <w:r w:rsidR="00311BE0">
              <w:t>)</w:t>
            </w:r>
            <w:r w:rsidR="002038B1">
              <w:t xml:space="preserve"> </w:t>
            </w:r>
            <w:r>
              <w:t>kompetencijų neturintys ar jas jau pra</w:t>
            </w:r>
            <w:r w:rsidR="002038B1">
              <w:t>ra</w:t>
            </w:r>
            <w:r>
              <w:t xml:space="preserve">dę asmenys, todėl </w:t>
            </w:r>
            <w:r w:rsidR="002038B1">
              <w:t>darytina išvada, kad tokioje</w:t>
            </w:r>
            <w:r w:rsidR="00EE7337">
              <w:t xml:space="preserve"> savanoriškoje</w:t>
            </w:r>
            <w:r w:rsidR="002038B1">
              <w:t xml:space="preserve"> veikloje dalyvaujančių projekto dalyvių savanoriško darbo įnašo fiksuotojo įkainio dydžio nustatymas, siejant jį su </w:t>
            </w:r>
            <w:r w:rsidR="002038B1" w:rsidRPr="00C63802">
              <w:t xml:space="preserve">Lietuvos statistikos </w:t>
            </w:r>
            <w:r w:rsidR="002038B1" w:rsidRPr="00C63802">
              <w:lastRenderedPageBreak/>
              <w:t xml:space="preserve">departamento skelbiamu vidutiniu šalies darbo užmokesčiu, </w:t>
            </w:r>
            <w:r w:rsidR="0078167F" w:rsidRPr="00C63802">
              <w:t xml:space="preserve">būtų </w:t>
            </w:r>
            <w:r w:rsidR="002038B1" w:rsidRPr="00C63802">
              <w:t xml:space="preserve">nepagrįstas. </w:t>
            </w:r>
          </w:p>
          <w:p w14:paraId="1115F43A" w14:textId="77777777" w:rsidR="002038B1" w:rsidRDefault="002038B1" w:rsidP="008501FC">
            <w:pPr>
              <w:jc w:val="both"/>
            </w:pPr>
            <w:r>
              <w:t xml:space="preserve">Atsižvelgiant </w:t>
            </w:r>
            <w:r w:rsidR="00EE7337">
              <w:t>į</w:t>
            </w:r>
            <w:r>
              <w:t xml:space="preserve"> tai, kas išdėstyta, taip pat remiantis </w:t>
            </w:r>
            <w:r w:rsidR="0078167F">
              <w:t xml:space="preserve">Rekomendacijų dėl projektų išlaidų atitikties 2014–2020 m. Europos Sąjungos struktūrinių fondų reikalavimams, kurios skelbiamos Europos Sąjungos struktūrinių fondų svetainėje </w:t>
            </w:r>
            <w:hyperlink r:id="rId8" w:history="1">
              <w:r w:rsidR="0078167F" w:rsidRPr="00C63802">
                <w:t>www.esinvesticijos.lt</w:t>
              </w:r>
            </w:hyperlink>
            <w:r w:rsidR="0078167F">
              <w:t>, 161 punkto nuostatomis (kuriomis nustatyta, kad savanoriško darbo nepiniginis</w:t>
            </w:r>
            <w:r w:rsidR="0078167F" w:rsidRPr="00647813">
              <w:t xml:space="preserve"> įnašas apskaičiuojamas taikant minimalųjį Lietuvos Respublikos teisės aktų nustatytą darbo užmokestį arba nustatytą fiksuotąjį įkainį</w:t>
            </w:r>
            <w:r w:rsidR="0078167F">
              <w:t xml:space="preserve">) Aprašo pakeitimo projekte nustatoma, kad </w:t>
            </w:r>
            <w:r w:rsidR="0078167F" w:rsidRPr="0078167F">
              <w:t>apskaičiuojant projekto veiklų dalyvių  - savanorių savanoriškos veiklos įnašo dydį taikomas minimalusis Lietuvos Respublikos teisės aktų nustatytas darbo užmokestis</w:t>
            </w:r>
            <w:r w:rsidR="0078167F">
              <w:t>.</w:t>
            </w:r>
          </w:p>
          <w:p w14:paraId="124715D0" w14:textId="77777777" w:rsidR="008501FC" w:rsidRDefault="008501FC" w:rsidP="008501FC">
            <w:pPr>
              <w:jc w:val="both"/>
            </w:pPr>
          </w:p>
          <w:p w14:paraId="4C1C7DA4" w14:textId="4876DB33" w:rsidR="00106C6E" w:rsidRDefault="004F6510" w:rsidP="006930C1">
            <w:pPr>
              <w:jc w:val="both"/>
            </w:pPr>
            <w:r>
              <w:t xml:space="preserve">Pažymėtina, kad </w:t>
            </w:r>
            <w:r w:rsidR="008D1D3E">
              <w:t xml:space="preserve">Vidaus reikalų ministerija, išnagrinėjusi </w:t>
            </w:r>
            <w:r>
              <w:t>VšĮ Europos socialinio fondo agentūros pateikt</w:t>
            </w:r>
            <w:r w:rsidR="008D1D3E">
              <w:t>ą</w:t>
            </w:r>
            <w:r>
              <w:t xml:space="preserve"> pastebėjim</w:t>
            </w:r>
            <w:r w:rsidR="008D1D3E">
              <w:t>ą, identifikavo, kad šis pastebėjimas</w:t>
            </w:r>
            <w:r>
              <w:t xml:space="preserve"> aktualus ir </w:t>
            </w:r>
            <w:r w:rsidR="00106C6E">
              <w:t xml:space="preserve">Aprašo pakeitimo projekto nuostatoms dėl projekto veiklų dalyvių - juridinių asmenų, kurių savininkais ar dalininkais nėra valstybė ar savivaldybė arba kuriuose valstybei ar savivaldybei priklauso ne daugiau kaip 50 procentų balsų visuotiniame akcininkų susirinkime, </w:t>
            </w:r>
            <w:r w:rsidR="00D17B3E">
              <w:t>taip pat</w:t>
            </w:r>
            <w:r w:rsidR="00106C6E">
              <w:t xml:space="preserve"> </w:t>
            </w:r>
            <w:r>
              <w:t>projekto veiklų dalyvių</w:t>
            </w:r>
            <w:r w:rsidR="00106C6E">
              <w:t xml:space="preserve"> – viešojo valdymo institucijų darbuotojų darbo užmokesčio, apskaičiuoto ir išmokėto už darbo laiką, kurio metu darbuotojai dalyvavo projekto veiklose, ir susijusių darbdavio įsipareigojimų išlaidų  finansavimo sąlygų:</w:t>
            </w:r>
          </w:p>
          <w:p w14:paraId="2D778562" w14:textId="6576492A" w:rsidR="00FE6308" w:rsidRPr="00C63802" w:rsidRDefault="00F10542" w:rsidP="00C63802">
            <w:pPr>
              <w:jc w:val="both"/>
            </w:pPr>
            <w:r>
              <w:t xml:space="preserve">    </w:t>
            </w:r>
            <w:r w:rsidR="00C63802">
              <w:t xml:space="preserve">     </w:t>
            </w:r>
            <w:r>
              <w:t xml:space="preserve"> - </w:t>
            </w:r>
            <w:r w:rsidR="00106C6E">
              <w:t xml:space="preserve">Aprašo 44 punkte pateikiamos lentelės </w:t>
            </w:r>
            <w:r w:rsidR="00366070">
              <w:t xml:space="preserve">5.3 papunktyje nustatyta, kad projekto veiklų dalyvių - juridinių asmenų, kurių savininkais ar dalininkais nėra valstybė ar savivaldybė arba kuriuose valstybei ar savivaldybei priklauso ne daugiau kaip 50 procentų balsų visuotiniame akcininkų susirinkime, darbuotojų </w:t>
            </w:r>
            <w:r w:rsidR="00FE6308">
              <w:t xml:space="preserve">(toliau – ne viešojo valdymo institucijų darbuotojai) </w:t>
            </w:r>
            <w:r w:rsidR="00366070">
              <w:t>darbo užmokesčio, apskaičiuoto ir išmokėto už darbo laiką, kurio metu darbuotojai dalyvavo projekto veiklose, ir susijusių darbdavio įsipareigojimų išlaidos</w:t>
            </w:r>
            <w:r w:rsidR="00D17B3E">
              <w:t xml:space="preserve"> </w:t>
            </w:r>
            <w:r w:rsidR="00106C6E">
              <w:t>yra tinkamos tik kaip projekto vykdytojo ir (ar) partnerio (-ių) nuosavas įnašas</w:t>
            </w:r>
            <w:r w:rsidR="00D17B3E">
              <w:t xml:space="preserve"> ir kad šios išlaidos apskaičiuojamos </w:t>
            </w:r>
            <w:r w:rsidR="00D17B3E" w:rsidRPr="00C63802">
              <w:t>taikant</w:t>
            </w:r>
            <w:r w:rsidR="00D17B3E">
              <w:t xml:space="preserve"> fiksuotąjį įkainį, kurio dydis nustatytas </w:t>
            </w:r>
            <w:r>
              <w:t xml:space="preserve">Privačių juridinių asmenų projektų dalyvių darbo užmokesčio fiksuotųjų įkainių </w:t>
            </w:r>
            <w:r>
              <w:lastRenderedPageBreak/>
              <w:t xml:space="preserve">nustatymo tyrimo ataskaitoje, kuri skelbiama interneto svetainėje </w:t>
            </w:r>
            <w:hyperlink r:id="rId9" w:history="1">
              <w:r w:rsidRPr="00C63802">
                <w:t>www.esinvesticijos.lt</w:t>
              </w:r>
            </w:hyperlink>
            <w:r>
              <w:t xml:space="preserve"> (žr.</w:t>
            </w:r>
            <w:r w:rsidR="00FE6308">
              <w:t xml:space="preserve"> </w:t>
            </w:r>
            <w:hyperlink r:id="rId10" w:history="1">
              <w:r w:rsidR="00FE6308" w:rsidRPr="00C63802">
                <w:t>http://www.esinvesticijos.lt/lt/dokumentai/privaciu-juridiniu-asmenu-projektu-dalyviu-darbo-uzmokescio-fiksuotuju-ikainiu-nustatymo-tyrimo-ataskaita</w:t>
              </w:r>
            </w:hyperlink>
            <w:r w:rsidR="00FE6308">
              <w:t>)</w:t>
            </w:r>
            <w:r w:rsidR="00D17B3E" w:rsidRPr="00C63802">
              <w:t xml:space="preserve">. </w:t>
            </w:r>
            <w:r w:rsidRPr="00C63802">
              <w:t>N</w:t>
            </w:r>
            <w:r w:rsidR="00D17B3E" w:rsidRPr="00C63802">
              <w:t>urodytoje tyrimo ataskaitoje projekto veiklų dalyvių –</w:t>
            </w:r>
            <w:r w:rsidR="00C63802" w:rsidRPr="00C63802">
              <w:t xml:space="preserve"> </w:t>
            </w:r>
            <w:r w:rsidR="00CB7BD4" w:rsidRPr="00C63802">
              <w:t>ne viešojo valdymo institucijų darbuotojų</w:t>
            </w:r>
            <w:r w:rsidR="00C63802" w:rsidRPr="00C63802">
              <w:t xml:space="preserve"> </w:t>
            </w:r>
            <w:r w:rsidR="00D17B3E" w:rsidRPr="00C63802">
              <w:t>darbo</w:t>
            </w:r>
            <w:r w:rsidR="00C63802">
              <w:t xml:space="preserve"> </w:t>
            </w:r>
            <w:r w:rsidR="00D17B3E" w:rsidRPr="00C63802">
              <w:t xml:space="preserve">užmokesčio fiksuotasis įkainis nustatytas </w:t>
            </w:r>
            <w:r w:rsidRPr="00C63802">
              <w:t xml:space="preserve">susiejant jį su </w:t>
            </w:r>
            <w:r w:rsidR="00FE6308" w:rsidRPr="00C63802">
              <w:t xml:space="preserve">Lietuvos statistikos departamento oficialiosios statistikos portale </w:t>
            </w:r>
            <w:hyperlink r:id="rId11" w:history="1">
              <w:r w:rsidR="00FE6308" w:rsidRPr="00C63802">
                <w:t>http://osp.stat.gov.lt/</w:t>
              </w:r>
            </w:hyperlink>
            <w:r w:rsidR="00FE6308" w:rsidRPr="00C63802">
              <w:t xml:space="preserve"> </w:t>
            </w:r>
            <w:r w:rsidR="00C63802">
              <w:t xml:space="preserve"> </w:t>
            </w:r>
            <w:r w:rsidR="00FE6308" w:rsidRPr="00C63802">
              <w:t>skelbiamais darbo užmokesčio Lietuvos Respublikos privačiame sektoriuje (su individualiosiomis įmonėmis) vidutiniais dydžiais</w:t>
            </w:r>
            <w:r w:rsidR="00C63802" w:rsidRPr="00C63802">
              <w:t xml:space="preserve"> </w:t>
            </w:r>
            <w:r w:rsidR="00FE6308" w:rsidRPr="00C63802">
              <w:t>pagal ekonominės veiklos rūši</w:t>
            </w:r>
            <w:r w:rsidR="00C63802" w:rsidRPr="00C63802">
              <w:t>ų klasifikavimo sistemą</w:t>
            </w:r>
            <w:r w:rsidR="00FE6308" w:rsidRPr="00C63802">
              <w:t>.</w:t>
            </w:r>
          </w:p>
          <w:p w14:paraId="4E434417" w14:textId="225C5C0F" w:rsidR="00F10542" w:rsidRDefault="00C63802" w:rsidP="00F10542">
            <w:pPr>
              <w:jc w:val="both"/>
            </w:pPr>
            <w:r>
              <w:t xml:space="preserve">     </w:t>
            </w:r>
            <w:r w:rsidR="00F10542">
              <w:t xml:space="preserve">- Aprašo 44 punkte pateikiamos lentelės 5.4 papunktyje nustatyta, kad projekto veiklų dalyvių viešojo valdymo institucijų </w:t>
            </w:r>
            <w:r w:rsidR="00F10542" w:rsidRPr="00C63802">
              <w:t>(t. y. biudžetinių įstaigų, kurios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w:t>
            </w:r>
            <w:r w:rsidR="00F10542">
              <w:t xml:space="preserve"> darbuotojų darbo užmokesčio, apskaičiuoto ir išmokėto už darbo laiką, kurio metu darbuotojai dalyvavo projekto veiklose, ir susijusių darbdavio įsipareigojimų išlaidos yra tinkamos tik kaip projekto vykdytojo ir (ar) partnerio (-ių) nuosavas įnašas ir šios išlaidos apskaičiuojamos</w:t>
            </w:r>
            <w:r w:rsidR="00F10542" w:rsidRPr="00C63802">
              <w:t xml:space="preserve"> taikant</w:t>
            </w:r>
            <w:r w:rsidR="00F10542">
              <w:t xml:space="preserve"> fiksuotąjį įkainį, kurio dydis nustatytas Viešojo valdymo institucijų projektų dalyvių darbo užmokesčio fiksuotųjų įkainių nustatymo tyrimo ataskaitoje, kuri skelbiama interneto svetainėje </w:t>
            </w:r>
            <w:hyperlink r:id="rId12" w:history="1">
              <w:r w:rsidR="00F10542" w:rsidRPr="00C63802">
                <w:t>www.esinvesticijos.lt</w:t>
              </w:r>
            </w:hyperlink>
            <w:r w:rsidR="00F10542" w:rsidRPr="00C63802">
              <w:t xml:space="preserve"> </w:t>
            </w:r>
            <w:r w:rsidR="00800814">
              <w:t xml:space="preserve">     </w:t>
            </w:r>
            <w:r w:rsidR="00F10542" w:rsidRPr="00C63802">
              <w:t xml:space="preserve">(žr. </w:t>
            </w:r>
            <w:hyperlink r:id="rId13" w:history="1">
              <w:r w:rsidR="00F10542" w:rsidRPr="00C63802">
                <w:t>http://www.esinvesticijos.lt/lt/dokumentai/viesojo-valdymo-instituciju-projektu-dalyviu-darbo-uzmokescio-fiksuotuju-ikainiu-nustatymo-tyrimo-ataskaita</w:t>
              </w:r>
            </w:hyperlink>
            <w:r w:rsidR="00F10542" w:rsidRPr="00C63802">
              <w:t xml:space="preserve">). </w:t>
            </w:r>
            <w:r>
              <w:t>N</w:t>
            </w:r>
            <w:r w:rsidR="00F10542" w:rsidRPr="00C63802">
              <w:t xml:space="preserve">urodytoje tyrimo ataskaitoje projekto veiklų dalyvių – viešojo valdymo institucijų darbuotojų darbo užmokesčio fiksuotasis įkainis nustatytas susiejant jį su </w:t>
            </w:r>
            <w:r w:rsidR="00F10542">
              <w:t xml:space="preserve">Lietuvos statistikos departamento oficialiosios statistikos portale </w:t>
            </w:r>
            <w:hyperlink r:id="rId14" w:history="1">
              <w:r w:rsidR="00F10542" w:rsidRPr="00C63802">
                <w:t>http://osp.stat.gov.lt/</w:t>
              </w:r>
            </w:hyperlink>
            <w:r w:rsidR="00F10542">
              <w:t xml:space="preserve"> skelbiamais darbo užmokesčio valdžios sektoriuje (kai kuriose teminėse lentelėse vartojama sąvoka valstybės sektorius) vidutiniais dydžiais. </w:t>
            </w:r>
          </w:p>
          <w:p w14:paraId="5D967A6E" w14:textId="0A968F9E" w:rsidR="006A5DFE" w:rsidRDefault="00C63802" w:rsidP="00867C67">
            <w:pPr>
              <w:ind w:firstLine="567"/>
              <w:contextualSpacing/>
              <w:jc w:val="both"/>
            </w:pPr>
            <w:r>
              <w:t xml:space="preserve">     Pagal Aprašo 10.2 papunkčio nuostatas, siekiant </w:t>
            </w:r>
            <w:r w:rsidR="006A5DFE">
              <w:t xml:space="preserve">ekonomiškai neaktyviems ir (ar) bedarbiams sudaryti galimybę įgyti naujų profesinių </w:t>
            </w:r>
            <w:r w:rsidR="006A5DFE">
              <w:lastRenderedPageBreak/>
              <w:t xml:space="preserve">ar kitų reikalingų įgūdžių tam, kad </w:t>
            </w:r>
            <w:r>
              <w:t>pager</w:t>
            </w:r>
            <w:r w:rsidR="006A5DFE">
              <w:t>ėtų šių</w:t>
            </w:r>
            <w:r>
              <w:t xml:space="preserve"> asmenų padėt</w:t>
            </w:r>
            <w:r w:rsidR="006A5DFE">
              <w:t>is</w:t>
            </w:r>
            <w:r>
              <w:t xml:space="preserve"> darbo rinkoje</w:t>
            </w:r>
            <w:r w:rsidR="006A5DFE">
              <w:t>,</w:t>
            </w:r>
            <w:r>
              <w:t xml:space="preserve"> yra remiamas  ekonomiškai neaktyvių asmenų profesinis mokymas, organizuojamas pameistrystės forma pagal pameistrystės darbo sutartį, sudarytą kartu su mokymo sutartimi dėl neformaliojo mokymo</w:t>
            </w:r>
            <w:r w:rsidR="002765DF">
              <w:t>,</w:t>
            </w:r>
            <w:r w:rsidR="006A5DFE">
              <w:t xml:space="preserve"> ir ekonomiškai neaktyvių asmenų praktinių darbo įgūdžių įgijimas, ugdymas darbo vietoje </w:t>
            </w:r>
            <w:r w:rsidR="006A5DFE" w:rsidRPr="00D73AF4">
              <w:t xml:space="preserve">pagal </w:t>
            </w:r>
            <w:r w:rsidR="006A5DFE">
              <w:t xml:space="preserve">pameistrystės darbo sutartį nesudarius mokymo sutarties. Taigi </w:t>
            </w:r>
            <w:r w:rsidR="00867C67">
              <w:t>nurodytų remiamų</w:t>
            </w:r>
            <w:r w:rsidR="006A5DFE">
              <w:t xml:space="preserve"> veikl</w:t>
            </w:r>
            <w:r w:rsidR="00867C67">
              <w:t>ų</w:t>
            </w:r>
            <w:r w:rsidR="006A5DFE">
              <w:t xml:space="preserve"> dalyviai</w:t>
            </w:r>
            <w:r w:rsidR="00867C67">
              <w:t>s gali būti tik</w:t>
            </w:r>
            <w:r w:rsidR="006A5DFE">
              <w:t xml:space="preserve"> asmenys, kurie iki dalyvavimo projekto veiklose pradžios buvo ekonomiškai neaktyvūs, </w:t>
            </w:r>
            <w:r w:rsidR="006A5DFE" w:rsidRPr="00D73AF4">
              <w:rPr>
                <w:i/>
              </w:rPr>
              <w:t xml:space="preserve">t. y. tokie, kurie nėra teritorinėje darbo biržoje registruoti kaip bedarbio statusą ar sustabdytą bedarbio statusą turintys, nors yra darbingi, nedirba </w:t>
            </w:r>
            <w:r w:rsidR="006A5DFE" w:rsidRPr="00D73AF4">
              <w:rPr>
                <w:bCs/>
                <w:i/>
              </w:rPr>
              <w:t xml:space="preserve">pagal darbo sutartis ir darbo santykiams prilygintų teisinių santykių pagrindu, </w:t>
            </w:r>
            <w:r w:rsidR="006A5DFE" w:rsidRPr="00D73AF4">
              <w:rPr>
                <w:i/>
              </w:rPr>
              <w:t xml:space="preserve">  nesiverčia individualia veikla ir  neturi ūkininko statuso ar nėra ūkininko partneris, ar žemės ūkio veiklos subjektas ir (arba) yra atostogose vaikui prižiūrėti (iki vaikui sukaks treji metai)</w:t>
            </w:r>
            <w:r w:rsidR="006A5DFE">
              <w:t xml:space="preserve">. </w:t>
            </w:r>
            <w:r w:rsidR="00867C67">
              <w:t xml:space="preserve">Tokie asmenys </w:t>
            </w:r>
            <w:r w:rsidR="006A5DFE">
              <w:t xml:space="preserve">paprastai </w:t>
            </w:r>
            <w:r w:rsidR="00867C67">
              <w:t>arba neturi</w:t>
            </w:r>
            <w:r w:rsidR="006A5DFE">
              <w:t xml:space="preserve"> darbinei veiklai reikalingos kvalifikacijos ir (ar) kompetencijų</w:t>
            </w:r>
            <w:r w:rsidR="00867C67">
              <w:t>,</w:t>
            </w:r>
            <w:r w:rsidR="006A5DFE">
              <w:t xml:space="preserve"> ar</w:t>
            </w:r>
            <w:r w:rsidR="00867C67">
              <w:t>ba</w:t>
            </w:r>
            <w:r w:rsidR="006A5DFE">
              <w:t xml:space="preserve"> jas </w:t>
            </w:r>
            <w:r w:rsidR="00867C67">
              <w:t xml:space="preserve">yra </w:t>
            </w:r>
            <w:r w:rsidR="006A5DFE">
              <w:t>praradę, todėl darytina išvada, kad tokio</w:t>
            </w:r>
            <w:r w:rsidR="00121F81">
              <w:t>s</w:t>
            </w:r>
            <w:r w:rsidR="006A5DFE">
              <w:t>e veiklo</w:t>
            </w:r>
            <w:r w:rsidR="00121F81">
              <w:t>s</w:t>
            </w:r>
            <w:r w:rsidR="006A5DFE">
              <w:t xml:space="preserve">e dalyvaujančių projekto dalyvių </w:t>
            </w:r>
            <w:r w:rsidR="00121F81">
              <w:t>darbo užmokesčio</w:t>
            </w:r>
            <w:r w:rsidR="006A5DFE">
              <w:t xml:space="preserve"> fiksuotojo įkainio dydžio nustatymas, siejant jį su </w:t>
            </w:r>
            <w:r w:rsidR="006A5DFE" w:rsidRPr="00C63802">
              <w:t>Lietuvos statistikos departamento skelbiam</w:t>
            </w:r>
            <w:r w:rsidR="00E700A7">
              <w:t>ais</w:t>
            </w:r>
            <w:r w:rsidR="006A5DFE" w:rsidRPr="00C63802">
              <w:t xml:space="preserve"> </w:t>
            </w:r>
            <w:r w:rsidR="00121F81">
              <w:t xml:space="preserve">darbo užmokesčio valdžios sektoriuje vidutiniais dydžiais ar </w:t>
            </w:r>
            <w:r w:rsidR="00121F81" w:rsidRPr="00C63802">
              <w:t>darbo užmokesčio Lietuvos Respublikos privačiame sektoriuje (su individualiosiomis įmonėmis) vidutiniais dydžiais pagal ekonominės veiklos rūšių klasifikavimo sistemą</w:t>
            </w:r>
            <w:r w:rsidR="00121F81">
              <w:t>, yra nepagrįstas.</w:t>
            </w:r>
          </w:p>
          <w:p w14:paraId="4D1068B4" w14:textId="1FC993CA" w:rsidR="00FB3532" w:rsidRPr="00C63802" w:rsidRDefault="00FB3532" w:rsidP="00867C67">
            <w:pPr>
              <w:ind w:firstLine="567"/>
              <w:contextualSpacing/>
              <w:jc w:val="both"/>
            </w:pPr>
            <w:r>
              <w:t>Pagal Aprašo 10.3.1 ir 22.3 papunkčių nuostatas siekiant paskatinti gyventojus pradėti verslą, yra remiamas gyventojų (t. y.  ekonomiškai neaktyvių asmenų, bedarbių ir asmenų, kuriems pagal Lietuvos Respublikos piniginės socialinės paramos nepasiturintiems gyventojams įstatymą yra teikiama socialinė parama</w:t>
            </w:r>
            <w:r w:rsidR="00CC573C">
              <w:t>)</w:t>
            </w:r>
            <w:r>
              <w:t xml:space="preserve"> </w:t>
            </w:r>
            <w:r w:rsidR="00CC573C">
              <w:t xml:space="preserve">(toliau – nepasiturintys gyventojai) </w:t>
            </w:r>
            <w:r>
              <w:t>informavimas, konsultavimas, neformalusis mokymas</w:t>
            </w:r>
            <w:r w:rsidR="00CC573C">
              <w:t xml:space="preserve">. Dirbančių asmenų, kuriems teikiama socialinė parama, darbo užmokestis paprastai yra nedidelis, todėl darytina išvada, kad Aprašo 10.3.1 papunktyje nurodytose veiklose dalyvaujančių projekto dalyvių darbo užmokesčio fiksuotojo įkainio dydžio nustatymas, siejant jį su </w:t>
            </w:r>
            <w:r w:rsidR="00CC573C" w:rsidRPr="00C63802">
              <w:t>Lietuvos statistikos departamento skelbiam</w:t>
            </w:r>
            <w:r w:rsidR="00CC573C">
              <w:t>ais</w:t>
            </w:r>
            <w:r w:rsidR="00CC573C" w:rsidRPr="00C63802">
              <w:t xml:space="preserve"> </w:t>
            </w:r>
            <w:r w:rsidR="00CC573C">
              <w:t xml:space="preserve">darbo užmokesčio valdžios sektoriuje vidutiniais dydžiais ar </w:t>
            </w:r>
            <w:r w:rsidR="00CC573C" w:rsidRPr="00C63802">
              <w:t xml:space="preserve">darbo užmokesčio Lietuvos Respublikos privačiame sektoriuje (su individualiosiomis įmonėmis) </w:t>
            </w:r>
            <w:r w:rsidR="00CC573C" w:rsidRPr="00C63802">
              <w:lastRenderedPageBreak/>
              <w:t>vidutiniais dydžiais pagal ekonominės veiklos rūšių klasifikavimo sistemą</w:t>
            </w:r>
            <w:r w:rsidR="00CC573C">
              <w:t>, nėra pagrįstas.</w:t>
            </w:r>
          </w:p>
          <w:p w14:paraId="0597FA81" w14:textId="4121D8C3" w:rsidR="00F10542" w:rsidRDefault="00F10542" w:rsidP="00F10542">
            <w:pPr>
              <w:jc w:val="both"/>
            </w:pPr>
          </w:p>
          <w:p w14:paraId="6D925A2D" w14:textId="1CD3B9D6" w:rsidR="00E700A7" w:rsidRDefault="00F011F0" w:rsidP="00F10542">
            <w:pPr>
              <w:jc w:val="both"/>
            </w:pPr>
            <w:r>
              <w:t xml:space="preserve">Atsižvelgiant į tai, kas išdėstyta Aprašo pakeitimo projekte nustatoma, kad </w:t>
            </w:r>
            <w:r w:rsidRPr="0078167F">
              <w:t xml:space="preserve">apskaičiuojant projekto veiklų  - </w:t>
            </w:r>
            <w:r w:rsidR="006F4978">
              <w:t>ekonomiškai neaktyvių asmenų profesinio mokymo, organizuojam</w:t>
            </w:r>
            <w:r w:rsidR="00E700A7">
              <w:t>o</w:t>
            </w:r>
            <w:r w:rsidR="006F4978">
              <w:t xml:space="preserve"> pameistrystės forma pagal pameistrystės darbo sutartį, sudarytą kartu su mokymo sutartimi dėl neformaliojo mokymo</w:t>
            </w:r>
            <w:r w:rsidR="00CC573C">
              <w:t>,</w:t>
            </w:r>
            <w:r w:rsidR="006F4978">
              <w:t xml:space="preserve"> ekonomiškai neaktyvių asmenų praktinių darbo įgūdžių įgijim</w:t>
            </w:r>
            <w:r w:rsidR="00CC573C">
              <w:t>o</w:t>
            </w:r>
            <w:r w:rsidR="006F4978">
              <w:t>, ugdym</w:t>
            </w:r>
            <w:r w:rsidR="00CC573C">
              <w:t>o</w:t>
            </w:r>
            <w:r w:rsidR="006F4978">
              <w:t xml:space="preserve"> darbo vietoje </w:t>
            </w:r>
            <w:r w:rsidR="006F4978" w:rsidRPr="00D73AF4">
              <w:t xml:space="preserve">pagal </w:t>
            </w:r>
            <w:r w:rsidR="006F4978">
              <w:t>pameistrystės darbo sutartį nesudarius mokymo sutarties</w:t>
            </w:r>
            <w:r w:rsidR="00CC573C">
              <w:t>, taip pat dirbančių nepasiturinčių gyventojų informavimas, konsultavimas, neformalusis mokymas -</w:t>
            </w:r>
            <w:r w:rsidR="00E700A7">
              <w:t xml:space="preserve"> dalyvių darbo užmokesčio </w:t>
            </w:r>
            <w:r w:rsidRPr="0078167F">
              <w:t>įnašo dydį taikomas minimalusis Lietuvos Respublikos teisės aktų nustatytas darbo užmokestis</w:t>
            </w:r>
            <w:r>
              <w:t xml:space="preserve">. </w:t>
            </w:r>
          </w:p>
          <w:p w14:paraId="1FA4A164" w14:textId="77777777" w:rsidR="00417358" w:rsidRPr="00C63802" w:rsidRDefault="00417358" w:rsidP="00E700A7">
            <w:pPr>
              <w:jc w:val="both"/>
            </w:pPr>
          </w:p>
        </w:tc>
      </w:tr>
      <w:tr w:rsidR="00B20E8C" w:rsidRPr="005A1876" w14:paraId="7A16AC46" w14:textId="77777777" w:rsidTr="00DA0402">
        <w:tc>
          <w:tcPr>
            <w:tcW w:w="3330" w:type="dxa"/>
          </w:tcPr>
          <w:p w14:paraId="773D461E" w14:textId="30633342" w:rsidR="00B20E8C" w:rsidRPr="00FD6641" w:rsidRDefault="00B20E8C" w:rsidP="0070726C">
            <w:pPr>
              <w:jc w:val="both"/>
              <w:rPr>
                <w:noProof/>
                <w:sz w:val="22"/>
                <w:szCs w:val="22"/>
                <w:lang w:val="en-US"/>
              </w:rPr>
            </w:pPr>
            <w:r>
              <w:rPr>
                <w:noProof/>
                <w:sz w:val="22"/>
                <w:szCs w:val="22"/>
              </w:rPr>
              <w:lastRenderedPageBreak/>
              <w:t>VšĮ Europos socialinio fondo agentūr</w:t>
            </w:r>
            <w:r w:rsidR="00FD6641">
              <w:rPr>
                <w:noProof/>
                <w:sz w:val="22"/>
                <w:szCs w:val="22"/>
              </w:rPr>
              <w:t xml:space="preserve">a (pasiūlymas gautas </w:t>
            </w:r>
            <w:r w:rsidR="005D6D3F">
              <w:rPr>
                <w:noProof/>
                <w:sz w:val="22"/>
                <w:szCs w:val="22"/>
              </w:rPr>
              <w:t xml:space="preserve">2017-11-22 </w:t>
            </w:r>
            <w:r w:rsidR="00FD6641">
              <w:rPr>
                <w:noProof/>
                <w:sz w:val="22"/>
                <w:szCs w:val="22"/>
              </w:rPr>
              <w:t>el. paštu egle.sarkauskaite</w:t>
            </w:r>
            <w:r w:rsidR="00FD6641">
              <w:rPr>
                <w:noProof/>
                <w:sz w:val="22"/>
                <w:szCs w:val="22"/>
                <w:lang w:val="en-US"/>
              </w:rPr>
              <w:t>@vrm.lt)</w:t>
            </w:r>
          </w:p>
        </w:tc>
        <w:tc>
          <w:tcPr>
            <w:tcW w:w="4178" w:type="dxa"/>
          </w:tcPr>
          <w:p w14:paraId="2736DAAD" w14:textId="00C6E7B9" w:rsidR="005D6D3F" w:rsidRDefault="005D6D3F" w:rsidP="005D6D3F">
            <w:pPr>
              <w:jc w:val="both"/>
              <w:rPr>
                <w:sz w:val="22"/>
                <w:szCs w:val="22"/>
              </w:rPr>
            </w:pPr>
            <w:r>
              <w:t xml:space="preserve">Valstybės kontrolė, atlikusi vieno iš projektų, kuriame </w:t>
            </w:r>
            <w:r w:rsidRPr="005D6D3F">
              <w:rPr>
                <w:bCs/>
              </w:rPr>
              <w:t>dalyvių maitinimo</w:t>
            </w:r>
            <w:r w:rsidRPr="005D6D3F">
              <w:t xml:space="preserve"> išlaidos apmokamos taikant </w:t>
            </w:r>
            <w:r w:rsidRPr="005D6D3F">
              <w:rPr>
                <w:bCs/>
              </w:rPr>
              <w:t>Užimtumo ir socialinės įtraukties priemonių dalyvių maitinimo fiksuotojo įkainio nustatymo pagrindime nustatytą</w:t>
            </w:r>
            <w:r>
              <w:t xml:space="preserve"> fiksuotąjį įkainį, auditą, suabejojo, ar teisingai parinkta tyrimo metodika ir atitinkamai ar galima įkainį taikyti dalyvių maitinimui. Šiais klausimais vyksta aktyvi diskusija su Socialinės apsaugos ir darbo ministerija ir galutinis sprendimas dar nėra priimtas; tikėtina, bus kreiptasi į Europos Komisiją dėl tyrimo suderinimo. </w:t>
            </w:r>
          </w:p>
          <w:p w14:paraId="7E6FDC6F" w14:textId="77777777" w:rsidR="005D6D3F" w:rsidRDefault="005D6D3F" w:rsidP="005D6D3F">
            <w:pPr>
              <w:jc w:val="both"/>
            </w:pPr>
            <w:r>
              <w:rPr>
                <w:color w:val="FF0000"/>
              </w:rPr>
              <w:t> </w:t>
            </w:r>
          </w:p>
          <w:p w14:paraId="7A262793" w14:textId="008837E7" w:rsidR="005D6D3F" w:rsidRDefault="005D6D3F" w:rsidP="005D6D3F">
            <w:pPr>
              <w:jc w:val="both"/>
            </w:pPr>
            <w:r>
              <w:t>Todėl siūlome apsvarstyti galimybę visiškai atsisakyti šio fiksuoto įkainio taikymo. Šias išlaidas Europos socialinio fondo agentūra galėtų užfiksuoti vertinimo metu, kai projektų finansavimo lėšų suma neviršys 100 000 eurų.</w:t>
            </w:r>
          </w:p>
          <w:p w14:paraId="04B7DF51" w14:textId="77777777" w:rsidR="00B20E8C" w:rsidRDefault="00B20E8C" w:rsidP="00417358">
            <w:pPr>
              <w:ind w:firstLine="567"/>
              <w:jc w:val="both"/>
            </w:pPr>
          </w:p>
        </w:tc>
        <w:tc>
          <w:tcPr>
            <w:tcW w:w="7155" w:type="dxa"/>
          </w:tcPr>
          <w:p w14:paraId="1CFEE7FE" w14:textId="32BC7AA5" w:rsidR="00B20E8C" w:rsidRPr="00C63802" w:rsidRDefault="005D6D3F" w:rsidP="00C546A6">
            <w:pPr>
              <w:jc w:val="both"/>
            </w:pPr>
            <w:r>
              <w:t xml:space="preserve">Atsižvelgta. Siekiant išvengti rizikų, kad pagal </w:t>
            </w:r>
            <w:r w:rsidRPr="005D6D3F">
              <w:rPr>
                <w:bCs/>
              </w:rPr>
              <w:t>Užimtumo ir socialinės įtraukties priemonių dalyvių maitinimo fiksuot</w:t>
            </w:r>
            <w:r w:rsidR="0070726C">
              <w:rPr>
                <w:bCs/>
              </w:rPr>
              <w:t>ąjį</w:t>
            </w:r>
            <w:r w:rsidRPr="005D6D3F">
              <w:rPr>
                <w:bCs/>
              </w:rPr>
              <w:t xml:space="preserve"> įkain</w:t>
            </w:r>
            <w:r>
              <w:rPr>
                <w:bCs/>
              </w:rPr>
              <w:t xml:space="preserve">į projektų vykdytojams išmokėtos lėšos </w:t>
            </w:r>
            <w:r w:rsidR="0070726C">
              <w:rPr>
                <w:bCs/>
              </w:rPr>
              <w:t>ne</w:t>
            </w:r>
            <w:r>
              <w:rPr>
                <w:bCs/>
              </w:rPr>
              <w:t xml:space="preserve">bus pripažintos tinkamomis deklaruoti Europos Komisijai, tikslinamas Aprašo 44 p. atsisakant nuostatos, kad projekto veiklų dalyvių išlaidos apmokamos taikant </w:t>
            </w:r>
            <w:r w:rsidRPr="005D6D3F">
              <w:rPr>
                <w:bCs/>
              </w:rPr>
              <w:t>Užimtumo ir socialinės įtraukties priemonių dalyvių maitinimo fiksuot</w:t>
            </w:r>
            <w:r w:rsidR="0070726C">
              <w:rPr>
                <w:bCs/>
              </w:rPr>
              <w:t>ąjį</w:t>
            </w:r>
            <w:r w:rsidRPr="005D6D3F">
              <w:rPr>
                <w:bCs/>
              </w:rPr>
              <w:t xml:space="preserve"> įkain</w:t>
            </w:r>
            <w:r>
              <w:rPr>
                <w:bCs/>
              </w:rPr>
              <w:t>į.</w:t>
            </w:r>
          </w:p>
        </w:tc>
      </w:tr>
      <w:tr w:rsidR="004F40C4" w:rsidRPr="005A1876" w14:paraId="02EB164D" w14:textId="77777777" w:rsidTr="00DA0402">
        <w:tc>
          <w:tcPr>
            <w:tcW w:w="3330" w:type="dxa"/>
          </w:tcPr>
          <w:p w14:paraId="169AE6BD" w14:textId="5154F993" w:rsidR="00417358" w:rsidRPr="0078773D" w:rsidRDefault="00417358" w:rsidP="00246EBE">
            <w:pPr>
              <w:jc w:val="center"/>
              <w:rPr>
                <w:b/>
                <w:noProof/>
                <w:sz w:val="22"/>
                <w:szCs w:val="22"/>
              </w:rPr>
            </w:pPr>
            <w:r>
              <w:rPr>
                <w:noProof/>
              </w:rPr>
              <w:lastRenderedPageBreak/>
              <w:t>Mažeikių miesto vietos veiklos grupė (pas</w:t>
            </w:r>
            <w:r w:rsidR="00015D5A">
              <w:rPr>
                <w:noProof/>
              </w:rPr>
              <w:t xml:space="preserve">iūlymas </w:t>
            </w:r>
            <w:r>
              <w:rPr>
                <w:noProof/>
              </w:rPr>
              <w:t>gauta</w:t>
            </w:r>
            <w:r w:rsidR="00015D5A">
              <w:rPr>
                <w:noProof/>
              </w:rPr>
              <w:t>s</w:t>
            </w:r>
            <w:r>
              <w:rPr>
                <w:noProof/>
              </w:rPr>
              <w:t xml:space="preserve"> </w:t>
            </w:r>
            <w:r w:rsidR="00015D5A">
              <w:rPr>
                <w:noProof/>
              </w:rPr>
              <w:t xml:space="preserve">2017-11-13 per </w:t>
            </w:r>
            <w:r w:rsidR="00015D5A" w:rsidRPr="00015D5A">
              <w:rPr>
                <w:noProof/>
              </w:rPr>
              <w:t>Valstybės ir savivaldybių teisės aktų projektų informacinę sistemą)</w:t>
            </w:r>
          </w:p>
        </w:tc>
        <w:tc>
          <w:tcPr>
            <w:tcW w:w="4178" w:type="dxa"/>
          </w:tcPr>
          <w:p w14:paraId="4F92A51B" w14:textId="77777777" w:rsidR="00417358" w:rsidRPr="0070726C" w:rsidRDefault="00417358" w:rsidP="00417358">
            <w:r w:rsidRPr="0070726C">
              <w:t>Siūloma keičiant  Aprašo 3.8 ir 10.2.1.4 papunkčių nuostatas nenaikinti galimybės pagal Aprašą remti praktinių įgūdžių įgyjimą atliekant savanorišką praktiką.</w:t>
            </w:r>
          </w:p>
          <w:p w14:paraId="47D4E718" w14:textId="77777777" w:rsidR="00417358" w:rsidRPr="0078773D" w:rsidRDefault="00417358" w:rsidP="00246EBE">
            <w:pPr>
              <w:jc w:val="center"/>
              <w:rPr>
                <w:b/>
                <w:noProof/>
                <w:sz w:val="22"/>
                <w:szCs w:val="22"/>
              </w:rPr>
            </w:pPr>
          </w:p>
        </w:tc>
        <w:tc>
          <w:tcPr>
            <w:tcW w:w="7155" w:type="dxa"/>
          </w:tcPr>
          <w:p w14:paraId="4DB263A0" w14:textId="77777777" w:rsidR="00417358" w:rsidRDefault="00417358" w:rsidP="00417358">
            <w:pPr>
              <w:jc w:val="both"/>
              <w:rPr>
                <w:noProof/>
              </w:rPr>
            </w:pPr>
            <w:r>
              <w:rPr>
                <w:noProof/>
              </w:rPr>
              <w:t>Atsižvelgta.</w:t>
            </w:r>
          </w:p>
          <w:p w14:paraId="4FA4DE25" w14:textId="440E3A6E" w:rsidR="00417358" w:rsidRPr="00A95C0B" w:rsidRDefault="00417358" w:rsidP="00A95C0B">
            <w:pPr>
              <w:jc w:val="both"/>
              <w:rPr>
                <w:noProof/>
                <w:sz w:val="22"/>
                <w:szCs w:val="22"/>
              </w:rPr>
            </w:pPr>
            <w:r w:rsidRPr="00A95C0B">
              <w:rPr>
                <w:noProof/>
              </w:rPr>
              <w:t xml:space="preserve">Pakoreguotas Aprašo pakeitimo projektas, numatant pagal Aprašą </w:t>
            </w:r>
            <w:r w:rsidR="009B7902">
              <w:rPr>
                <w:noProof/>
              </w:rPr>
              <w:t>galimybę</w:t>
            </w:r>
            <w:r w:rsidRPr="00A95C0B">
              <w:rPr>
                <w:noProof/>
              </w:rPr>
              <w:t xml:space="preserve">remti </w:t>
            </w:r>
            <w:r w:rsidRPr="00E24E01">
              <w:rPr>
                <w:noProof/>
              </w:rPr>
              <w:t xml:space="preserve">bedarbiais esančių ir ekonomiškai neaktyvių asmenų praktinių darbo įgūdžių įgijimą, ugdymą darbo vietoje pagal </w:t>
            </w:r>
            <w:r w:rsidRPr="0070726C">
              <w:rPr>
                <w:noProof/>
              </w:rPr>
              <w:t>savanoriškos praktikos</w:t>
            </w:r>
            <w:r w:rsidRPr="00E24E01">
              <w:rPr>
                <w:noProof/>
              </w:rPr>
              <w:t xml:space="preserve"> sutartį</w:t>
            </w:r>
            <w:r w:rsidRPr="00A95C0B">
              <w:rPr>
                <w:noProof/>
              </w:rPr>
              <w:t>.</w:t>
            </w:r>
            <w:r w:rsidRPr="00A95C0B">
              <w:t xml:space="preserve"> Atitinkamai, siekiant užtikrinti tinkamą šios veiklos finansavimo</w:t>
            </w:r>
            <w:r w:rsidR="009B7902">
              <w:t xml:space="preserve"> sąlygų</w:t>
            </w:r>
            <w:r w:rsidRPr="00A95C0B">
              <w:t xml:space="preserve"> reglamentavimą, patikslintos Aprašo 3.8, 22.2,   32.2.1, 34.2, 44 ir 76 punktų nuostatos, taip pat papildytas Aprašo pakeitimo projektas naujais papunkčiais 32.2.3, 49.5, 53.5, 75.8.</w:t>
            </w:r>
          </w:p>
        </w:tc>
      </w:tr>
      <w:tr w:rsidR="00DA0402" w:rsidRPr="005A1876" w14:paraId="318DED0A" w14:textId="77777777" w:rsidTr="00DA0402">
        <w:tc>
          <w:tcPr>
            <w:tcW w:w="3330" w:type="dxa"/>
          </w:tcPr>
          <w:p w14:paraId="6BB4FADA" w14:textId="554CD49E" w:rsidR="00DA0402" w:rsidRDefault="00DA0402" w:rsidP="0070726C">
            <w:pPr>
              <w:jc w:val="both"/>
              <w:rPr>
                <w:noProof/>
              </w:rPr>
            </w:pPr>
            <w:r>
              <w:rPr>
                <w:noProof/>
              </w:rPr>
              <w:t xml:space="preserve">Utenos vietos veiklos grupė (pasiūlymas gautas 2017-11-13 el. paštu </w:t>
            </w:r>
            <w:hyperlink r:id="rId15" w:history="1">
              <w:r w:rsidRPr="00DB7C74">
                <w:rPr>
                  <w:rStyle w:val="Hipersaitas"/>
                  <w:noProof/>
                  <w:color w:val="auto"/>
                </w:rPr>
                <w:t>egle.sarkauskaite</w:t>
              </w:r>
              <w:r w:rsidRPr="00DB7C74">
                <w:rPr>
                  <w:rStyle w:val="Hipersaitas"/>
                  <w:noProof/>
                  <w:color w:val="auto"/>
                  <w:lang w:val="en-US"/>
                </w:rPr>
                <w:t>@vrm</w:t>
              </w:r>
            </w:hyperlink>
            <w:r w:rsidRPr="00DB7C74">
              <w:rPr>
                <w:noProof/>
                <w:lang w:val="en-US"/>
              </w:rPr>
              <w:t>.lt</w:t>
            </w:r>
            <w:r>
              <w:rPr>
                <w:noProof/>
                <w:lang w:val="en-US"/>
              </w:rPr>
              <w:t>)</w:t>
            </w:r>
          </w:p>
        </w:tc>
        <w:tc>
          <w:tcPr>
            <w:tcW w:w="4178" w:type="dxa"/>
          </w:tcPr>
          <w:p w14:paraId="7F858EFB" w14:textId="77777777" w:rsidR="00DA0402" w:rsidRDefault="00DA0402" w:rsidP="00DA0402">
            <w:pPr>
              <w:jc w:val="both"/>
              <w:rPr>
                <w:noProof/>
              </w:rPr>
            </w:pPr>
            <w:r>
              <w:rPr>
                <w:noProof/>
              </w:rPr>
              <w:t xml:space="preserve">Siūloma tikslinti Aprašo 53.4 papunkčio nuostatas taip, kad: </w:t>
            </w:r>
          </w:p>
          <w:p w14:paraId="41CB2E5E" w14:textId="77777777" w:rsidR="00DA0402" w:rsidRDefault="00DA0402" w:rsidP="00DA0402">
            <w:pPr>
              <w:pStyle w:val="Sraopastraipa"/>
              <w:numPr>
                <w:ilvl w:val="0"/>
                <w:numId w:val="3"/>
              </w:numPr>
              <w:jc w:val="both"/>
              <w:rPr>
                <w:noProof/>
              </w:rPr>
            </w:pPr>
            <w:r>
              <w:rPr>
                <w:noProof/>
              </w:rPr>
              <w:t>nebūtų ribojama galimybė pagal Aprašą finansuoti apgyvendinimo socialinės priežiūros ir (ar) globos įstaigose išlaidas ir su tuo  susijusias išlaidas;</w:t>
            </w:r>
          </w:p>
          <w:p w14:paraId="2ABE974E" w14:textId="77777777" w:rsidR="00DA0402" w:rsidRDefault="00DA0402" w:rsidP="00DA0402">
            <w:pPr>
              <w:pStyle w:val="Sraopastraipa"/>
              <w:numPr>
                <w:ilvl w:val="0"/>
                <w:numId w:val="3"/>
              </w:numPr>
              <w:jc w:val="both"/>
              <w:rPr>
                <w:noProof/>
              </w:rPr>
            </w:pPr>
            <w:r>
              <w:rPr>
                <w:noProof/>
              </w:rPr>
              <w:t>arba numatyti tam tikras išlygas, kurios neribotų galimybės pagal Aprašą finansuoti Utemos miesto vietos veiklos 2016-2022 m. vietos plėtros strategijos 1.2.1 veiksmo ,,Kompleksinės pagalbos teikimas priklausomybę turintiems ir smurtą patiriantiems asmenims“ įgyvendinimo;</w:t>
            </w:r>
          </w:p>
          <w:p w14:paraId="190880C6" w14:textId="6CBF45ED" w:rsidR="00DA0402" w:rsidRPr="00015D5A" w:rsidRDefault="00DA0402" w:rsidP="00DA0402">
            <w:pPr>
              <w:rPr>
                <w:noProof/>
                <w:sz w:val="22"/>
                <w:szCs w:val="22"/>
              </w:rPr>
            </w:pPr>
            <w:r>
              <w:rPr>
                <w:noProof/>
              </w:rPr>
              <w:t xml:space="preserve">arba būtų iš dalies (procentais) apribota apgyvendinimo socialinės priežiūros ir (ar) globos įstaigose išlaidų ir su tuo  susijusių išlaidų dalis  nuo visų tinkamų finansuoti projekto išlaidų. </w:t>
            </w:r>
          </w:p>
        </w:tc>
        <w:tc>
          <w:tcPr>
            <w:tcW w:w="7155" w:type="dxa"/>
          </w:tcPr>
          <w:p w14:paraId="18D3BBB7" w14:textId="77777777" w:rsidR="00E528C3" w:rsidRDefault="00DA0402" w:rsidP="00DA0402">
            <w:pPr>
              <w:jc w:val="both"/>
              <w:rPr>
                <w:noProof/>
              </w:rPr>
            </w:pPr>
            <w:r>
              <w:rPr>
                <w:noProof/>
              </w:rPr>
              <w:t>Atsižvelgta</w:t>
            </w:r>
            <w:r w:rsidR="00E528C3">
              <w:rPr>
                <w:noProof/>
              </w:rPr>
              <w:t>.</w:t>
            </w:r>
          </w:p>
          <w:p w14:paraId="7640DDE7" w14:textId="36F05BE9" w:rsidR="00DA0402" w:rsidRDefault="00DA0402" w:rsidP="00DA0402">
            <w:pPr>
              <w:jc w:val="both"/>
              <w:rPr>
                <w:noProof/>
              </w:rPr>
            </w:pPr>
            <w:r>
              <w:rPr>
                <w:noProof/>
              </w:rPr>
              <w:t>Apraše panaikinamas ribojimas pagal Aprašą finansuoti tikslinių grupių apgyvendinimo socialinės priežiūros ir (ar) globos įstaigose ir su tuo susijusias išlaidas.</w:t>
            </w:r>
          </w:p>
        </w:tc>
      </w:tr>
      <w:tr w:rsidR="00DA0402" w:rsidRPr="008C7FC8" w14:paraId="7157AE57" w14:textId="77777777" w:rsidTr="00E528C3">
        <w:trPr>
          <w:trHeight w:val="1985"/>
        </w:trPr>
        <w:tc>
          <w:tcPr>
            <w:tcW w:w="3330" w:type="dxa"/>
          </w:tcPr>
          <w:p w14:paraId="0FC327D2" w14:textId="049635A0" w:rsidR="00DA0402" w:rsidRPr="0078773D" w:rsidRDefault="00DA0402" w:rsidP="0070726C">
            <w:pPr>
              <w:jc w:val="both"/>
              <w:rPr>
                <w:noProof/>
              </w:rPr>
            </w:pPr>
            <w:r>
              <w:rPr>
                <w:noProof/>
              </w:rPr>
              <w:t xml:space="preserve">Panevėžio miesto vietos veiklos grupė (pastaba gauta 2017-11-03 per </w:t>
            </w:r>
            <w:r w:rsidRPr="00015D5A">
              <w:rPr>
                <w:noProof/>
              </w:rPr>
              <w:t>Valstybės ir savivaldybių teisės aktų projektų informacinę sistemą</w:t>
            </w:r>
            <w:r>
              <w:rPr>
                <w:noProof/>
              </w:rPr>
              <w:t>)</w:t>
            </w:r>
          </w:p>
        </w:tc>
        <w:tc>
          <w:tcPr>
            <w:tcW w:w="4178" w:type="dxa"/>
          </w:tcPr>
          <w:p w14:paraId="4CDB5E56" w14:textId="6F15EB10" w:rsidR="00DA0402" w:rsidRPr="0078773D" w:rsidRDefault="00DA0402" w:rsidP="00DA0402">
            <w:pPr>
              <w:jc w:val="both"/>
              <w:rPr>
                <w:noProof/>
              </w:rPr>
            </w:pPr>
            <w:r>
              <w:rPr>
                <w:noProof/>
              </w:rPr>
              <w:t xml:space="preserve">,,Kadangi bus rengiama paraiška, kuri jau įtraukta į valstybinio planavimo projektų sąrašą, todėl 1 priedo eilutė ,,Pareiškėjas nebandė gauti konfidencialios informacijos arba daryti poveikio vertinimą atliekančiai institucijai dabartinio paraiškų vertinimo arba </w:t>
            </w:r>
            <w:r>
              <w:rPr>
                <w:noProof/>
              </w:rPr>
              <w:lastRenderedPageBreak/>
              <w:t>atrankos proceso metu...“ nebetenka aktualumo dėl atrankos ir konkuravimo nebuvimo.“</w:t>
            </w:r>
          </w:p>
        </w:tc>
        <w:tc>
          <w:tcPr>
            <w:tcW w:w="7155" w:type="dxa"/>
          </w:tcPr>
          <w:p w14:paraId="6F5D0EEF" w14:textId="60A1BDED" w:rsidR="00DA0402" w:rsidRDefault="00DA0402" w:rsidP="00DA0402">
            <w:pPr>
              <w:jc w:val="both"/>
              <w:rPr>
                <w:noProof/>
              </w:rPr>
            </w:pPr>
            <w:r>
              <w:rPr>
                <w:noProof/>
              </w:rPr>
              <w:lastRenderedPageBreak/>
              <w:t>Neatsižvelgta.</w:t>
            </w:r>
          </w:p>
          <w:p w14:paraId="347105B9" w14:textId="484E04A8" w:rsidR="00DA0402" w:rsidRDefault="00DA0402" w:rsidP="00DA0402">
            <w:pPr>
              <w:jc w:val="both"/>
            </w:pPr>
            <w:r>
              <w:rPr>
                <w:noProof/>
              </w:rPr>
              <w:t xml:space="preserve">Pagal Aprašo 1 priede pateikiamą formą paraiškos dėl projekto finansavimo </w:t>
            </w:r>
            <w:r w:rsidR="00DB7C74">
              <w:rPr>
                <w:noProof/>
              </w:rPr>
              <w:t xml:space="preserve">vertinimą </w:t>
            </w:r>
            <w:r>
              <w:rPr>
                <w:noProof/>
              </w:rPr>
              <w:t>atlikusi įgyvendinančioji institucija turi pažymėti, ar p</w:t>
            </w:r>
            <w:r>
              <w:t xml:space="preserve">areiškėjas nebandė gauti konfidencialios informacijos arba daryti poveikio vertinimą atliekančiai institucijai paraiškų vertinimo arba atrankos proceso metu. Reikalavimas įgyvendinančiajai institucijai pateikti šią informaciją yra susijęs su tuo, kad Projektų administravimo </w:t>
            </w:r>
            <w:r>
              <w:lastRenderedPageBreak/>
              <w:t xml:space="preserve">ir finansavimo taisyklių, patvirtintų finansų ministro </w:t>
            </w:r>
            <w:r>
              <w:rPr>
                <w:color w:val="000000"/>
              </w:rPr>
              <w:t xml:space="preserve">2014-10-08 įsakymu Nr. 1K-316, (toliau – Projektų taisyklės) 122.1 papunkčio nuostatomis įgyvendinančiajai suteikta teisė atmesti paraišką dėl projekto finansavimo, jei </w:t>
            </w:r>
            <w:r w:rsidR="00DB7C74">
              <w:rPr>
                <w:color w:val="000000"/>
              </w:rPr>
              <w:t xml:space="preserve">ji paraiškos </w:t>
            </w:r>
            <w:r>
              <w:t>vertinimo metu nustato, kad pareiškėjas ar su paraiška susiję asmenys siekė gauti konfidencialią informaciją arba neteisėtai daryti įtaką vertinimo rezultatams ar vertintojams.</w:t>
            </w:r>
          </w:p>
          <w:p w14:paraId="3290A005" w14:textId="252BC0C2" w:rsidR="00DA0402" w:rsidRPr="00E722C4" w:rsidRDefault="00DA0402" w:rsidP="00DA0402">
            <w:pPr>
              <w:jc w:val="both"/>
              <w:rPr>
                <w:lang w:val="en-US"/>
              </w:rPr>
            </w:pPr>
            <w:r w:rsidRPr="00DB7C74">
              <w:rPr>
                <w:noProof/>
              </w:rPr>
              <w:t xml:space="preserve">Tai, kad projektai, kurie yra atrinkti vietos veiklos grupės ir kurie yra vidaus reikalų ministro įsakymu įtraukti į ministerijos siūlomų finansuoti vietos plėtros projektų sąrašą, teikia paraiškas ne konkurso tvarka, savaime neeliminuoja  neteisėtos įtakos darymo vertintojams rizikos -  įgyvendinančioji institucija vertindama paraiškas dėl projektų finansavimo pagal Aprašą, turi įvertinti ir pateikti išvadą dėl visų Aprašo 1 priedo lentelėje ,,Projekto tinkamumo finansuoti vertinimo lentelė” pateikiamų vertinimo aspektų, nustatyti maksimaliai galimą skirti projektui finansavimo sumą, priimti išvadą dėl projekto tinkamumo ar netinkamumo finansuoti pagal Aprašą ir nustatyti maksimaliai galimą projektui skirti finansavimo sumą, taip pat priimti kitus Projektų taisyklių 14, 15 ir 17 skirsniuose nustatytus sprendimus paraiškos vertinimo metu. Tai rodo, jog rizika, kad pareiškėjas gali turėti interesą paveikti paraiškos vertintoją paraiškos vertinimo metu, egzistuoja, todėl Aprašo 1 priede pateiktas vertintojui klausimas, ar </w:t>
            </w:r>
            <w:r>
              <w:rPr>
                <w:noProof/>
              </w:rPr>
              <w:t>pareiškėjas nebandė gauti konfidencialios informacijos arba daryti poveikio vertinimą atliekančiai institucijai dabartinio paraiškų vertinimo arba atrankos proceso metu, yra aktualus.</w:t>
            </w:r>
          </w:p>
        </w:tc>
      </w:tr>
      <w:tr w:rsidR="00DB7C74" w:rsidRPr="008C7FC8" w14:paraId="61981C1D" w14:textId="77777777" w:rsidTr="00DA0402">
        <w:trPr>
          <w:trHeight w:val="6231"/>
        </w:trPr>
        <w:tc>
          <w:tcPr>
            <w:tcW w:w="3330" w:type="dxa"/>
            <w:vMerge w:val="restart"/>
          </w:tcPr>
          <w:p w14:paraId="4203382B" w14:textId="0077C8C5" w:rsidR="00DB7C74" w:rsidRPr="00DB7C74" w:rsidRDefault="00DB7C74" w:rsidP="00DA0402">
            <w:pPr>
              <w:rPr>
                <w:noProof/>
              </w:rPr>
            </w:pPr>
            <w:r>
              <w:rPr>
                <w:noProof/>
              </w:rPr>
              <w:lastRenderedPageBreak/>
              <w:t>Biržų miesto vietos veiklos grupė (pastaba gauta 2017-11-08 e. paštu kristijonas.vaitilavicius</w:t>
            </w:r>
            <w:r>
              <w:rPr>
                <w:noProof/>
                <w:lang w:val="en-US"/>
              </w:rPr>
              <w:t>@vrm.lt)</w:t>
            </w:r>
          </w:p>
        </w:tc>
        <w:tc>
          <w:tcPr>
            <w:tcW w:w="4178" w:type="dxa"/>
          </w:tcPr>
          <w:p w14:paraId="108EA51D" w14:textId="36887EAD" w:rsidR="00DB7C74" w:rsidRDefault="00DB7C74" w:rsidP="00DA0402">
            <w:pPr>
              <w:jc w:val="both"/>
              <w:rPr>
                <w:noProof/>
              </w:rPr>
            </w:pPr>
            <w:r>
              <w:rPr>
                <w:noProof/>
              </w:rPr>
              <w:t>Siūloma tikslinti Aprašo 21 punkto nuostatą taip, kad būtų sudaryta galimybė veiklas vykdyti ne tik Lietuvos Respublikos teritorijoje, kadangi kai kuriais atvejais įgyvendinant vietos plėtros strategiją efektyviau veiklas vykdyti ne Lietuvos Respublikoje, o kaimyninėje valstybėje, pvz., siekiant socialinę atskirtį patiriantiems Biržų miesto gyventojams teikti socialkultūrines paslaugas (organizuoti jų išvykas, taip padedant tikslinei grupei pakeisti aplinką), ekonomiškiau vykti į Jūrmalą Latvijoje, nei, pvz., Vilnių ar Druskininkus.</w:t>
            </w:r>
          </w:p>
        </w:tc>
        <w:tc>
          <w:tcPr>
            <w:tcW w:w="7155" w:type="dxa"/>
          </w:tcPr>
          <w:p w14:paraId="02E465E4" w14:textId="77777777" w:rsidR="00DB7C74" w:rsidRDefault="00DB7C74" w:rsidP="00DA0402">
            <w:pPr>
              <w:jc w:val="both"/>
              <w:rPr>
                <w:noProof/>
              </w:rPr>
            </w:pPr>
            <w:r>
              <w:rPr>
                <w:noProof/>
              </w:rPr>
              <w:t xml:space="preserve">Neatsižvelgta. </w:t>
            </w:r>
          </w:p>
          <w:p w14:paraId="4B60F4B2" w14:textId="2698CCB2" w:rsidR="00DB7C74" w:rsidRDefault="00DB7C74" w:rsidP="00DA0402">
            <w:pPr>
              <w:jc w:val="both"/>
              <w:rPr>
                <w:noProof/>
              </w:rPr>
            </w:pPr>
            <w:r>
              <w:rPr>
                <w:noProof/>
              </w:rPr>
              <w:t xml:space="preserve">Veiksmų programos 8.6.1 konkretus uždavinys yra orientuotas į vietos problemų sprendimą pirmiausia išnaudojant vietos galimybes, vietos bendruomenių, verslo ir vietos valdžios ryšius. Galimybės </w:t>
            </w:r>
            <w:r>
              <w:t>P</w:t>
            </w:r>
            <w:r w:rsidRPr="007A54D7">
              <w:t xml:space="preserve">riemonė </w:t>
            </w:r>
            <w:r w:rsidRPr="00E52223">
              <w:rPr>
                <w:noProof/>
              </w:rPr>
              <w:t xml:space="preserve">,,Vietos plėtros strategijos įgyvendinimas“ </w:t>
            </w:r>
            <w:r>
              <w:rPr>
                <w:noProof/>
              </w:rPr>
              <w:t>lėšomis vykdyti projektų veiklas už Lietuvos Respublikos teritorijos ribų nustatytmas neatitiktų šios Priemonės įgyvendinimo krypties.</w:t>
            </w:r>
          </w:p>
        </w:tc>
      </w:tr>
      <w:tr w:rsidR="00DB7C74" w:rsidRPr="008C7FC8" w14:paraId="5AD493A2" w14:textId="77777777" w:rsidTr="00E528C3">
        <w:trPr>
          <w:trHeight w:val="1985"/>
        </w:trPr>
        <w:tc>
          <w:tcPr>
            <w:tcW w:w="3330" w:type="dxa"/>
            <w:vMerge/>
          </w:tcPr>
          <w:p w14:paraId="121F79BC" w14:textId="77777777" w:rsidR="00DB7C74" w:rsidRDefault="00DB7C74" w:rsidP="00DA0402">
            <w:pPr>
              <w:rPr>
                <w:noProof/>
              </w:rPr>
            </w:pPr>
            <w:bookmarkStart w:id="1" w:name="_Hlk499747757"/>
          </w:p>
        </w:tc>
        <w:tc>
          <w:tcPr>
            <w:tcW w:w="4178" w:type="dxa"/>
          </w:tcPr>
          <w:p w14:paraId="5C8DD7FE" w14:textId="00A68FC2" w:rsidR="00DB7C74" w:rsidRDefault="00DB7C74" w:rsidP="00DA0402">
            <w:pPr>
              <w:jc w:val="both"/>
              <w:rPr>
                <w:noProof/>
              </w:rPr>
            </w:pPr>
            <w:r>
              <w:rPr>
                <w:noProof/>
              </w:rPr>
              <w:t xml:space="preserve">Nepritariama numatytiems Aprašo 22.5 papunkčio nuostatų keitimams, t. y. tam, kad  </w:t>
            </w:r>
            <w:r w:rsidRPr="00063487">
              <w:rPr>
                <w:noProof/>
              </w:rPr>
              <w:t>iš Aprašo 10.4 papunk</w:t>
            </w:r>
            <w:r>
              <w:rPr>
                <w:noProof/>
              </w:rPr>
              <w:t xml:space="preserve">tyje </w:t>
            </w:r>
            <w:r w:rsidRPr="00063487">
              <w:rPr>
                <w:noProof/>
              </w:rPr>
              <w:t xml:space="preserve">nurodytų veiklų galimų tikslinių grupių sąrašo </w:t>
            </w:r>
            <w:r>
              <w:rPr>
                <w:noProof/>
              </w:rPr>
              <w:t xml:space="preserve">būtų </w:t>
            </w:r>
            <w:r w:rsidRPr="00063487">
              <w:rPr>
                <w:noProof/>
              </w:rPr>
              <w:t>išbraukia</w:t>
            </w:r>
            <w:r>
              <w:rPr>
                <w:noProof/>
              </w:rPr>
              <w:t>mos</w:t>
            </w:r>
            <w:r w:rsidRPr="00063487">
              <w:rPr>
                <w:noProof/>
              </w:rPr>
              <w:t xml:space="preserve"> besiribojančios teritorijos gyventoj</w:t>
            </w:r>
            <w:r>
              <w:rPr>
                <w:noProof/>
              </w:rPr>
              <w:t>ai,</w:t>
            </w:r>
            <w:r w:rsidRPr="00063487">
              <w:rPr>
                <w:noProof/>
              </w:rPr>
              <w:t xml:space="preserve"> asmen</w:t>
            </w:r>
            <w:r>
              <w:rPr>
                <w:noProof/>
              </w:rPr>
              <w:t>ys</w:t>
            </w:r>
            <w:r w:rsidRPr="00063487">
              <w:rPr>
                <w:noProof/>
              </w:rPr>
              <w:t>, kurių savarankiško darbo vykdymo vieta yra besiribojančioje teritorijoje, ir šių asmenų darbuotoj</w:t>
            </w:r>
            <w:r>
              <w:rPr>
                <w:noProof/>
              </w:rPr>
              <w:t>ai</w:t>
            </w:r>
            <w:r w:rsidRPr="00063487">
              <w:rPr>
                <w:noProof/>
              </w:rPr>
              <w:t xml:space="preserve"> ir juridinių asmenų, kurių veiklos vykdymo vieta yra besiribojančioje teritorijoje, darbuotoj</w:t>
            </w:r>
            <w:r>
              <w:rPr>
                <w:noProof/>
              </w:rPr>
              <w:t>ai</w:t>
            </w:r>
            <w:r w:rsidRPr="00063487">
              <w:rPr>
                <w:noProof/>
              </w:rPr>
              <w:t>, vienasmenini</w:t>
            </w:r>
            <w:r>
              <w:rPr>
                <w:noProof/>
              </w:rPr>
              <w:t>ai</w:t>
            </w:r>
            <w:r w:rsidRPr="00063487">
              <w:rPr>
                <w:noProof/>
              </w:rPr>
              <w:t xml:space="preserve"> valdymo organ</w:t>
            </w:r>
            <w:r>
              <w:rPr>
                <w:noProof/>
              </w:rPr>
              <w:t>ai</w:t>
            </w:r>
            <w:r w:rsidRPr="00063487">
              <w:rPr>
                <w:noProof/>
              </w:rPr>
              <w:t xml:space="preserve"> ir kolegialių valdymo organų nari</w:t>
            </w:r>
            <w:r>
              <w:rPr>
                <w:noProof/>
              </w:rPr>
              <w:t xml:space="preserve">ai. Nurodoma, kad toks keitimas apribotų projektų vykdytojų galimybes </w:t>
            </w:r>
            <w:r>
              <w:rPr>
                <w:noProof/>
              </w:rPr>
              <w:lastRenderedPageBreak/>
              <w:t>bendradarbiauti su kaimynine vietos veiklos grupe ir dėl tokio keitimo negalėtų būti įgyvendintas Biržų miesto plėtros strategijoje 2016-2020 m. numatytas 1.1.4 veiksmas ,,Bendradarbiavimo tinklo tarp Biržų miesto ir Biržų rajono VVG teritorijoje veikiančių viešojo sektoriaus institucijų, NVO ir verslo subjektų sukūrimas siekiant organizuoti tarpusavio ir bendros prekybos ir paslaugų teikimo grandines. Pagal Biržų miesto plėtros strategijoje 2016-2020 m. pateiktą veiksmo 1.1.4 aprašymą, vykdant šį veiksmą numatoma remti projektus, orientuotus į smulkaus ir vidutinio bei socialinio verslo plėtrą Biržų mieste per tinklo tarp Biržų miesto ir Biržų rajono VVG teritorijoje veikiančių viešojo sektoriaus institucijų, NVO ir verslo subjektų sukūrimą. Veiksmu norima paskatinti aktyvesnį bendruomenių ir visų gyventojų, teikiančių paslaugas, gaminančių ir parduodančių produktus ir prekes įsitraukimą, sudaryti galimybę tokias paslaugas teikiantiems keistis gerąja patirtimi, gauti mokymus, tobulinti ir plėsti savo paslaugas, jas reklamuoti žiniasklaidoje, renginiuose ir kt. priemonėmis rinkai pasiūlyti bendrą prekės ženklą.</w:t>
            </w:r>
          </w:p>
        </w:tc>
        <w:tc>
          <w:tcPr>
            <w:tcW w:w="7155" w:type="dxa"/>
          </w:tcPr>
          <w:p w14:paraId="2E445D88" w14:textId="552D1C23" w:rsidR="00DB7C74" w:rsidRDefault="00DB7C74" w:rsidP="00DA0402">
            <w:pPr>
              <w:jc w:val="both"/>
              <w:rPr>
                <w:noProof/>
              </w:rPr>
            </w:pPr>
            <w:r>
              <w:rPr>
                <w:noProof/>
              </w:rPr>
              <w:lastRenderedPageBreak/>
              <w:t>Neatsižvelgta.</w:t>
            </w:r>
          </w:p>
          <w:p w14:paraId="336A011A" w14:textId="348A67D9" w:rsidR="00DB7C74" w:rsidRPr="007A54D7" w:rsidRDefault="00DB7C74" w:rsidP="00DA0402">
            <w:pPr>
              <w:jc w:val="both"/>
            </w:pPr>
            <w:r>
              <w:t>P</w:t>
            </w:r>
            <w:r w:rsidRPr="007A54D7">
              <w:t xml:space="preserve">riemonė </w:t>
            </w:r>
            <w:r>
              <w:t>vykdoma</w:t>
            </w:r>
            <w:r w:rsidRPr="007A54D7">
              <w:t xml:space="preserve">, siekiant užtikrinti </w:t>
            </w:r>
            <w:r>
              <w:t xml:space="preserve">vieno iš </w:t>
            </w:r>
            <w:r w:rsidRPr="007A54D7">
              <w:t xml:space="preserve">2014-2020 metų Europos Sąjungos fondų investicijų veiksmų programos </w:t>
            </w:r>
            <w:r>
              <w:t xml:space="preserve">(toliau – Veiksmų programa) 8 prioriteto ,,Socialinės įtraukties didinimas ir kova su skurdu“ (toliau – 8 prioritetas) prioriteto uždavinių - </w:t>
            </w:r>
            <w:r w:rsidRPr="007A54D7">
              <w:t xml:space="preserve">8.6.1. konkretaus uždavinio ,,Pagerinti vietines įsidarbinimo galimybes ir didinti bendruomenių socialinę integraciją, išnaudojant vietos bendruomenių, verslo ir vietos valdžios ryšius“ </w:t>
            </w:r>
            <w:r>
              <w:t xml:space="preserve"> (toliau – 8.6.1 uždavinys) </w:t>
            </w:r>
            <w:r w:rsidRPr="007A54D7">
              <w:t>įgyvendinimą</w:t>
            </w:r>
            <w:r>
              <w:t>, todėl pagal šią Priemonę finansuojami projektai turi prisidėti tiek prie Veiksmų programos 8 prioriteto, tiek prie Veiksmų programos 8.6.1 uždavinio, tiek prie Priemonės tikslo įgyvendinimo.</w:t>
            </w:r>
          </w:p>
          <w:p w14:paraId="0E5A4F8D" w14:textId="67D9551F" w:rsidR="00DB7C74" w:rsidRDefault="00DB7C74" w:rsidP="00DA0402">
            <w:pPr>
              <w:jc w:val="both"/>
            </w:pPr>
            <w:r>
              <w:rPr>
                <w:noProof/>
              </w:rPr>
              <w:t xml:space="preserve">Pagal Aprašo 9 punkto nuostatas, Priemonės tikslas - </w:t>
            </w:r>
            <w:r>
              <w:t xml:space="preserve">įgyvendinant vietos plėtros strategijas </w:t>
            </w:r>
            <w:r w:rsidRPr="00DB7C74">
              <w:t>padidinti miestų bendruomenių socialinę integraciją ir pagerinti šių bendruomenių narių padėtį darbo rinkoje</w:t>
            </w:r>
            <w:r>
              <w:rPr>
                <w:b/>
              </w:rPr>
              <w:t xml:space="preserve">. </w:t>
            </w:r>
            <w:r w:rsidRPr="00B9589B">
              <w:t>Taigi nustatyt</w:t>
            </w:r>
            <w:r>
              <w:t>as</w:t>
            </w:r>
            <w:r w:rsidRPr="00B9589B">
              <w:t xml:space="preserve"> </w:t>
            </w:r>
            <w:r>
              <w:lastRenderedPageBreak/>
              <w:t>P</w:t>
            </w:r>
            <w:r w:rsidRPr="00B9589B">
              <w:t>riemonės tiksl</w:t>
            </w:r>
            <w:r>
              <w:t>as</w:t>
            </w:r>
            <w:r w:rsidRPr="00B9589B">
              <w:t xml:space="preserve"> </w:t>
            </w:r>
            <w:r>
              <w:t>rodo</w:t>
            </w:r>
            <w:r w:rsidRPr="00B9589B">
              <w:t xml:space="preserve">, kad naudą įgyvendinant </w:t>
            </w:r>
            <w:r>
              <w:t xml:space="preserve">vietos plėtros </w:t>
            </w:r>
            <w:r w:rsidRPr="00B9589B">
              <w:t>strategiją</w:t>
            </w:r>
            <w:r>
              <w:t xml:space="preserve"> ar atskirus jos veiksmus (konkrečiu atveju – naudą iš kuriamo bendradarbiavimo tinklo) </w:t>
            </w:r>
            <w:r w:rsidRPr="00B9589B">
              <w:t>turi gauti</w:t>
            </w:r>
            <w:r>
              <w:t xml:space="preserve"> </w:t>
            </w:r>
            <w:r w:rsidRPr="00B9589B">
              <w:t>miest</w:t>
            </w:r>
            <w:r>
              <w:t>o</w:t>
            </w:r>
            <w:r w:rsidRPr="00B9589B">
              <w:t xml:space="preserve"> vietos plėtros strategijų įgyvendinimo teritorij</w:t>
            </w:r>
            <w:r>
              <w:t>ų gyventojai, t. y. pagal Priemonę gali būti finansuojami projektai, kurie orientuoti į konkrečios miesto vietos plėtros strategijos įgyvendinimo teritorijoje</w:t>
            </w:r>
            <w:r w:rsidRPr="00B9589B">
              <w:t xml:space="preserve"> esančių </w:t>
            </w:r>
            <w:r>
              <w:t xml:space="preserve">gyventojų </w:t>
            </w:r>
            <w:r w:rsidRPr="00B9589B">
              <w:t xml:space="preserve">socialinės atskirties ir </w:t>
            </w:r>
            <w:r>
              <w:t xml:space="preserve">neužimtumo </w:t>
            </w:r>
            <w:r w:rsidRPr="00B9589B">
              <w:t>problem</w:t>
            </w:r>
            <w:r>
              <w:t xml:space="preserve">ų sprendimą. </w:t>
            </w:r>
          </w:p>
          <w:p w14:paraId="4721FD53" w14:textId="6A650576" w:rsidR="00DB7C74" w:rsidRDefault="00DB7C74" w:rsidP="00DA0402">
            <w:pPr>
              <w:jc w:val="both"/>
            </w:pPr>
            <w:r>
              <w:t>Aprašo nuostatomis nėra ribojama galimybė besiribojančių teritorijų gyventojams ar šioje teritorijoje veiklą vykdantiems juridiniams asmenims dalyvauti pagal Aprašą finansuojamų projektų įgyvendinime – jie ir nebūdami tiksline grupe  gali būti įtraukiami į miesto vietos plėtros strategijos (atskirų jos veiksmų) vykdymą t. y.: 1) būdami partneriais juridiniai asmenys ar jų filialai, atstovybės, kurie veiklą vykdo besiribojančioje teritorijoje, gali vykdyti pagal Aprašą finansuojamas projektų veiklas</w:t>
            </w:r>
            <w:r w:rsidR="00D21122">
              <w:t>;</w:t>
            </w:r>
            <w:r>
              <w:t xml:space="preserve">  2) ir (ar) besiribojančių teritorijų gyventojai ar šioje teritorijoje veiklą vykdančių juridinių asmenų atstovai gali panaudojant projektui skiriamo finansavimo lėšas dalyvauti vykdant projektų veiklas (pvz., būti kuriamo bendradarbiavimo ir informacijos sklaidos tinklo dalyviu), kai jų dalyvavimas yra reikalingas tam, kad būtų įgyvendinta projekto veikla ir pasiekti Priemonės tikslą atitinkantys rezultatai, t. y. prisidėta prie vietos plėtros strategijos įgyvendinimo teritorijos bendruomenės socialinės atskirties mažinimo ir (ar) užimtumo didinimo.</w:t>
            </w:r>
          </w:p>
          <w:p w14:paraId="209BE66D" w14:textId="77777777" w:rsidR="00DB7C74" w:rsidRDefault="00DB7C74" w:rsidP="00DA0402">
            <w:pPr>
              <w:jc w:val="both"/>
            </w:pPr>
          </w:p>
          <w:p w14:paraId="64AB26B1" w14:textId="5379D911" w:rsidR="00DB7C74" w:rsidRDefault="00DB7C74" w:rsidP="00DA0402">
            <w:pPr>
              <w:jc w:val="both"/>
              <w:rPr>
                <w:noProof/>
              </w:rPr>
            </w:pPr>
            <w:r>
              <w:rPr>
                <w:noProof/>
              </w:rPr>
              <w:t>Bendradarbiavimo ir informacijos slaidos tinkl</w:t>
            </w:r>
            <w:r w:rsidR="00D21122">
              <w:rPr>
                <w:noProof/>
              </w:rPr>
              <w:t>as</w:t>
            </w:r>
            <w:r>
              <w:rPr>
                <w:noProof/>
              </w:rPr>
              <w:t xml:space="preserve"> </w:t>
            </w:r>
            <w:r w:rsidR="00D21122">
              <w:rPr>
                <w:noProof/>
              </w:rPr>
              <w:t>-</w:t>
            </w:r>
            <w:r>
              <w:rPr>
                <w:noProof/>
              </w:rPr>
              <w:t xml:space="preserve"> tokia bendradarbiavimo forma, kuri lanksčiais ryšiais jungia bendrus tikslus </w:t>
            </w:r>
            <w:r w:rsidRPr="00E52223">
              <w:rPr>
                <w:noProof/>
              </w:rPr>
              <w:t>(</w:t>
            </w:r>
            <w:r w:rsidRPr="00E52223">
              <w:rPr>
                <w:i/>
                <w:noProof/>
              </w:rPr>
              <w:t xml:space="preserve">kurie atitinka </w:t>
            </w:r>
            <w:r>
              <w:rPr>
                <w:i/>
                <w:noProof/>
              </w:rPr>
              <w:t>P</w:t>
            </w:r>
            <w:r w:rsidRPr="00684F75">
              <w:rPr>
                <w:i/>
                <w:noProof/>
              </w:rPr>
              <w:t>riemonės</w:t>
            </w:r>
            <w:r w:rsidRPr="00E52223">
              <w:rPr>
                <w:i/>
                <w:noProof/>
              </w:rPr>
              <w:t xml:space="preserve">  tikslą ir vietos plėtros strategijos tikslą, uždavinį ir (ar) veiksmus</w:t>
            </w:r>
            <w:r w:rsidRPr="00E52223">
              <w:rPr>
                <w:noProof/>
              </w:rPr>
              <w:t>)</w:t>
            </w:r>
            <w:r>
              <w:rPr>
                <w:noProof/>
              </w:rPr>
              <w:t xml:space="preserve"> turinčias organizacijas, asmenis, jų grupes ir įgalina juos dalintis informacija, žiniomis, patirtimi vardan to, kad būtų padidintas tinklo dalyvių veiklos, kuri nukreipta tiek į Priemonės</w:t>
            </w:r>
            <w:r>
              <w:rPr>
                <w:i/>
                <w:noProof/>
              </w:rPr>
              <w:t xml:space="preserve"> </w:t>
            </w:r>
            <w:r>
              <w:rPr>
                <w:noProof/>
              </w:rPr>
              <w:t xml:space="preserve">tikslo, tiek į vietos plėtros strategijos tikslo, uždavinio ir (ar) veiksmo įgyvendinimą (siekimą), efektyvumas. </w:t>
            </w:r>
          </w:p>
          <w:p w14:paraId="05CBAAAF" w14:textId="084EB31D" w:rsidR="00DB7C74" w:rsidRDefault="00DB7C74" w:rsidP="00DA0402">
            <w:pPr>
              <w:jc w:val="both"/>
              <w:rPr>
                <w:noProof/>
              </w:rPr>
            </w:pPr>
            <w:r>
              <w:rPr>
                <w:noProof/>
              </w:rPr>
              <w:t xml:space="preserve">Tokios projektų veiklos, kurios būtų nukreiptos į jau verslą vykdančių verslo subjektų (kurie nėra jauno verslo subjektais) veiklos vystymą, konkurencingumo ir pelningumo didinimą (nepriklausomai nuo to, kurioje teritorijoje yra verslo vykdymo vieta), t. y. tokių subjektų mokymas, konsultavimas, jų reklamavimas, kt.  rinkodaros priemonių </w:t>
            </w:r>
            <w:r>
              <w:rPr>
                <w:noProof/>
              </w:rPr>
              <w:lastRenderedPageBreak/>
              <w:t>vykdymas ir pan., neatitiktų Veiksmų programos 8 prioriteto, 8.6.1 uždavinio ir Priemonės tikslo, todėl pagal Priemonę negalėtų būti finansuojamos.</w:t>
            </w:r>
          </w:p>
          <w:p w14:paraId="45BA4BF4" w14:textId="26909F26" w:rsidR="00DB7C74" w:rsidRDefault="00DB7C74" w:rsidP="00DA0402">
            <w:pPr>
              <w:jc w:val="both"/>
              <w:rPr>
                <w:noProof/>
              </w:rPr>
            </w:pPr>
            <w:r w:rsidRPr="00BC5390">
              <w:rPr>
                <w:noProof/>
              </w:rPr>
              <w:t>Biržų miesto</w:t>
            </w:r>
            <w:r>
              <w:rPr>
                <w:b/>
                <w:noProof/>
              </w:rPr>
              <w:t xml:space="preserve"> </w:t>
            </w:r>
            <w:r>
              <w:rPr>
                <w:noProof/>
              </w:rPr>
              <w:t>plėtros strategijos 2016-2020 m. veiksmas 1.1.4 galės būti finansuojamas:</w:t>
            </w:r>
          </w:p>
          <w:p w14:paraId="7DB8D00F" w14:textId="1DB3A486" w:rsidR="00DB7C74" w:rsidRDefault="00DB7C74" w:rsidP="00DA0402">
            <w:pPr>
              <w:pStyle w:val="Sraopastraipa"/>
              <w:numPr>
                <w:ilvl w:val="0"/>
                <w:numId w:val="6"/>
              </w:numPr>
              <w:ind w:left="0" w:firstLine="360"/>
              <w:jc w:val="both"/>
              <w:rPr>
                <w:noProof/>
              </w:rPr>
            </w:pPr>
            <w:r>
              <w:rPr>
                <w:noProof/>
              </w:rPr>
              <w:t xml:space="preserve"> pagal </w:t>
            </w:r>
            <w:r w:rsidRPr="00D21122">
              <w:rPr>
                <w:noProof/>
              </w:rPr>
              <w:t xml:space="preserve">Aprašo 10.4 papunktyje numatytą veiklą galės būti finansuojamos tos veiksmui </w:t>
            </w:r>
            <w:r w:rsidR="00D21122">
              <w:rPr>
                <w:noProof/>
              </w:rPr>
              <w:t xml:space="preserve">Nr. 1.1.4 </w:t>
            </w:r>
            <w:r w:rsidRPr="00D21122">
              <w:rPr>
                <w:noProof/>
              </w:rPr>
              <w:t>įgyvendinti skirtos projektų veiklos, kurios apims bendradarbiavimo tinklo dalyvių dalinimąsi informacija, žiniomis, patirtimi, siekiant efektyviau spręsti su bendruomenės verslumo didinimu (t. y. skatinimu imtis verslo, naujo verslo kūrimo ir (ar) pradedamo verslo plėtojimu) susijusius klausimus</w:t>
            </w:r>
            <w:r w:rsidR="00D21122">
              <w:rPr>
                <w:noProof/>
              </w:rPr>
              <w:t>, pvz.,</w:t>
            </w:r>
            <w:r w:rsidRPr="00D21122">
              <w:rPr>
                <w:noProof/>
              </w:rPr>
              <w:t xml:space="preserve">  nišų kurtis ar plėtotis jaunam verslui sudarymas, kuriant bendros prekybos ir paslaugų teikimo grandines Biržų miesto ir Biržų rajono teritorijose</w:t>
            </w:r>
            <w:r>
              <w:rPr>
                <w:noProof/>
              </w:rPr>
              <w:t xml:space="preserve">; </w:t>
            </w:r>
            <w:r>
              <w:t>besiribojančios teritorijos gyventojai, besiribojančiose teritorijose veiklą vykdantys juridiniai asmenys ar savarankišką veiklą vykdantys asmenys gali būti bendradarbiavimo tinklo dalyviais ir jų dalyvavimo tokio bendradarbiavimo tinklo kūrime ir palaikyme išlaidos (kelionės, dalyvavimo renginiuose ir su tuo susijusios išlaidos) galės būti finansuojamos Priemonės lėšomis;</w:t>
            </w:r>
          </w:p>
          <w:p w14:paraId="48A41C0A" w14:textId="28A25ABB" w:rsidR="00DB7C74" w:rsidRDefault="00DB7C74" w:rsidP="00E528C3">
            <w:pPr>
              <w:pStyle w:val="Sraopastraipa"/>
              <w:numPr>
                <w:ilvl w:val="0"/>
                <w:numId w:val="6"/>
              </w:numPr>
              <w:ind w:left="0" w:firstLine="360"/>
              <w:jc w:val="both"/>
              <w:rPr>
                <w:noProof/>
              </w:rPr>
            </w:pPr>
            <w:r>
              <w:rPr>
                <w:noProof/>
              </w:rPr>
              <w:t xml:space="preserve">pagal Aprašo 10.3.2 papunktyje numatytą veiklą galės būti finansuojamos tos veiksmui įgyvendinti skirtos projektų veiklos, kurios apima pagalbos jauno verslo subjektams teikimą, šiuos mokant, reklamuojant, padedant jiems rasti tiekėjus, klientus (taip pat ir iš tų, kurie veiklą vykdo besiribojančioje teritorijoje), spręsti rinkodaros klausimus  ir pan. </w:t>
            </w:r>
          </w:p>
        </w:tc>
      </w:tr>
      <w:bookmarkEnd w:id="1"/>
      <w:tr w:rsidR="00DA0402" w:rsidRPr="008C7FC8" w14:paraId="17C57BF8" w14:textId="77777777" w:rsidTr="00DA0402">
        <w:trPr>
          <w:trHeight w:val="6231"/>
        </w:trPr>
        <w:tc>
          <w:tcPr>
            <w:tcW w:w="3330" w:type="dxa"/>
          </w:tcPr>
          <w:p w14:paraId="77ED5EB8" w14:textId="5F3A3F8B" w:rsidR="00DA0402" w:rsidRPr="0051359B" w:rsidRDefault="00DA0402" w:rsidP="00DA0402">
            <w:pPr>
              <w:rPr>
                <w:noProof/>
                <w:lang w:val="en-US"/>
              </w:rPr>
            </w:pPr>
            <w:r>
              <w:rPr>
                <w:noProof/>
              </w:rPr>
              <w:lastRenderedPageBreak/>
              <w:t>Pakruojo miesto vietos veiklos grupė (pasiūlymai, pastabos, klausimai gauti 2017-11-09 el. paštu kristijonas.vaitilavicius</w:t>
            </w:r>
            <w:r>
              <w:rPr>
                <w:noProof/>
                <w:lang w:val="en-US"/>
              </w:rPr>
              <w:t>@vrm.lt)</w:t>
            </w:r>
          </w:p>
        </w:tc>
        <w:tc>
          <w:tcPr>
            <w:tcW w:w="4178" w:type="dxa"/>
          </w:tcPr>
          <w:p w14:paraId="6857A291" w14:textId="5D759884" w:rsidR="00DA0402" w:rsidRDefault="00DA0402" w:rsidP="00DA0402">
            <w:pPr>
              <w:jc w:val="both"/>
              <w:rPr>
                <w:noProof/>
              </w:rPr>
            </w:pPr>
            <w:r>
              <w:rPr>
                <w:noProof/>
              </w:rPr>
              <w:t>Siūloma tikslinti Aprašo 3.4 papunktyje pateikto jauno verslo subjekto sąvokos apibrėžimą, nustatant, kad labai maža įmonė laikoma jaunu verslo sujektu ir tuo atveju, jei jos pagrindinis akcininkas (turintis daugiau kaip 50 proc. akcijų) arba, kai juridinis asmuo neturi ir negali turėti akcininkų, – juridinio asmens vienasmenis valdymo organas arba valdymo organo vadovas yra įregistravęs įmonę pirmą kartą.</w:t>
            </w:r>
          </w:p>
        </w:tc>
        <w:tc>
          <w:tcPr>
            <w:tcW w:w="7155" w:type="dxa"/>
          </w:tcPr>
          <w:p w14:paraId="6CEA5F34" w14:textId="3539B85E" w:rsidR="00DA0402" w:rsidRDefault="00DA0402" w:rsidP="00DA0402">
            <w:pPr>
              <w:jc w:val="both"/>
              <w:rPr>
                <w:noProof/>
              </w:rPr>
            </w:pPr>
            <w:r>
              <w:rPr>
                <w:noProof/>
              </w:rPr>
              <w:t xml:space="preserve">Neatsižvelgta. </w:t>
            </w:r>
          </w:p>
          <w:p w14:paraId="0262BC61" w14:textId="2CC3E64A" w:rsidR="00DA0402" w:rsidRDefault="00DA0402" w:rsidP="00DA0402">
            <w:pPr>
              <w:jc w:val="both"/>
              <w:rPr>
                <w:noProof/>
              </w:rPr>
            </w:pPr>
            <w:r>
              <w:rPr>
                <w:noProof/>
              </w:rPr>
              <w:t>Jauno verslo subjekto sąvoka Apraše siejama su juridinio asmens (labai mažos įmonės) veiklos trukme, siekiant užtikrinti, kad investicijos būtų nukreipiamos į bendruomenės užimtumo didėjimą, pirmiausia patiems bendruomenės nariams kuriant sau darbo vietas, taip pat padedant naujai susikūrusiems verslams startuoti.</w:t>
            </w:r>
          </w:p>
          <w:p w14:paraId="050479E8" w14:textId="1EFDF4EA" w:rsidR="00DA0402" w:rsidRDefault="00DA0402" w:rsidP="00DA0402">
            <w:pPr>
              <w:jc w:val="both"/>
              <w:rPr>
                <w:noProof/>
              </w:rPr>
            </w:pPr>
            <w:r>
              <w:rPr>
                <w:noProof/>
              </w:rPr>
              <w:t>Investavimas į įmonių, kurių bent vienas iš akcininkų akcininku yra pirmą kartą ir (ar) kurių valdymo organas ar valdymo organo vadovas tokias pareigas eina pirmą kartą, veiklos plėtrą (nepriklausomai nuo to, kiek seniai pats verslo subjektas vykdo veiklą), reikštų investavimą į esamo verslo pelningumo, konkurencingumo didinimą, todėl neatitiktų Veiksmų programos 8 prioriteto, 8.6.1 uždavinio ir Priemonės tikslo.</w:t>
            </w:r>
          </w:p>
        </w:tc>
      </w:tr>
      <w:tr w:rsidR="00DA0402" w:rsidRPr="008C7FC8" w14:paraId="450DFC66" w14:textId="77777777" w:rsidTr="00DA0402">
        <w:trPr>
          <w:trHeight w:val="6231"/>
        </w:trPr>
        <w:tc>
          <w:tcPr>
            <w:tcW w:w="3330" w:type="dxa"/>
          </w:tcPr>
          <w:p w14:paraId="647F1041" w14:textId="77777777" w:rsidR="00DA0402" w:rsidRDefault="00DA0402" w:rsidP="00DA0402">
            <w:pPr>
              <w:rPr>
                <w:noProof/>
              </w:rPr>
            </w:pPr>
          </w:p>
        </w:tc>
        <w:tc>
          <w:tcPr>
            <w:tcW w:w="4178" w:type="dxa"/>
          </w:tcPr>
          <w:p w14:paraId="799F808D" w14:textId="500BDBDD" w:rsidR="00DA0402" w:rsidRDefault="00DA0402" w:rsidP="00DA0402">
            <w:pPr>
              <w:jc w:val="both"/>
              <w:rPr>
                <w:noProof/>
              </w:rPr>
            </w:pPr>
            <w:r>
              <w:rPr>
                <w:noProof/>
              </w:rPr>
              <w:t>Siūloma papildyti Aprašo 1 priedą ,,Projekto tinkamumo finansuoti vertinimo lentelė“ 3 punktą ,,Projektu siekiama aiškių ir realių kiekybinių uždavinių“ nauju papunkčiu: ,,3.4. Projektu prisidedama prie vietos plėtros strategijos, kuriai įgyvendinti skirtas projektas, įgyvendinimo ir įgyvendinimo stebėsenos rodiklių pasiekimo“.</w:t>
            </w:r>
          </w:p>
        </w:tc>
        <w:tc>
          <w:tcPr>
            <w:tcW w:w="7155" w:type="dxa"/>
          </w:tcPr>
          <w:p w14:paraId="5ECDAB80" w14:textId="65DE5DFE" w:rsidR="00DA0402" w:rsidRDefault="00DA0402" w:rsidP="00DA0402">
            <w:pPr>
              <w:jc w:val="both"/>
              <w:rPr>
                <w:noProof/>
              </w:rPr>
            </w:pPr>
            <w:r>
              <w:rPr>
                <w:noProof/>
              </w:rPr>
              <w:t>Neatsižvelgta, kadangi:</w:t>
            </w:r>
          </w:p>
          <w:p w14:paraId="27574E34" w14:textId="77777777" w:rsidR="00DA0402" w:rsidRPr="00CE15F2" w:rsidRDefault="00DA0402" w:rsidP="00DA0402">
            <w:pPr>
              <w:pStyle w:val="Sraopastraipa"/>
              <w:numPr>
                <w:ilvl w:val="0"/>
                <w:numId w:val="4"/>
              </w:numPr>
              <w:ind w:left="0" w:firstLine="360"/>
              <w:jc w:val="both"/>
              <w:rPr>
                <w:bCs/>
              </w:rPr>
            </w:pPr>
            <w:r>
              <w:rPr>
                <w:noProof/>
              </w:rPr>
              <w:t>Aprašo priedo papildymas nauju vertinimo klausimu, pagal kurį būtų vertinama, ar projektu prisidedama prie vietos plėtros strategijos įgyvendinimo, būtų perteklinis, nes:</w:t>
            </w:r>
          </w:p>
          <w:p w14:paraId="69451023" w14:textId="635D72FE" w:rsidR="00DA0402" w:rsidRDefault="00DA0402" w:rsidP="00DA0402">
            <w:pPr>
              <w:pStyle w:val="Sraopastraipa"/>
              <w:ind w:left="36" w:firstLine="324"/>
              <w:jc w:val="both"/>
              <w:rPr>
                <w:bCs/>
              </w:rPr>
            </w:pPr>
            <w:r>
              <w:rPr>
                <w:noProof/>
              </w:rPr>
              <w:t xml:space="preserve">- dubliuotų Aprašo 1 priede pateikiamos lentelės 2.1 papunkčio nuostatas. Aprašo 1 priede pateikiamos lentelės 2.1 papunktyje nustatytas reikalavimas, kad projektas turi atitikti  </w:t>
            </w:r>
            <w:r>
              <w:t xml:space="preserve">strateginio planavimo dokumentų nuostatas, t. y. projektas turi atitikti specialiuosius projektų atrankos kriterijus, nurodytus Aprašo 19 punkte. Vienas iš nurodytame Aprašo punkte nustatytų specialiųjų projektų atrankos kriterijų - ,,19.1. </w:t>
            </w:r>
            <w:r w:rsidRPr="006A6BA3">
              <w:rPr>
                <w:bCs/>
              </w:rPr>
              <w:t xml:space="preserve">projektas turi atitikti vietos plėtros strategiją, kuri vidaus reikalų ministro įsakymu įtraukta į siūlomų finansuoti didžiųjų miestų vietos plėtros strategijų sąrašą arba siūlomų finansuoti vietos plėtros strategijų sąrašą; </w:t>
            </w:r>
            <w:r>
              <w:rPr>
                <w:color w:val="000000"/>
              </w:rPr>
              <w:t xml:space="preserve">laikoma, kad projektas atitinka šį specialųjį projektų atrankos kriterijų, jei projektas </w:t>
            </w:r>
            <w:r>
              <w:rPr>
                <w:bCs/>
              </w:rPr>
              <w:t>atitinka bent vieną iš veiksmų, nurodytų vietos plėtros strategijos, kuri vidaus reikalų ministro įsakymu įtraukta į siūlomų finansuoti didžiųjų miestų vietos plėtros strategijų sąrašą arba siūlomų finansuoti vietos plėtros strategijų sąrašą, dalyje „Vietos plėtros strategijos įgyvendinimo veiksmų planas“;“;</w:t>
            </w:r>
          </w:p>
          <w:p w14:paraId="131155D7" w14:textId="491494D6" w:rsidR="00DA0402" w:rsidRDefault="00DA0402" w:rsidP="00DA0402">
            <w:pPr>
              <w:pStyle w:val="Sraopastraipa"/>
              <w:ind w:left="36" w:firstLine="324"/>
              <w:jc w:val="both"/>
            </w:pPr>
            <w:r>
              <w:rPr>
                <w:bCs/>
              </w:rPr>
              <w:t>- iš dalies dubliuotų Aprašo 1 priede pateikiamos lentelės 3.1 papunkčio nuostatas. Aprašo 1 priede pateikiam</w:t>
            </w:r>
            <w:r w:rsidR="00D21122">
              <w:rPr>
                <w:bCs/>
              </w:rPr>
              <w:t>o</w:t>
            </w:r>
            <w:r>
              <w:rPr>
                <w:bCs/>
              </w:rPr>
              <w:t>s lentelės 3.1 papunktyje nustatytas reikalavimas, kad p</w:t>
            </w:r>
            <w:r>
              <w:t xml:space="preserve">rojektas turi prisidėti prie bent vieno projektų finansavimo sąlygų apraše nustatyto veiksmų programos ir (arba) ministerijos priemonių įgyvendinimo plane nurodyto nacionalinio produkto ir (arba) rezultato rodiklio pasiekimo, t. y. </w:t>
            </w:r>
            <w:r>
              <w:rPr>
                <w:bCs/>
              </w:rPr>
              <w:t xml:space="preserve">projektas </w:t>
            </w:r>
            <w:r>
              <w:t>turi siekti priemonės įgyvendinimo stebėsenos rodiklių ir minimalių jų siektinų reikšmių, nurodytų Aprašo 24 punkte. Aprašo 24 punkte nurodyti projekt</w:t>
            </w:r>
            <w:r w:rsidR="00D21122">
              <w:t xml:space="preserve">u </w:t>
            </w:r>
            <w:r>
              <w:t xml:space="preserve">siekti </w:t>
            </w:r>
            <w:r w:rsidR="00D21122">
              <w:t>P</w:t>
            </w:r>
            <w:r>
              <w:t>riemonės įgyvendinimo stebėsenos rodikliai ,,</w:t>
            </w:r>
            <w:r>
              <w:rPr>
                <w:rFonts w:eastAsia="AngsanaUPC"/>
                <w:bCs/>
                <w:iCs/>
              </w:rPr>
              <w:t>BIVP projektų veiklų dalyviai (įskaitant visas tikslines grupes)“ ir „Projektų, kuriuos visiškai arba iš dalies įgyvendino socialiniai partneriai ar NVO, skaičius“</w:t>
            </w:r>
            <w:r w:rsidR="00D21122">
              <w:rPr>
                <w:rFonts w:eastAsia="AngsanaUPC"/>
                <w:bCs/>
                <w:iCs/>
              </w:rPr>
              <w:t xml:space="preserve"> </w:t>
            </w:r>
            <w:r>
              <w:rPr>
                <w:rFonts w:eastAsia="AngsanaUPC"/>
                <w:bCs/>
                <w:iCs/>
              </w:rPr>
              <w:t xml:space="preserve"> yra </w:t>
            </w:r>
            <w:r w:rsidR="00D21122">
              <w:rPr>
                <w:rFonts w:eastAsia="AngsanaUPC"/>
                <w:bCs/>
                <w:iCs/>
              </w:rPr>
              <w:t>V</w:t>
            </w:r>
            <w:r>
              <w:t>eiksmų programoje 8.6.1 uždaviniui</w:t>
            </w:r>
            <w:r w:rsidR="00D21122">
              <w:t xml:space="preserve"> </w:t>
            </w:r>
            <w:r>
              <w:t>nustatyti produkto rodikliai. Vadovaujantis Vietos plėtros strategijų rengimo taisyklių, patvirtintų vidaus reikalų ministro 2015 m. sausio 22 d. įsakymu Nr. 1V-36, 17.3.3 papunkčio nuostatomis vietos plėtros strategijose</w:t>
            </w:r>
            <w:r>
              <w:rPr>
                <w:sz w:val="22"/>
                <w:szCs w:val="22"/>
              </w:rPr>
              <w:t xml:space="preserve"> </w:t>
            </w:r>
            <w:r>
              <w:t xml:space="preserve">be kitų produkto rodiklių yra nustatyti produkto rodikliai, atitinkantys </w:t>
            </w:r>
            <w:r w:rsidR="00D21122">
              <w:t>V</w:t>
            </w:r>
            <w:r>
              <w:t xml:space="preserve">eiksmų programos 8.6.1 uždaviniui nustatytus </w:t>
            </w:r>
            <w:r>
              <w:lastRenderedPageBreak/>
              <w:t xml:space="preserve">produkto rodiklius, t. y. Aprašo 24 punkte nurodytus </w:t>
            </w:r>
            <w:r w:rsidR="00D21122">
              <w:t>P</w:t>
            </w:r>
            <w:r>
              <w:t>riemonės įgyvendinimo stebėsenos produkto rodiklius. Taigi įgyvendinančioji institucija, vertindama paraiškas, jau įvertina, ar projektas prisideda prie pirmiau nurodytų rodiklių, kurie yra numatyti ir vietos plėtros strategijose;</w:t>
            </w:r>
          </w:p>
          <w:p w14:paraId="7713937C" w14:textId="47796859" w:rsidR="00DA0402" w:rsidRDefault="00DA0402" w:rsidP="00DA0402">
            <w:pPr>
              <w:pStyle w:val="Sraopastraipa"/>
              <w:ind w:left="36" w:firstLine="324"/>
              <w:jc w:val="both"/>
              <w:rPr>
                <w:noProof/>
              </w:rPr>
            </w:pPr>
            <w:r>
              <w:rPr>
                <w:bCs/>
              </w:rPr>
              <w:t xml:space="preserve">2) </w:t>
            </w:r>
            <w:r>
              <w:rPr>
                <w:noProof/>
              </w:rPr>
              <w:t xml:space="preserve">Aprašo priedo lentelėje ,,Projekto tinkamumo finansuoti vertinimo lentelė“ yra nusatatyti reikalavimai projektams ir atitikties jiems vertinimo </w:t>
            </w:r>
            <w:r>
              <w:rPr>
                <w:bCs/>
              </w:rPr>
              <w:t xml:space="preserve"> aspektai, kuriais remiantis įgyvendinančioji institucija ir ministerija atlieka projektų finansavimo pagal Aprašą tinkamumo įvertinimą. Tuo tarpu pagal Strategijų atrankos ir įgyvendinimo taisyklių III  skyriaus 1, 2 ir 3 skirsnių nuostatas už projektinių pasiūlymų atrankos sąlygų nustatymą (tarp jų ir reikalavimus projektams), atrankos ir vertinimo vykdymą </w:t>
            </w:r>
            <w:r>
              <w:rPr>
                <w:color w:val="000000"/>
              </w:rPr>
              <w:t xml:space="preserve">yra atsakinga miesto vietos veiklos grupė. Tai reiškia, kad projektų atitikties įvertinimą tiems vietos plėtros strategijos įgyvendinimo stebėsenos rodikliams, kurie nėra numatyti Aprašo 24 punkte, turi užtikrinti pati miesto vietos veiklos grupė. </w:t>
            </w:r>
          </w:p>
        </w:tc>
      </w:tr>
    </w:tbl>
    <w:p w14:paraId="3CB9EC84" w14:textId="77777777" w:rsidR="008F7B2D" w:rsidRPr="008C7FC8" w:rsidRDefault="008F7B2D" w:rsidP="008F7B2D">
      <w:pPr>
        <w:rPr>
          <w:noProof/>
          <w:sz w:val="22"/>
          <w:szCs w:val="22"/>
        </w:rPr>
      </w:pPr>
    </w:p>
    <w:p w14:paraId="43B34B82" w14:textId="77777777" w:rsidR="008F7B2D" w:rsidRPr="008C7FC8" w:rsidRDefault="008F7B2D" w:rsidP="008F7B2D">
      <w:pPr>
        <w:jc w:val="center"/>
        <w:rPr>
          <w:noProof/>
          <w:u w:val="single"/>
        </w:rPr>
      </w:pPr>
      <w:r w:rsidRPr="008C7FC8">
        <w:rPr>
          <w:noProof/>
          <w:u w:val="single"/>
        </w:rPr>
        <w:tab/>
      </w:r>
      <w:r w:rsidRPr="008C7FC8">
        <w:rPr>
          <w:noProof/>
          <w:u w:val="single"/>
        </w:rPr>
        <w:tab/>
      </w:r>
      <w:r w:rsidRPr="008C7FC8">
        <w:rPr>
          <w:noProof/>
          <w:u w:val="single"/>
        </w:rPr>
        <w:tab/>
      </w:r>
      <w:r w:rsidRPr="008C7FC8">
        <w:rPr>
          <w:noProof/>
          <w:u w:val="single"/>
        </w:rPr>
        <w:tab/>
      </w:r>
      <w:r w:rsidRPr="008C7FC8">
        <w:rPr>
          <w:noProof/>
          <w:u w:val="single"/>
        </w:rPr>
        <w:tab/>
      </w:r>
      <w:r w:rsidRPr="008C7FC8">
        <w:rPr>
          <w:noProof/>
          <w:u w:val="single"/>
        </w:rPr>
        <w:tab/>
      </w:r>
      <w:r w:rsidRPr="008C7FC8">
        <w:rPr>
          <w:noProof/>
          <w:u w:val="single"/>
        </w:rPr>
        <w:tab/>
      </w:r>
    </w:p>
    <w:p w14:paraId="5064A5F9" w14:textId="77777777" w:rsidR="008F7B2D" w:rsidRDefault="008F7B2D" w:rsidP="008F7B2D"/>
    <w:p w14:paraId="404022F0" w14:textId="77777777" w:rsidR="008F7B2D" w:rsidRDefault="008F7B2D" w:rsidP="008F7B2D"/>
    <w:p w14:paraId="77893716" w14:textId="77777777" w:rsidR="008F7B2D" w:rsidRDefault="008F7B2D"/>
    <w:sectPr w:rsidR="008F7B2D" w:rsidSect="00DA0402">
      <w:headerReference w:type="default" r:id="rId16"/>
      <w:pgSz w:w="16838" w:h="11906" w:orient="landscape"/>
      <w:pgMar w:top="709"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14C67" w14:textId="77777777" w:rsidR="002438D4" w:rsidRDefault="002438D4" w:rsidP="00DA0402">
      <w:r>
        <w:separator/>
      </w:r>
    </w:p>
  </w:endnote>
  <w:endnote w:type="continuationSeparator" w:id="0">
    <w:p w14:paraId="32022F5F" w14:textId="77777777" w:rsidR="002438D4" w:rsidRDefault="002438D4" w:rsidP="00DA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77E65" w14:textId="77777777" w:rsidR="002438D4" w:rsidRDefault="002438D4" w:rsidP="00DA0402">
      <w:r>
        <w:separator/>
      </w:r>
    </w:p>
  </w:footnote>
  <w:footnote w:type="continuationSeparator" w:id="0">
    <w:p w14:paraId="01849769" w14:textId="77777777" w:rsidR="002438D4" w:rsidRDefault="002438D4" w:rsidP="00DA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037331"/>
      <w:docPartObj>
        <w:docPartGallery w:val="Page Numbers (Top of Page)"/>
        <w:docPartUnique/>
      </w:docPartObj>
    </w:sdtPr>
    <w:sdtEndPr/>
    <w:sdtContent>
      <w:p w14:paraId="4EB4ADE0" w14:textId="61B301D8" w:rsidR="00DB7C74" w:rsidRDefault="00DB7C74">
        <w:pPr>
          <w:pStyle w:val="Antrats"/>
          <w:jc w:val="center"/>
        </w:pPr>
        <w:r>
          <w:fldChar w:fldCharType="begin"/>
        </w:r>
        <w:r>
          <w:instrText>PAGE   \* MERGEFORMAT</w:instrText>
        </w:r>
        <w:r>
          <w:fldChar w:fldCharType="separate"/>
        </w:r>
        <w:r w:rsidR="00F96438">
          <w:rPr>
            <w:noProof/>
          </w:rPr>
          <w:t>2</w:t>
        </w:r>
        <w:r>
          <w:fldChar w:fldCharType="end"/>
        </w:r>
      </w:p>
    </w:sdtContent>
  </w:sdt>
  <w:p w14:paraId="371DD143" w14:textId="77777777" w:rsidR="00DB7C74" w:rsidRDefault="00DB7C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9389E"/>
    <w:multiLevelType w:val="hybridMultilevel"/>
    <w:tmpl w:val="18BAE2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BD7BA6"/>
    <w:multiLevelType w:val="hybridMultilevel"/>
    <w:tmpl w:val="51FA73F8"/>
    <w:lvl w:ilvl="0" w:tplc="79B0BF8E">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5CCB1046"/>
    <w:multiLevelType w:val="hybridMultilevel"/>
    <w:tmpl w:val="BDFAB5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475E76"/>
    <w:multiLevelType w:val="hybridMultilevel"/>
    <w:tmpl w:val="779E56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6B2D6E"/>
    <w:multiLevelType w:val="hybridMultilevel"/>
    <w:tmpl w:val="48A8E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A648E6"/>
    <w:multiLevelType w:val="hybridMultilevel"/>
    <w:tmpl w:val="FDB6BC9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2D"/>
    <w:rsid w:val="00015D5A"/>
    <w:rsid w:val="0005430F"/>
    <w:rsid w:val="00063487"/>
    <w:rsid w:val="00075197"/>
    <w:rsid w:val="000B429A"/>
    <w:rsid w:val="000D07FC"/>
    <w:rsid w:val="000F248A"/>
    <w:rsid w:val="00106C6E"/>
    <w:rsid w:val="00110132"/>
    <w:rsid w:val="00121F81"/>
    <w:rsid w:val="00125279"/>
    <w:rsid w:val="00165277"/>
    <w:rsid w:val="00175827"/>
    <w:rsid w:val="00194C69"/>
    <w:rsid w:val="0019571B"/>
    <w:rsid w:val="001B2838"/>
    <w:rsid w:val="001D6840"/>
    <w:rsid w:val="001F427F"/>
    <w:rsid w:val="001F757A"/>
    <w:rsid w:val="002038B1"/>
    <w:rsid w:val="00206F2C"/>
    <w:rsid w:val="0022749E"/>
    <w:rsid w:val="002438D4"/>
    <w:rsid w:val="00246EBE"/>
    <w:rsid w:val="0026638A"/>
    <w:rsid w:val="002740EF"/>
    <w:rsid w:val="002765DF"/>
    <w:rsid w:val="00277573"/>
    <w:rsid w:val="00296235"/>
    <w:rsid w:val="002D2FC6"/>
    <w:rsid w:val="002E0F47"/>
    <w:rsid w:val="002E7185"/>
    <w:rsid w:val="002F2F68"/>
    <w:rsid w:val="002F3D4F"/>
    <w:rsid w:val="003040F7"/>
    <w:rsid w:val="00311BE0"/>
    <w:rsid w:val="00312EED"/>
    <w:rsid w:val="003260DE"/>
    <w:rsid w:val="00331988"/>
    <w:rsid w:val="00366070"/>
    <w:rsid w:val="0036654C"/>
    <w:rsid w:val="003901EB"/>
    <w:rsid w:val="00394AAB"/>
    <w:rsid w:val="00395E52"/>
    <w:rsid w:val="00400474"/>
    <w:rsid w:val="00417358"/>
    <w:rsid w:val="004C1366"/>
    <w:rsid w:val="004C21D8"/>
    <w:rsid w:val="004E27F4"/>
    <w:rsid w:val="004F40C4"/>
    <w:rsid w:val="004F6510"/>
    <w:rsid w:val="00503F50"/>
    <w:rsid w:val="00507DCB"/>
    <w:rsid w:val="0051359B"/>
    <w:rsid w:val="00530EE8"/>
    <w:rsid w:val="00536410"/>
    <w:rsid w:val="00565612"/>
    <w:rsid w:val="00573275"/>
    <w:rsid w:val="0058032D"/>
    <w:rsid w:val="005879DB"/>
    <w:rsid w:val="005D6D3F"/>
    <w:rsid w:val="00615A5B"/>
    <w:rsid w:val="00683165"/>
    <w:rsid w:val="00684F75"/>
    <w:rsid w:val="006911ED"/>
    <w:rsid w:val="006930C1"/>
    <w:rsid w:val="006A5DFE"/>
    <w:rsid w:val="006A6BA3"/>
    <w:rsid w:val="006B5AD4"/>
    <w:rsid w:val="006B75A5"/>
    <w:rsid w:val="006C4D00"/>
    <w:rsid w:val="006F4978"/>
    <w:rsid w:val="0070726C"/>
    <w:rsid w:val="0078167F"/>
    <w:rsid w:val="007A54D7"/>
    <w:rsid w:val="007B4981"/>
    <w:rsid w:val="007C1C74"/>
    <w:rsid w:val="00800814"/>
    <w:rsid w:val="0080629F"/>
    <w:rsid w:val="00822AEF"/>
    <w:rsid w:val="008501FC"/>
    <w:rsid w:val="00851CF1"/>
    <w:rsid w:val="00852E68"/>
    <w:rsid w:val="008663A0"/>
    <w:rsid w:val="00867C67"/>
    <w:rsid w:val="00873E63"/>
    <w:rsid w:val="008A481B"/>
    <w:rsid w:val="008B0FC6"/>
    <w:rsid w:val="008D1D3E"/>
    <w:rsid w:val="008D2800"/>
    <w:rsid w:val="008F7B2D"/>
    <w:rsid w:val="00905096"/>
    <w:rsid w:val="00912C43"/>
    <w:rsid w:val="0097327F"/>
    <w:rsid w:val="00980741"/>
    <w:rsid w:val="009B7902"/>
    <w:rsid w:val="009C6194"/>
    <w:rsid w:val="00A02D1C"/>
    <w:rsid w:val="00A134EF"/>
    <w:rsid w:val="00A14C37"/>
    <w:rsid w:val="00A215EF"/>
    <w:rsid w:val="00A71B07"/>
    <w:rsid w:val="00A75E00"/>
    <w:rsid w:val="00A95C0B"/>
    <w:rsid w:val="00AD4E1A"/>
    <w:rsid w:val="00B03B85"/>
    <w:rsid w:val="00B20E8C"/>
    <w:rsid w:val="00B23C72"/>
    <w:rsid w:val="00B33E06"/>
    <w:rsid w:val="00B5571C"/>
    <w:rsid w:val="00B80768"/>
    <w:rsid w:val="00B9589B"/>
    <w:rsid w:val="00BC5390"/>
    <w:rsid w:val="00BE38B2"/>
    <w:rsid w:val="00BE7E34"/>
    <w:rsid w:val="00C13215"/>
    <w:rsid w:val="00C17EC6"/>
    <w:rsid w:val="00C429CA"/>
    <w:rsid w:val="00C546A6"/>
    <w:rsid w:val="00C63802"/>
    <w:rsid w:val="00C91FC8"/>
    <w:rsid w:val="00CB1D1A"/>
    <w:rsid w:val="00CB7BD4"/>
    <w:rsid w:val="00CC573C"/>
    <w:rsid w:val="00CE15F2"/>
    <w:rsid w:val="00CF5736"/>
    <w:rsid w:val="00CF6072"/>
    <w:rsid w:val="00D17B3E"/>
    <w:rsid w:val="00D21122"/>
    <w:rsid w:val="00D70350"/>
    <w:rsid w:val="00D73AF4"/>
    <w:rsid w:val="00D92937"/>
    <w:rsid w:val="00DA0402"/>
    <w:rsid w:val="00DB07DF"/>
    <w:rsid w:val="00DB7C74"/>
    <w:rsid w:val="00DC212E"/>
    <w:rsid w:val="00DC7B5E"/>
    <w:rsid w:val="00DD2B21"/>
    <w:rsid w:val="00E20630"/>
    <w:rsid w:val="00E24E01"/>
    <w:rsid w:val="00E405C3"/>
    <w:rsid w:val="00E46809"/>
    <w:rsid w:val="00E47F8D"/>
    <w:rsid w:val="00E52223"/>
    <w:rsid w:val="00E528C3"/>
    <w:rsid w:val="00E578C3"/>
    <w:rsid w:val="00E700A7"/>
    <w:rsid w:val="00E722C4"/>
    <w:rsid w:val="00E86171"/>
    <w:rsid w:val="00E90824"/>
    <w:rsid w:val="00EA58E4"/>
    <w:rsid w:val="00EE7337"/>
    <w:rsid w:val="00F011F0"/>
    <w:rsid w:val="00F10542"/>
    <w:rsid w:val="00F73BB6"/>
    <w:rsid w:val="00F77254"/>
    <w:rsid w:val="00F96438"/>
    <w:rsid w:val="00FB3532"/>
    <w:rsid w:val="00FD202C"/>
    <w:rsid w:val="00FD6641"/>
    <w:rsid w:val="00FE6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6F8F"/>
  <w15:chartTrackingRefBased/>
  <w15:docId w15:val="{B36AFA8B-D69B-4B0A-9897-53456EF0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F7B2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C21D8"/>
    <w:rPr>
      <w:sz w:val="16"/>
      <w:szCs w:val="16"/>
    </w:rPr>
  </w:style>
  <w:style w:type="paragraph" w:styleId="Komentarotekstas">
    <w:name w:val="annotation text"/>
    <w:basedOn w:val="prastasis"/>
    <w:link w:val="KomentarotekstasDiagrama"/>
    <w:unhideWhenUsed/>
    <w:rsid w:val="004C21D8"/>
    <w:rPr>
      <w:sz w:val="20"/>
      <w:szCs w:val="20"/>
      <w:lang w:eastAsia="en-US"/>
    </w:rPr>
  </w:style>
  <w:style w:type="character" w:customStyle="1" w:styleId="KomentarotekstasDiagrama">
    <w:name w:val="Komentaro tekstas Diagrama"/>
    <w:basedOn w:val="Numatytasispastraiposriftas"/>
    <w:link w:val="Komentarotekstas"/>
    <w:rsid w:val="004C21D8"/>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4C21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21D8"/>
    <w:rPr>
      <w:rFonts w:ascii="Segoe UI" w:eastAsia="Times New Roman" w:hAnsi="Segoe UI" w:cs="Segoe UI"/>
      <w:sz w:val="18"/>
      <w:szCs w:val="18"/>
      <w:lang w:eastAsia="lt-LT"/>
    </w:rPr>
  </w:style>
  <w:style w:type="character" w:styleId="Hipersaitas">
    <w:name w:val="Hyperlink"/>
    <w:basedOn w:val="Numatytasispastraiposriftas"/>
    <w:unhideWhenUsed/>
    <w:rsid w:val="001D6840"/>
    <w:rPr>
      <w:color w:val="0563C1" w:themeColor="hyperlink"/>
      <w:u w:val="single"/>
    </w:rPr>
  </w:style>
  <w:style w:type="character" w:styleId="Neapdorotaspaminjimas">
    <w:name w:val="Unresolved Mention"/>
    <w:basedOn w:val="Numatytasispastraiposriftas"/>
    <w:uiPriority w:val="99"/>
    <w:semiHidden/>
    <w:unhideWhenUsed/>
    <w:rsid w:val="001D6840"/>
    <w:rPr>
      <w:color w:val="808080"/>
      <w:shd w:val="clear" w:color="auto" w:fill="E6E6E6"/>
    </w:rPr>
  </w:style>
  <w:style w:type="paragraph" w:styleId="Sraopastraipa">
    <w:name w:val="List Paragraph"/>
    <w:basedOn w:val="prastasis"/>
    <w:uiPriority w:val="34"/>
    <w:qFormat/>
    <w:rsid w:val="00106C6E"/>
    <w:pPr>
      <w:ind w:left="720"/>
      <w:contextualSpacing/>
    </w:pPr>
  </w:style>
  <w:style w:type="paragraph" w:styleId="Komentarotema">
    <w:name w:val="annotation subject"/>
    <w:basedOn w:val="Komentarotekstas"/>
    <w:next w:val="Komentarotekstas"/>
    <w:link w:val="KomentarotemaDiagrama"/>
    <w:uiPriority w:val="99"/>
    <w:semiHidden/>
    <w:unhideWhenUsed/>
    <w:rsid w:val="00FE6308"/>
    <w:rPr>
      <w:b/>
      <w:bCs/>
      <w:lang w:eastAsia="lt-LT"/>
    </w:rPr>
  </w:style>
  <w:style w:type="character" w:customStyle="1" w:styleId="KomentarotemaDiagrama">
    <w:name w:val="Komentaro tema Diagrama"/>
    <w:basedOn w:val="KomentarotekstasDiagrama"/>
    <w:link w:val="Komentarotema"/>
    <w:uiPriority w:val="99"/>
    <w:semiHidden/>
    <w:rsid w:val="00FE6308"/>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DA0402"/>
    <w:pPr>
      <w:tabs>
        <w:tab w:val="center" w:pos="4819"/>
        <w:tab w:val="right" w:pos="9638"/>
      </w:tabs>
    </w:pPr>
  </w:style>
  <w:style w:type="character" w:customStyle="1" w:styleId="AntratsDiagrama">
    <w:name w:val="Antraštės Diagrama"/>
    <w:basedOn w:val="Numatytasispastraiposriftas"/>
    <w:link w:val="Antrats"/>
    <w:uiPriority w:val="99"/>
    <w:rsid w:val="00DA040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A0402"/>
    <w:pPr>
      <w:tabs>
        <w:tab w:val="center" w:pos="4819"/>
        <w:tab w:val="right" w:pos="9638"/>
      </w:tabs>
    </w:pPr>
  </w:style>
  <w:style w:type="character" w:customStyle="1" w:styleId="PoratDiagrama">
    <w:name w:val="Poraštė Diagrama"/>
    <w:basedOn w:val="Numatytasispastraiposriftas"/>
    <w:link w:val="Porat"/>
    <w:uiPriority w:val="99"/>
    <w:rsid w:val="00DA040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46482">
      <w:bodyDiv w:val="1"/>
      <w:marLeft w:val="0"/>
      <w:marRight w:val="0"/>
      <w:marTop w:val="0"/>
      <w:marBottom w:val="0"/>
      <w:divBdr>
        <w:top w:val="none" w:sz="0" w:space="0" w:color="auto"/>
        <w:left w:val="none" w:sz="0" w:space="0" w:color="auto"/>
        <w:bottom w:val="none" w:sz="0" w:space="0" w:color="auto"/>
        <w:right w:val="none" w:sz="0" w:space="0" w:color="auto"/>
      </w:divBdr>
    </w:div>
    <w:div w:id="1100416698">
      <w:bodyDiv w:val="1"/>
      <w:marLeft w:val="0"/>
      <w:marRight w:val="0"/>
      <w:marTop w:val="0"/>
      <w:marBottom w:val="0"/>
      <w:divBdr>
        <w:top w:val="none" w:sz="0" w:space="0" w:color="auto"/>
        <w:left w:val="none" w:sz="0" w:space="0" w:color="auto"/>
        <w:bottom w:val="none" w:sz="0" w:space="0" w:color="auto"/>
        <w:right w:val="none" w:sz="0" w:space="0" w:color="auto"/>
      </w:divBdr>
    </w:div>
    <w:div w:id="1170290057">
      <w:bodyDiv w:val="1"/>
      <w:marLeft w:val="0"/>
      <w:marRight w:val="0"/>
      <w:marTop w:val="0"/>
      <w:marBottom w:val="0"/>
      <w:divBdr>
        <w:top w:val="none" w:sz="0" w:space="0" w:color="auto"/>
        <w:left w:val="none" w:sz="0" w:space="0" w:color="auto"/>
        <w:bottom w:val="none" w:sz="0" w:space="0" w:color="auto"/>
        <w:right w:val="none" w:sz="0" w:space="0" w:color="auto"/>
      </w:divBdr>
      <w:divsChild>
        <w:div w:id="720252746">
          <w:marLeft w:val="0"/>
          <w:marRight w:val="0"/>
          <w:marTop w:val="0"/>
          <w:marBottom w:val="0"/>
          <w:divBdr>
            <w:top w:val="none" w:sz="0" w:space="0" w:color="auto"/>
            <w:left w:val="none" w:sz="0" w:space="0" w:color="auto"/>
            <w:bottom w:val="none" w:sz="0" w:space="0" w:color="auto"/>
            <w:right w:val="none" w:sz="0" w:space="0" w:color="auto"/>
          </w:divBdr>
          <w:divsChild>
            <w:div w:id="449663340">
              <w:marLeft w:val="0"/>
              <w:marRight w:val="0"/>
              <w:marTop w:val="0"/>
              <w:marBottom w:val="0"/>
              <w:divBdr>
                <w:top w:val="none" w:sz="0" w:space="0" w:color="auto"/>
                <w:left w:val="none" w:sz="0" w:space="0" w:color="auto"/>
                <w:bottom w:val="none" w:sz="0" w:space="0" w:color="auto"/>
                <w:right w:val="none" w:sz="0" w:space="0" w:color="auto"/>
              </w:divBdr>
              <w:divsChild>
                <w:div w:id="1536305939">
                  <w:marLeft w:val="0"/>
                  <w:marRight w:val="0"/>
                  <w:marTop w:val="0"/>
                  <w:marBottom w:val="0"/>
                  <w:divBdr>
                    <w:top w:val="none" w:sz="0" w:space="0" w:color="auto"/>
                    <w:left w:val="none" w:sz="0" w:space="0" w:color="auto"/>
                    <w:bottom w:val="none" w:sz="0" w:space="0" w:color="auto"/>
                    <w:right w:val="none" w:sz="0" w:space="0" w:color="auto"/>
                  </w:divBdr>
                  <w:divsChild>
                    <w:div w:id="1380396691">
                      <w:marLeft w:val="0"/>
                      <w:marRight w:val="0"/>
                      <w:marTop w:val="0"/>
                      <w:marBottom w:val="0"/>
                      <w:divBdr>
                        <w:top w:val="none" w:sz="0" w:space="0" w:color="auto"/>
                        <w:left w:val="none" w:sz="0" w:space="0" w:color="auto"/>
                        <w:bottom w:val="none" w:sz="0" w:space="0" w:color="auto"/>
                        <w:right w:val="none" w:sz="0" w:space="0" w:color="auto"/>
                      </w:divBdr>
                      <w:divsChild>
                        <w:div w:id="821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viesojo-valdymo-instituciju-projektu-dalyviu-darbo-uzmokescio-fiksuotuju-ikainiu-nustatymo-tyrimo-ataskai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docview/?id=10911&amp;h=e54d8&amp;t=vrm911-savanorisko-d-F%C4%AE" TargetMode="Externa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p.stat.gov.lt/" TargetMode="External"/><Relationship Id="rId5" Type="http://schemas.openxmlformats.org/officeDocument/2006/relationships/footnotes" Target="footnotes.xml"/><Relationship Id="rId15" Type="http://schemas.openxmlformats.org/officeDocument/2006/relationships/hyperlink" Target="mailto:egle.sarkauskaite@vrm" TargetMode="External"/><Relationship Id="rId10" Type="http://schemas.openxmlformats.org/officeDocument/2006/relationships/hyperlink" Target="http://www.esinvesticijos.lt/lt/dokumentai/privaciu-juridiniu-asmenu-projektu-dalyviu-darbo-uzmokescio-fiksuotuju-ikainiu-nustatymo-tyrimo-ataskaita"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http://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18800</Words>
  <Characters>10716</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m09263</cp:lastModifiedBy>
  <cp:revision>2</cp:revision>
  <dcterms:created xsi:type="dcterms:W3CDTF">2017-12-06T07:30:00Z</dcterms:created>
  <dcterms:modified xsi:type="dcterms:W3CDTF">2017-12-06T07:30:00Z</dcterms:modified>
</cp:coreProperties>
</file>