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82656" w14:textId="77777777" w:rsidR="00C72E52" w:rsidRPr="00C72E52" w:rsidRDefault="00C72E52" w:rsidP="00C72E52">
      <w:pPr>
        <w:spacing w:after="0" w:line="240" w:lineRule="auto"/>
        <w:ind w:left="9356"/>
        <w:rPr>
          <w:rFonts w:ascii="Times New Roman" w:eastAsia="Calibri" w:hAnsi="Times New Roman" w:cs="Times New Roman"/>
          <w:sz w:val="24"/>
          <w:szCs w:val="24"/>
        </w:rPr>
      </w:pPr>
      <w:bookmarkStart w:id="0" w:name="_GoBack"/>
      <w:bookmarkEnd w:id="0"/>
      <w:r w:rsidRPr="00C72E52">
        <w:rPr>
          <w:rFonts w:ascii="Times New Roman" w:eastAsia="Calibri" w:hAnsi="Times New Roman" w:cs="Times New Roman"/>
          <w:sz w:val="24"/>
          <w:szCs w:val="24"/>
        </w:rPr>
        <w:t xml:space="preserve">2014–2020 metų Europos Sąjungos fondų investicijų veiksmų programos 9 prioriteto „Visuomenės švietimas ir žmogiškųjų išteklių potencialo didinimas“ 9.3.2-ESFA-V-710 priemonės „Stebėsenos, išorinio vertinimo stiprinimas ir kvalifikacijų pripažinimas“ projektų finansavimo sąlygų aprašo Nr. </w:t>
      </w:r>
      <w:r>
        <w:rPr>
          <w:rFonts w:ascii="Times New Roman" w:eastAsia="Calibri" w:hAnsi="Times New Roman" w:cs="Times New Roman"/>
          <w:sz w:val="24"/>
          <w:szCs w:val="24"/>
        </w:rPr>
        <w:t>2</w:t>
      </w:r>
    </w:p>
    <w:p w14:paraId="6E13853C" w14:textId="77777777" w:rsidR="00C72E52" w:rsidRPr="00C72E52" w:rsidRDefault="00C72E52" w:rsidP="00C72E52">
      <w:pPr>
        <w:spacing w:after="0" w:line="240" w:lineRule="auto"/>
        <w:ind w:left="9356"/>
        <w:jc w:val="center"/>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C72E52">
        <w:rPr>
          <w:rFonts w:ascii="Times New Roman" w:eastAsia="Times New Roman" w:hAnsi="Times New Roman" w:cs="Times New Roman"/>
          <w:sz w:val="24"/>
          <w:szCs w:val="24"/>
          <w:lang w:eastAsia="lt-LT"/>
        </w:rPr>
        <w:t xml:space="preserve"> priedas</w:t>
      </w:r>
    </w:p>
    <w:p w14:paraId="7DEB4062" w14:textId="77777777"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14:paraId="4511FDE4" w14:textId="77777777"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14:paraId="5E45EB45" w14:textId="77777777"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14:paraId="3B5F8EEF" w14:textId="77777777" w:rsidR="00EB4717" w:rsidRPr="00037326"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78D0387E" w14:textId="77777777" w:rsidTr="00FA459A">
        <w:tc>
          <w:tcPr>
            <w:tcW w:w="4536" w:type="dxa"/>
          </w:tcPr>
          <w:p w14:paraId="5BFB2AA2"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14:paraId="4D9F7173" w14:textId="77777777" w:rsidR="00FA459A" w:rsidRPr="00865CB6" w:rsidRDefault="00FC2585"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r w:rsidR="009D735C" w:rsidRPr="00865CB6">
              <w:rPr>
                <w:rFonts w:ascii="Times New Roman" w:hAnsi="Times New Roman" w:cs="Times New Roman"/>
                <w:i/>
              </w:rPr>
              <w:t xml:space="preserve"> Kai įgyvendinami techninės paramos prioritetai, šis laukas nepildomas.)</w:t>
            </w:r>
          </w:p>
        </w:tc>
      </w:tr>
      <w:tr w:rsidR="00B842EF" w:rsidRPr="00865CB6" w14:paraId="009493A4" w14:textId="77777777" w:rsidTr="00FA459A">
        <w:tc>
          <w:tcPr>
            <w:tcW w:w="4536" w:type="dxa"/>
          </w:tcPr>
          <w:p w14:paraId="6714334E"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14:paraId="0D012928" w14:textId="77777777"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14:paraId="6949B0FA" w14:textId="77777777" w:rsidTr="00FA459A">
        <w:tc>
          <w:tcPr>
            <w:tcW w:w="4536" w:type="dxa"/>
          </w:tcPr>
          <w:p w14:paraId="5EF09F37"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14:paraId="5018FA5D" w14:textId="77777777"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14:paraId="57078F83" w14:textId="77777777" w:rsidTr="005D42BA">
        <w:tc>
          <w:tcPr>
            <w:tcW w:w="14600" w:type="dxa"/>
            <w:gridSpan w:val="2"/>
          </w:tcPr>
          <w:p w14:paraId="4B1755F0"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14:paraId="5948C056" w14:textId="77777777"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14:paraId="22AF26E5" w14:textId="77777777" w:rsidTr="0071572A">
        <w:tc>
          <w:tcPr>
            <w:tcW w:w="14600" w:type="dxa"/>
            <w:gridSpan w:val="2"/>
          </w:tcPr>
          <w:p w14:paraId="5819807C" w14:textId="77777777"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14:paraId="65630477" w14:textId="77777777"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14:paraId="3473D49E" w14:textId="77777777" w:rsidR="00343D06" w:rsidRPr="00865CB6" w:rsidRDefault="00343D06">
      <w:pPr>
        <w:rPr>
          <w:rFonts w:ascii="Times New Roman" w:hAnsi="Times New Roman" w:cs="Times New Roman"/>
          <w:i/>
          <w:sz w:val="24"/>
          <w:szCs w:val="24"/>
        </w:rPr>
      </w:pPr>
      <w:r>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1087C096"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AB0786E"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14:paraId="3F08F54B"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14:paraId="55B71636" w14:textId="77777777"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BDBF8E5" w14:textId="77777777"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14:paraId="70E85CE1" w14:textId="77777777"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14:paraId="1D400EF7" w14:textId="77777777"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D8ACA82"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14:paraId="44F2238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2F3E86C" w14:textId="77777777"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2285E56" w14:textId="77777777"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1B7E0B0" w14:textId="77777777"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6337271" w14:textId="77777777"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7EBA1CDC"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6B2A58" w:rsidRPr="007E17E6" w14:paraId="29B48D9F"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8495666" w14:textId="77777777" w:rsidR="006B2A58" w:rsidRPr="00C72E52" w:rsidRDefault="00C72E52" w:rsidP="00C72E52">
            <w:pPr>
              <w:spacing w:after="0" w:line="240" w:lineRule="auto"/>
              <w:jc w:val="center"/>
              <w:rPr>
                <w:rFonts w:ascii="Times New Roman" w:eastAsia="Times New Roman" w:hAnsi="Times New Roman" w:cs="Times New Roman"/>
                <w:b/>
                <w:lang w:eastAsia="lt-LT"/>
              </w:rPr>
            </w:pPr>
            <w:r w:rsidRPr="00C72E52">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5084398E" w14:textId="77777777" w:rsidR="006B2A58" w:rsidRPr="007E17E6" w:rsidRDefault="00C72E52" w:rsidP="00C72E5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A0E6C2" w14:textId="77777777" w:rsidR="006B2A58" w:rsidRPr="007E17E6" w:rsidRDefault="00C72E52" w:rsidP="00C72E5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C18913" w14:textId="77777777" w:rsidR="006B2A58" w:rsidRPr="007E17E6" w:rsidRDefault="00C72E52" w:rsidP="00C72E52">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865CB6" w14:paraId="26009F21"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EA9DFEF"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14:paraId="6374D66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E57D86"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14:paraId="7F0D2A8F" w14:textId="77777777" w:rsidR="00F00DFC" w:rsidRPr="00865CB6"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726A896" w14:textId="77777777" w:rsidR="00C72E52" w:rsidRPr="00C72E52" w:rsidRDefault="00C72E52" w:rsidP="00C72E52">
            <w:pPr>
              <w:spacing w:after="0" w:line="240" w:lineRule="auto"/>
              <w:rPr>
                <w:rFonts w:ascii="Times New Roman" w:eastAsia="Times New Roman" w:hAnsi="Times New Roman" w:cs="Times New Roman"/>
                <w:lang w:eastAsia="lt-LT"/>
              </w:rPr>
            </w:pPr>
            <w:r w:rsidRPr="00C72E52">
              <w:rPr>
                <w:rFonts w:ascii="Times New Roman" w:eastAsia="Times New Roman" w:hAnsi="Times New Roman" w:cs="Times New Roman"/>
                <w:lang w:eastAsia="lt-LT"/>
              </w:rPr>
              <w:t xml:space="preserve">Projekto tikslai ir uždaviniai turi atitikti veiksmų programos 9  prioriteto 9.3.2 konkretų uždavinį „Stiprinti aukštojo mokslo stebėseną, išorinį vertinimą ir efektyvų studijų valdymą, siekiant nuolatinio studijų kokybės gerinimo“ ir siekiamą rezultatą. </w:t>
            </w:r>
          </w:p>
          <w:p w14:paraId="611E5270" w14:textId="77777777" w:rsidR="00C72E52" w:rsidRPr="00C72E52" w:rsidRDefault="00C72E52" w:rsidP="00C72E52">
            <w:pPr>
              <w:spacing w:after="0" w:line="240" w:lineRule="auto"/>
              <w:rPr>
                <w:rFonts w:ascii="Times New Roman" w:eastAsia="Times New Roman" w:hAnsi="Times New Roman" w:cs="Times New Roman"/>
                <w:lang w:eastAsia="lt-LT"/>
              </w:rPr>
            </w:pPr>
          </w:p>
          <w:p w14:paraId="634D8B9F" w14:textId="77777777" w:rsidR="00F00DFC" w:rsidRPr="00C72E52" w:rsidRDefault="00C72E52" w:rsidP="00C72E52">
            <w:pPr>
              <w:spacing w:after="0" w:line="240" w:lineRule="auto"/>
              <w:rPr>
                <w:rFonts w:ascii="Times New Roman" w:eastAsia="Times New Roman" w:hAnsi="Times New Roman" w:cs="Times New Roman"/>
                <w:i/>
                <w:lang w:eastAsia="lt-LT"/>
              </w:rPr>
            </w:pPr>
            <w:r w:rsidRPr="00C72E52">
              <w:rPr>
                <w:rFonts w:ascii="Times New Roman" w:eastAsia="Times New Roman" w:hAnsi="Times New Roman" w:cs="Times New Roman"/>
                <w:i/>
                <w:lang w:eastAsia="lt-LT"/>
              </w:rPr>
              <w:t xml:space="preserve">Atitiktį šiam reikalavimui vertina ministerija. Įgyvendinančioji institucija, pildydama </w:t>
            </w:r>
            <w:r w:rsidRPr="00C72E52">
              <w:rPr>
                <w:rFonts w:ascii="Times New Roman" w:eastAsia="Times New Roman" w:hAnsi="Times New Roman" w:cs="Times New Roman"/>
                <w:i/>
                <w:lang w:eastAsia="lt-LT"/>
              </w:rPr>
              <w:lastRenderedPageBreak/>
              <w:t xml:space="preserve">tinkamumo finansuoti vertinimo lentelę, perkelia ministerijos vertinimą iš projektinio pasiūlymo vertinimo išvados ir skiltyje „Komentarai“ 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14:paraId="30F2330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9D167E" w14:textId="77777777" w:rsidR="00F00DFC" w:rsidRPr="00C72E52" w:rsidRDefault="00C72E52" w:rsidP="00A51E33">
            <w:pPr>
              <w:spacing w:after="0" w:line="240" w:lineRule="auto"/>
              <w:rPr>
                <w:rFonts w:ascii="Times New Roman" w:eastAsia="Times New Roman" w:hAnsi="Times New Roman" w:cs="Times New Roman"/>
                <w:i/>
                <w:lang w:eastAsia="lt-LT"/>
              </w:rPr>
            </w:pPr>
            <w:r w:rsidRPr="00C72E52">
              <w:rPr>
                <w:rFonts w:ascii="Times New Roman" w:eastAsia="Times New Roman" w:hAnsi="Times New Roman" w:cs="Times New Roman"/>
                <w:i/>
                <w:lang w:eastAsia="lt-LT"/>
              </w:rPr>
              <w:t>(Šiame stulpelyje pagrindžiamas kiekvieno bendrojo reikalavimo aspekto įvertinimas).</w:t>
            </w:r>
          </w:p>
        </w:tc>
      </w:tr>
      <w:tr w:rsidR="00F00DFC" w:rsidRPr="00865CB6" w14:paraId="47D5736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4515C0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0450829" w14:textId="77777777" w:rsidR="00F00DFC" w:rsidRPr="00865CB6" w:rsidRDefault="00E72EC9" w:rsidP="00E72EC9">
            <w:pPr>
              <w:spacing w:after="0" w:line="240" w:lineRule="auto"/>
              <w:rPr>
                <w:rFonts w:ascii="Times New Roman" w:eastAsia="Times New Roman" w:hAnsi="Times New Roman" w:cs="Times New Roman"/>
                <w:lang w:eastAsia="lt-LT"/>
              </w:rPr>
            </w:pPr>
            <w:r w:rsidRPr="00E72EC9">
              <w:rPr>
                <w:rFonts w:ascii="Times New Roman" w:hAnsi="Times New Roman" w:cs="Times New Roman"/>
              </w:rPr>
              <w:t xml:space="preserve">Projekto tikslai, uždaviniai ir veiklos turi atitikti bent vieną iš veiklų, nurodytų šio Projektų finansavimo sąlygų aprašo (toliau – Aprašas) </w:t>
            </w:r>
            <w:r>
              <w:rPr>
                <w:rFonts w:ascii="Times New Roman" w:hAnsi="Times New Roman" w:cs="Times New Roman"/>
              </w:rPr>
              <w:t>9</w:t>
            </w:r>
            <w:r w:rsidRPr="00E72EC9">
              <w:rPr>
                <w:rFonts w:ascii="Times New Roman" w:hAnsi="Times New Roman" w:cs="Times New Roman"/>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14:paraId="4356D18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4B1109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E32A45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B9F40A"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2D3FC80" w14:textId="77777777" w:rsidR="00F00DFC" w:rsidRPr="00865CB6" w:rsidRDefault="00E72EC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98A7E4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1C854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DCF1FB4"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7D6FDB0"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14:paraId="6BF5BDD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002345"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14:paraId="0655D09B" w14:textId="77777777"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530892D" w14:textId="77777777" w:rsidR="00E72EC9"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eastAsia="Times New Roman" w:hAnsi="Times New Roman" w:cs="Times New Roman"/>
                <w:lang w:eastAsia="lt-LT"/>
              </w:rPr>
              <w:t>Projektas turi atitikti bent vieną iš nacionalinių strateginio planavimo dokumen</w:t>
            </w:r>
            <w:r>
              <w:rPr>
                <w:rFonts w:ascii="Times New Roman" w:eastAsia="Times New Roman" w:hAnsi="Times New Roman" w:cs="Times New Roman"/>
                <w:lang w:eastAsia="lt-LT"/>
              </w:rPr>
              <w:t>tų, nurodytą (-us) šio Aprašo 15</w:t>
            </w:r>
            <w:r w:rsidRPr="00E72EC9">
              <w:rPr>
                <w:rFonts w:ascii="Times New Roman" w:eastAsia="Times New Roman" w:hAnsi="Times New Roman" w:cs="Times New Roman"/>
                <w:lang w:eastAsia="lt-LT"/>
              </w:rPr>
              <w:t xml:space="preserve"> punkte.</w:t>
            </w:r>
          </w:p>
          <w:p w14:paraId="520B4608" w14:textId="77777777" w:rsidR="00E72EC9" w:rsidRPr="00E72EC9" w:rsidRDefault="00E72EC9" w:rsidP="00E72EC9">
            <w:pPr>
              <w:spacing w:after="0" w:line="240" w:lineRule="auto"/>
              <w:rPr>
                <w:rFonts w:ascii="Times New Roman" w:eastAsia="Times New Roman" w:hAnsi="Times New Roman" w:cs="Times New Roman"/>
                <w:lang w:eastAsia="lt-LT"/>
              </w:rPr>
            </w:pPr>
          </w:p>
          <w:p w14:paraId="158A9413" w14:textId="77777777" w:rsidR="00F00DFC" w:rsidRPr="00E72EC9" w:rsidRDefault="00E72EC9" w:rsidP="00E72EC9">
            <w:pPr>
              <w:spacing w:after="0" w:line="240" w:lineRule="auto"/>
              <w:rPr>
                <w:rFonts w:ascii="Times New Roman" w:eastAsia="Times New Roman" w:hAnsi="Times New Roman" w:cs="Times New Roman"/>
                <w:i/>
                <w:lang w:eastAsia="lt-LT"/>
              </w:rPr>
            </w:pPr>
            <w:r w:rsidRPr="00E72EC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005F575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A6BEE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39C89E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D81C6BD" w14:textId="77777777" w:rsidR="00F00DFC" w:rsidRPr="008E5881"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06B21974" w14:textId="77777777" w:rsidR="00F00DFC" w:rsidRPr="00865CB6" w:rsidRDefault="00F00DFC" w:rsidP="008E5881">
            <w:pPr>
              <w:spacing w:after="0" w:line="240" w:lineRule="auto"/>
              <w:rPr>
                <w:rFonts w:ascii="Times New Roman" w:eastAsia="Times New Roman" w:hAnsi="Times New Roman" w:cs="Times New Roman"/>
                <w:lang w:eastAsia="lt-LT"/>
              </w:rPr>
            </w:pPr>
            <w:r w:rsidRPr="008E5881">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798733FB" w14:textId="77777777" w:rsidR="00F00DFC" w:rsidRPr="00E72EC9" w:rsidRDefault="00E72EC9" w:rsidP="00037326">
            <w:pPr>
              <w:spacing w:after="0" w:line="240" w:lineRule="auto"/>
              <w:rPr>
                <w:rFonts w:ascii="Times New Roman" w:hAnsi="Times New Roman" w:cs="Times New Roman"/>
              </w:rPr>
            </w:pPr>
            <w:r w:rsidRPr="00E72EC9">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2E210E7" w14:textId="77777777" w:rsidR="00F00DFC"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5AF5D5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15696CDD"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633EB4"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14:paraId="472D751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821C3A"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7C4E9ADF" w14:textId="1DBEDE80" w:rsidR="00D97CD7" w:rsidRDefault="00D97CD7" w:rsidP="00331EA0">
            <w:pPr>
              <w:spacing w:after="0" w:line="240" w:lineRule="auto"/>
              <w:rPr>
                <w:rFonts w:ascii="Times New Roman" w:hAnsi="Times New Roman" w:cs="Times New Roman"/>
              </w:rPr>
            </w:pPr>
            <w:r w:rsidRPr="00D97CD7">
              <w:rPr>
                <w:rFonts w:ascii="Times New Roman" w:hAnsi="Times New Roman" w:cs="Times New Roman"/>
              </w:rPr>
              <w:t>Projektas, planuojamas pagal šio Aprašo 9 punkte numatomą finansuoti veiklą, turi siekti stebėsenos rodiklio ir minimalios jo siektinos reikšmės, nurodytų šio Aprašo 21 punkte.</w:t>
            </w:r>
          </w:p>
          <w:p w14:paraId="02818A8E" w14:textId="3E6A8701"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EAD26E1" w14:textId="77777777" w:rsidR="00F00DFC" w:rsidRPr="00865CB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3B94F8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DC338EC"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5F2CFC6" w14:textId="77777777"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w:t>
            </w:r>
            <w:r w:rsidRPr="00865CB6">
              <w:rPr>
                <w:rFonts w:ascii="Times New Roman" w:eastAsia="Times New Roman" w:hAnsi="Times New Roman" w:cs="Times New Roman"/>
                <w:bCs/>
                <w:lang w:eastAsia="lt-LT"/>
              </w:rPr>
              <w:lastRenderedPageBreak/>
              <w:t xml:space="preserve">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F19AA88"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B007C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A28795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3A8A2B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6B926D"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lastRenderedPageBreak/>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ADD072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C688623"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EEC92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186F0379"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77C28B"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14:paraId="2818286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5E4FC8A"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CB93430"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8141199"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F3CD4F"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06F3FF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1D346BF"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14:paraId="614DD7DD"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14:paraId="025F2842"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7981FD4"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14:paraId="4209D62B"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0E6A0B69" w14:textId="77777777"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14:paraId="1544822E"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 xml:space="preserve">„Natura 2000“ teritorijoms reikšmingumo </w:t>
            </w:r>
            <w:r w:rsidRPr="008E5881">
              <w:rPr>
                <w:rFonts w:ascii="Times New Roman" w:eastAsia="Times New Roman" w:hAnsi="Times New Roman"/>
                <w:i/>
                <w:lang w:eastAsia="lt-LT"/>
              </w:rPr>
              <w:lastRenderedPageBreak/>
              <w:t>nustatymo tvarkos aprašo patvirtinimo“</w:t>
            </w:r>
            <w:r w:rsidRPr="008E5881">
              <w:rPr>
                <w:rFonts w:ascii="Times New Roman" w:eastAsia="Times New Roman" w:hAnsi="Times New Roman"/>
                <w:bCs/>
                <w:i/>
                <w:lang w:eastAsia="lt-LT"/>
              </w:rPr>
              <w:t>, nuostatomis.</w:t>
            </w:r>
          </w:p>
          <w:p w14:paraId="0042D9AF"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E5881">
              <w:rPr>
                <w:rFonts w:ascii="Times New Roman" w:eastAsia="Times New Roman" w:hAnsi="Times New Roman"/>
                <w:bCs/>
                <w:i/>
                <w:lang w:eastAsia="lt-LT"/>
              </w:rPr>
              <w:t>Vertinant</w:t>
            </w:r>
            <w:r w:rsidRPr="008E5881">
              <w:rPr>
                <w:rFonts w:ascii="Times New Roman" w:hAnsi="Times New Roman"/>
                <w:bCs/>
                <w:i/>
              </w:rPr>
              <w:t xml:space="preserve"> techninės paramos projektus ir</w:t>
            </w:r>
            <w:r w:rsidRPr="008E5881">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1FA5C02E" w14:textId="77777777" w:rsidR="00F00DFC" w:rsidRPr="00865CB6"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4CA61A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10393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907735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6F55918"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D67C54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1094E8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15666F"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383FF9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DDF8660"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2332E133"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1F63093"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B2697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4704F0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F076FA"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9114716"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6E0F0E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E86CCE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932C7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393A81D" w14:textId="77777777" w:rsidR="00F00DFC"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14:paraId="72A536B3" w14:textId="77777777" w:rsidR="00F00DFC" w:rsidRPr="004650EC" w:rsidRDefault="00F00DFC" w:rsidP="00A51E33">
            <w:pPr>
              <w:spacing w:after="0" w:line="240" w:lineRule="auto"/>
              <w:rPr>
                <w:rFonts w:ascii="Times New Roman" w:eastAsia="Times New Roman" w:hAnsi="Times New Roman" w:cs="Times New Roman"/>
                <w:bCs/>
                <w:lang w:eastAsia="lt-LT"/>
              </w:rPr>
            </w:pPr>
            <w:r w:rsidRPr="004650EC">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47306CE2" w14:textId="77777777" w:rsidR="00F00DFC" w:rsidRPr="00865CB6" w:rsidRDefault="00E72EC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7CDFDA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89E56A"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95A38B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2B01AC" w14:textId="77777777" w:rsidR="00F00DFC" w:rsidRPr="004650EC" w:rsidRDefault="00F00DFC" w:rsidP="004650EC">
            <w:pPr>
              <w:spacing w:after="0" w:line="240" w:lineRule="auto"/>
              <w:rPr>
                <w:rFonts w:ascii="Times New Roman" w:eastAsia="Times New Roman" w:hAnsi="Times New Roman"/>
                <w:bCs/>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r w:rsidRPr="004650EC">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8EBCB6B" w14:textId="77777777" w:rsidR="00F00DFC" w:rsidRPr="00865CB6" w:rsidRDefault="00F00DFC" w:rsidP="00A51E33">
            <w:pPr>
              <w:spacing w:after="0" w:line="240" w:lineRule="auto"/>
              <w:rPr>
                <w:rFonts w:ascii="Times New Roman" w:eastAsia="Times New Roman" w:hAnsi="Times New Roman" w:cs="Times New Roman"/>
                <w:bCs/>
                <w:i/>
                <w:lang w:eastAsia="lt-LT"/>
              </w:rPr>
            </w:pPr>
            <w:r w:rsidRPr="004650EC">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4650EC">
              <w:rPr>
                <w:rFonts w:ascii="Times New Roman" w:eastAsia="Times New Roman" w:hAnsi="Times New Roman"/>
                <w:i/>
                <w:lang w:eastAsia="lt-LT"/>
              </w:rPr>
              <w:t>rojektų finansavimo sąlygų apraše</w:t>
            </w:r>
            <w:r w:rsidRPr="004650EC">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8E7C0F5" w14:textId="77777777" w:rsidR="00F00DFC" w:rsidRPr="00E72EC9"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2DE23EDD"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B925F2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9C159A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3E5F28" w14:textId="77777777"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 xml:space="preserve">lyties, rasės, tautybės, kalbos,  kilmės, socialinės padėties,  tikėjimo, įsitikinimų ar </w:t>
            </w:r>
            <w:r w:rsidRPr="004650EC">
              <w:rPr>
                <w:rFonts w:ascii="Times New Roman" w:eastAsia="Times New Roman" w:hAnsi="Times New Roman" w:cs="Times New Roman"/>
                <w:lang w:eastAsia="lt-LT"/>
              </w:rPr>
              <w:lastRenderedPageBreak/>
              <w:t>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4D54E7C" w14:textId="77777777"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7630B36D"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45604845"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03D58C3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994CA9" w14:textId="77777777" w:rsidR="00F00DFC" w:rsidRPr="004650EC" w:rsidRDefault="00F00DFC" w:rsidP="004650EC">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lastRenderedPageBreak/>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r w:rsidRPr="004650EC">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4650EC">
              <w:rPr>
                <w:rFonts w:ascii="Times New Roman" w:eastAsia="Times New Roman" w:hAnsi="Times New Roman"/>
                <w:bCs/>
                <w:i/>
                <w:lang w:eastAsia="lt-LT"/>
              </w:rPr>
              <w:t>–</w:t>
            </w:r>
            <w:r w:rsidRPr="004650EC">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791EC5EF" w14:textId="77777777" w:rsidR="00F00DFC" w:rsidRPr="00865CB6" w:rsidRDefault="00F00DFC" w:rsidP="00AD273F">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4650EC">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2C9C5A29" w14:textId="77777777" w:rsidR="00F00DFC" w:rsidRPr="00E72EC9" w:rsidRDefault="00E72EC9" w:rsidP="00E72EC9">
            <w:pPr>
              <w:spacing w:after="0" w:line="240" w:lineRule="auto"/>
              <w:rPr>
                <w:rFonts w:ascii="Times New Roman" w:eastAsia="Times New Roman" w:hAnsi="Times New Roman" w:cs="Times New Roman"/>
                <w:lang w:val="pt-BR" w:eastAsia="lt-LT"/>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53BA5F3"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C5A0097"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0295567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32717213" w14:textId="77777777" w:rsidR="00F00DFC" w:rsidRPr="007E17E6" w:rsidRDefault="00F00DFC" w:rsidP="00A51E33">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14:paraId="4532170C"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w:t>
            </w:r>
            <w:r w:rsidRPr="007E17E6">
              <w:rPr>
                <w:rFonts w:ascii="Times New Roman" w:eastAsia="Times New Roman" w:hAnsi="Times New Roman"/>
                <w:i/>
                <w:lang w:eastAsia="lt-LT"/>
              </w:rPr>
              <w:t>(t</w:t>
            </w:r>
            <w:r w:rsidR="00504958" w:rsidRPr="007E17E6">
              <w:rPr>
                <w:rFonts w:ascii="Times New Roman" w:eastAsia="Times New Roman" w:hAnsi="Times New Roman"/>
                <w:i/>
                <w:lang w:eastAsia="lt-LT"/>
              </w:rPr>
              <w:t xml:space="preserve">aikoma, jei projektui teikiama </w:t>
            </w:r>
            <w:r w:rsidRPr="007E17E6">
              <w:rPr>
                <w:rFonts w:ascii="Times New Roman" w:eastAsia="Times New Roman" w:hAnsi="Times New Roman"/>
                <w:lang w:eastAsia="lt-LT"/>
              </w:rPr>
              <w:t>de minimis</w:t>
            </w:r>
            <w:r w:rsidRPr="007E17E6">
              <w:rPr>
                <w:rFonts w:ascii="Times New Roman" w:eastAsia="Times New Roman" w:hAnsi="Times New Roman"/>
                <w:i/>
                <w:lang w:eastAsia="lt-LT"/>
              </w:rPr>
              <w:t xml:space="preserve"> pagalba. Pildomas </w:t>
            </w:r>
            <w:r w:rsidR="00504958" w:rsidRPr="007E17E6">
              <w:rPr>
                <w:rFonts w:ascii="Times New Roman" w:eastAsia="Times New Roman" w:hAnsi="Times New Roman"/>
                <w:i/>
                <w:lang w:eastAsia="lt-LT"/>
              </w:rPr>
              <w:t xml:space="preserve">projektų atitikties </w:t>
            </w:r>
            <w:r w:rsidR="00504958" w:rsidRPr="007E17E6">
              <w:rPr>
                <w:rFonts w:ascii="Times New Roman" w:eastAsia="Times New Roman" w:hAnsi="Times New Roman"/>
                <w:lang w:eastAsia="lt-LT"/>
              </w:rPr>
              <w:t>de minimis</w:t>
            </w:r>
            <w:r w:rsidRPr="007E17E6">
              <w:rPr>
                <w:rFonts w:ascii="Times New Roman" w:eastAsia="Times New Roman" w:hAnsi="Times New Roman"/>
                <w:i/>
                <w:lang w:eastAsia="lt-LT"/>
              </w:rPr>
              <w:t xml:space="preserve"> pagalbos taisyklėms patikros lapas)</w:t>
            </w:r>
            <w:r w:rsidRPr="007E17E6">
              <w:rPr>
                <w:rFonts w:ascii="Times New Roman" w:eastAsia="Times New Roman" w:hAnsi="Times New Roman"/>
                <w:lang w:eastAsia="lt-LT"/>
              </w:rPr>
              <w:t xml:space="preserve">; arba </w:t>
            </w:r>
          </w:p>
          <w:p w14:paraId="2DAB0087"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4.5.2. projektas finansuojamas pagal suderintą </w:t>
            </w:r>
            <w:r w:rsidRPr="007E17E6">
              <w:rPr>
                <w:rFonts w:ascii="Times New Roman" w:eastAsia="Times New Roman" w:hAnsi="Times New Roman"/>
                <w:lang w:eastAsia="lt-LT"/>
              </w:rPr>
              <w:lastRenderedPageBreak/>
              <w:t xml:space="preserve">valstybės pagalbos schemą ar Europos Komisijos sprendimą arba pagal bendrąjį bendrosios išimties reglamentą, laikantis ten nustatytų reikalavimų </w:t>
            </w:r>
            <w:r w:rsidRPr="007E17E6">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lang w:eastAsia="lt-LT"/>
              </w:rPr>
              <w:t xml:space="preserve"> arba</w:t>
            </w:r>
          </w:p>
          <w:p w14:paraId="143FF45E"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7E17E6">
              <w:rPr>
                <w:rFonts w:ascii="Times New Roman" w:hAnsi="Times New Roman"/>
                <w:i/>
                <w:iCs/>
                <w:color w:val="000000"/>
              </w:rPr>
              <w:t xml:space="preserve">Pildomas  patikros lapas dėl valstybės pagalbos ir </w:t>
            </w:r>
            <w:r w:rsidRPr="007E17E6">
              <w:rPr>
                <w:rFonts w:ascii="Times New Roman" w:eastAsia="Times New Roman" w:hAnsi="Times New Roman"/>
                <w:i/>
                <w:lang w:eastAsia="lt-LT"/>
              </w:rPr>
              <w:t>„</w:t>
            </w:r>
            <w:r w:rsidRPr="007E17E6">
              <w:rPr>
                <w:rFonts w:ascii="Times New Roman" w:hAnsi="Times New Roman"/>
                <w:i/>
                <w:iCs/>
                <w:color w:val="000000"/>
              </w:rPr>
              <w:t>de minimis“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14:paraId="748E6BE6" w14:textId="77777777" w:rsidR="00F00DFC" w:rsidRPr="007E17E6" w:rsidRDefault="00F00DFC" w:rsidP="00A51E33">
            <w:pPr>
              <w:spacing w:after="0" w:line="240" w:lineRule="auto"/>
              <w:rPr>
                <w:rFonts w:ascii="Times New Roman" w:eastAsia="Times New Roman" w:hAnsi="Times New Roman"/>
                <w:i/>
                <w:lang w:eastAsia="lt-LT"/>
              </w:rPr>
            </w:pPr>
            <w:r w:rsidRPr="007E17E6">
              <w:rPr>
                <w:rFonts w:ascii="Times New Roman" w:eastAsia="Times New Roman" w:hAnsi="Times New Roman"/>
                <w:i/>
                <w:lang w:eastAsia="lt-LT"/>
              </w:rPr>
              <w:t>(Vertinant techninės paramos projektus šių metodinių nurodymų 4.5 papunktyje nurodytas vertinimo aspektas  netaikomas.)</w:t>
            </w:r>
          </w:p>
          <w:p w14:paraId="16CE47C6" w14:textId="77777777" w:rsidR="006E2D6B" w:rsidRPr="007E17E6"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2A43C18" w14:textId="77777777" w:rsidR="00F00DFC" w:rsidRPr="00E72EC9" w:rsidRDefault="00E72EC9" w:rsidP="00331EA0">
            <w:pPr>
              <w:spacing w:after="0" w:line="240" w:lineRule="auto"/>
              <w:rPr>
                <w:rFonts w:ascii="Times New Roman" w:eastAsia="Times New Roman" w:hAnsi="Times New Roman" w:cs="Times New Roman"/>
                <w:lang w:eastAsia="lt-LT"/>
              </w:rPr>
            </w:pPr>
            <w:r w:rsidRPr="00E72EC9">
              <w:rPr>
                <w:rFonts w:ascii="Times New Roman" w:eastAsia="Times New Roman" w:hAnsi="Times New Roman" w:cs="Times New Roman"/>
                <w:lang w:eastAsia="lt-LT"/>
              </w:rPr>
              <w:lastRenderedPageBreak/>
              <w:t xml:space="preserve">Netaikoma. </w:t>
            </w:r>
            <w:r w:rsidR="00F00DFC" w:rsidRPr="00E72EC9">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71A20AE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08A3EBA"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15E521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623C90F"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14:paraId="6112DAD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2438000"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4292389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E91183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5A2A3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3EF21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62804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CDF647A" w14:textId="77777777" w:rsidR="00F00DFC" w:rsidRPr="00865CB6"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Tinkamų pareiškėjų (partnerių) sąr</w:t>
            </w:r>
            <w:r>
              <w:rPr>
                <w:rFonts w:ascii="Times New Roman" w:hAnsi="Times New Roman" w:cs="Times New Roman"/>
                <w:szCs w:val="24"/>
              </w:rPr>
              <w:t>ašas yra nurodytas šio Aprašo 12</w:t>
            </w:r>
            <w:r w:rsidRPr="00E72EC9">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14:paraId="211E89D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B9BD2B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CFC84C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7D3CB82" w14:textId="77777777" w:rsidR="00F00DF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7333279E" w14:textId="77777777"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0C83E019"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A38D0C3"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AD8CBA"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83D149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E7E8B87"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14:paraId="67BB8D9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w:t>
            </w:r>
            <w:r w:rsidRPr="004650EC">
              <w:rPr>
                <w:rFonts w:ascii="Times New Roman" w:eastAsia="Times New Roman" w:hAnsi="Times New Roman"/>
                <w:lang w:eastAsia="lt-LT"/>
              </w:rPr>
              <w:lastRenderedPageBreak/>
              <w:t xml:space="preserve">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14:paraId="2133A1A4"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54CCC481"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(-iai) yra užsienyje registruotas juridinis asmuo (asmenys)</w:t>
            </w:r>
            <w:r w:rsidRPr="004650E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4E9B5DFB" w14:textId="77777777"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w:t>
            </w:r>
            <w:r w:rsidRPr="005C3CAE">
              <w:rPr>
                <w:rFonts w:ascii="Times New Roman" w:eastAsia="Times New Roman" w:hAnsi="Times New Roman"/>
                <w:color w:val="000000"/>
                <w:lang w:eastAsia="lt-LT"/>
              </w:rPr>
              <w:lastRenderedPageBreak/>
              <w:t xml:space="preserve">paramą aprašas“ 2 punkte </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14:paraId="39714D3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4AABE117"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3EE70C58"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14:paraId="40D14F68" w14:textId="77777777" w:rsidR="00F00DFC" w:rsidRPr="004650EC" w:rsidRDefault="00F00DFC" w:rsidP="004650EC">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 xml:space="preserve">(ši nuostata taikoma tik tais atvejais, kai finansines ataskaitas būtina rengti pagal įstatymus, taikomus juridiniam asmeniui, užsienio juridiniam asmeniui </w:t>
            </w:r>
            <w:r w:rsidRPr="004650EC">
              <w:rPr>
                <w:rFonts w:ascii="Times New Roman" w:eastAsia="Times New Roman" w:hAnsi="Times New Roman"/>
                <w:i/>
                <w:lang w:eastAsia="lt-LT"/>
              </w:rPr>
              <w:lastRenderedPageBreak/>
              <w:t>ar kitai organizacijai arba jų filialui).</w:t>
            </w:r>
          </w:p>
          <w:p w14:paraId="38E00E8A" w14:textId="77777777" w:rsidR="00F00DFC" w:rsidRPr="00865CB6" w:rsidRDefault="00F00DFC" w:rsidP="00A51E33">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069AA219"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5494403"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6C32A5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91894E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A4CBB47"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CB97061"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1190E0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3D209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48C7F8C"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1F153D68" w14:textId="77777777" w:rsidR="00F00DFC" w:rsidRPr="00865CB6" w:rsidRDefault="00F00DFC" w:rsidP="00A51E33">
            <w:pPr>
              <w:spacing w:after="0" w:line="240" w:lineRule="auto"/>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p w14:paraId="0CE1904F" w14:textId="77777777" w:rsidR="00F00DFC" w:rsidRPr="00865CB6" w:rsidRDefault="00F00DFC" w:rsidP="00897EC1">
            <w:pPr>
              <w:spacing w:after="0" w:line="240" w:lineRule="auto"/>
              <w:rPr>
                <w:rFonts w:ascii="Times New Roman" w:eastAsia="Times New Roman" w:hAnsi="Times New Roman" w:cs="Times New Roman"/>
                <w:i/>
                <w:spacing w:val="-4"/>
                <w:lang w:eastAsia="lt-LT"/>
              </w:rPr>
            </w:pPr>
            <w:r w:rsidRPr="00977805">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4469CBCA" w14:textId="77777777" w:rsidR="00F00DFC"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29BBDADA" w14:textId="77777777"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14:paraId="26C7A83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BAB998B" w14:textId="77777777" w:rsidTr="00F00DFC">
        <w:trPr>
          <w:trHeight w:val="1685"/>
        </w:trPr>
        <w:tc>
          <w:tcPr>
            <w:tcW w:w="4820" w:type="dxa"/>
            <w:vMerge/>
            <w:tcBorders>
              <w:left w:val="single" w:sz="4" w:space="0" w:color="000000"/>
              <w:bottom w:val="single" w:sz="4" w:space="0" w:color="000000"/>
              <w:right w:val="single" w:sz="4" w:space="0" w:color="000000"/>
            </w:tcBorders>
          </w:tcPr>
          <w:p w14:paraId="2D060197" w14:textId="77777777" w:rsidR="00F00DFC" w:rsidRPr="00865CB6"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A77CEA0" w14:textId="77777777"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13EC8FC" w14:textId="77777777"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0B144D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BF6B111"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12E395F" w14:textId="77777777" w:rsidR="00F00DFC" w:rsidRPr="00865CB6" w:rsidRDefault="00F00DFC" w:rsidP="00A51E33">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355BBD1E" w14:textId="77777777" w:rsidR="00F00DFC" w:rsidRPr="00865CB6" w:rsidRDefault="00F00DFC" w:rsidP="00A51E33">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1B72E5F1"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1EC1150"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60FDD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7B61468E"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1F3A72E"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14:paraId="7C64850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DCB44A" w14:textId="77777777" w:rsidR="00F00DFC"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76FD71A4" w14:textId="77777777" w:rsidR="00F00DFC" w:rsidRPr="00977805" w:rsidRDefault="00F00DFC" w:rsidP="00977805">
            <w:pPr>
              <w:spacing w:after="0" w:line="240" w:lineRule="auto"/>
              <w:rPr>
                <w:rFonts w:ascii="Times New Roman" w:eastAsia="Times New Roman" w:hAnsi="Times New Roman" w:cs="Times New Roman"/>
                <w:i/>
                <w:lang w:eastAsia="lt-LT"/>
              </w:rPr>
            </w:pPr>
            <w:r w:rsidRPr="00977805">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73FD9CF5" w14:textId="77777777" w:rsidR="00F00DFC" w:rsidRPr="00E72EC9"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637B50E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C598F"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BEE3E4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7508C0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p w14:paraId="2819AA36" w14:textId="77777777" w:rsidR="00F00DFC" w:rsidRPr="00865CB6" w:rsidRDefault="00F00DFC" w:rsidP="00A51E33">
            <w:pPr>
              <w:spacing w:after="0" w:line="240" w:lineRule="auto"/>
              <w:rPr>
                <w:rFonts w:ascii="Times New Roman" w:eastAsia="Times New Roman" w:hAnsi="Times New Roman" w:cs="Times New Roman"/>
                <w:lang w:eastAsia="lt-LT"/>
              </w:rPr>
            </w:pPr>
            <w:r w:rsidRPr="00977805">
              <w:rPr>
                <w:rFonts w:ascii="Times New Roman" w:hAnsi="Times New Roman" w:cs="Times New Roman"/>
                <w:i/>
              </w:rPr>
              <w:t xml:space="preserve">(Vertinant techninės paramos projektus ir iš ESF bendrai finansuojamus projektus, taip pat tais atvejais, kai įgyvendinant visuotinės dotacijos priemonę pagal projektų finansavimo sąlygų aprašą </w:t>
            </w:r>
            <w:r w:rsidRPr="00977805">
              <w:rPr>
                <w:rFonts w:ascii="Times New Roman" w:hAnsi="Times New Roman" w:cs="Times New Roman"/>
                <w:i/>
              </w:rPr>
              <w:lastRenderedPageBreak/>
              <w:t>negali būti netinkamų finansuoti su projektu susijusių išlaidų,  šis vertinimo aspektas netaikomas.)</w:t>
            </w:r>
            <w:r w:rsidRPr="00977805"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BA3AB23"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0E94F8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19CEAF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92370F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DD6EC27"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6.3. Užtikrintas finansinis projekto (veiklų) rezultatų tęstinumas.</w:t>
            </w:r>
          </w:p>
          <w:p w14:paraId="592E51E8" w14:textId="77777777" w:rsidR="00F00DFC" w:rsidRPr="00865CB6" w:rsidRDefault="00F00DFC" w:rsidP="00A51E33">
            <w:pPr>
              <w:spacing w:after="0" w:line="240" w:lineRule="auto"/>
              <w:rPr>
                <w:rFonts w:ascii="Times New Roman" w:eastAsia="Times New Roman" w:hAnsi="Times New Roman" w:cs="Times New Roman"/>
                <w:lang w:eastAsia="lt-LT"/>
              </w:rPr>
            </w:pPr>
            <w:r w:rsidRPr="00E527FE">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10924E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D9497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E3759A"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0E61EC86"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FB142F1"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14:paraId="48090C6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BB8368"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14:paraId="7DAD057E" w14:textId="77777777" w:rsidR="00F00DFC" w:rsidRPr="00E527FE" w:rsidRDefault="00F00DFC" w:rsidP="00E527FE">
            <w:pPr>
              <w:spacing w:after="0" w:line="240" w:lineRule="auto"/>
              <w:rPr>
                <w:rFonts w:ascii="Times New Roman" w:hAnsi="Times New Roman" w:cs="Times New Roman"/>
                <w:i/>
              </w:rPr>
            </w:pPr>
            <w:r w:rsidRPr="00E527FE">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71B8B55F" w14:textId="77777777" w:rsidR="00F00DFC" w:rsidRPr="00E527FE" w:rsidRDefault="00F00DFC" w:rsidP="00E527FE">
            <w:pPr>
              <w:spacing w:after="0" w:line="240" w:lineRule="auto"/>
              <w:rPr>
                <w:rFonts w:ascii="Times New Roman" w:hAnsi="Times New Roman" w:cs="Times New Roman"/>
                <w:i/>
              </w:rPr>
            </w:pPr>
            <w:r w:rsidRPr="00E527FE">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5612EE6D" w14:textId="77777777" w:rsidR="00F00DFC" w:rsidRPr="00865CB6" w:rsidRDefault="00F00DFC" w:rsidP="00A51E33">
            <w:pPr>
              <w:spacing w:after="0" w:line="240" w:lineRule="auto"/>
              <w:rPr>
                <w:rFonts w:ascii="Times New Roman" w:eastAsia="Times New Roman" w:hAnsi="Times New Roman" w:cs="Times New Roman"/>
                <w:lang w:eastAsia="lt-LT"/>
              </w:rPr>
            </w:pPr>
            <w:r w:rsidRPr="00E527FE">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F51C19C" w14:textId="77777777" w:rsidR="00E72EC9"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eastAsia="Times New Roman" w:hAnsi="Times New Roman" w:cs="Times New Roman"/>
                <w:lang w:eastAsia="lt-LT"/>
              </w:rPr>
              <w:t>Netaikoma.</w:t>
            </w:r>
          </w:p>
          <w:p w14:paraId="6E7D5ABB" w14:textId="77777777" w:rsidR="00E72EC9" w:rsidRPr="00E72EC9" w:rsidRDefault="00E72EC9" w:rsidP="00E72EC9">
            <w:pPr>
              <w:spacing w:after="0" w:line="240" w:lineRule="auto"/>
              <w:rPr>
                <w:rFonts w:ascii="Times New Roman" w:eastAsia="Times New Roman" w:hAnsi="Times New Roman" w:cs="Times New Roman"/>
                <w:lang w:eastAsia="lt-LT"/>
              </w:rPr>
            </w:pPr>
          </w:p>
          <w:p w14:paraId="5A0EA8B3" w14:textId="77777777" w:rsidR="00F00DFC" w:rsidRPr="00E72EC9" w:rsidRDefault="00E72EC9" w:rsidP="00E72EC9">
            <w:pPr>
              <w:spacing w:after="0" w:line="240" w:lineRule="auto"/>
              <w:rPr>
                <w:rFonts w:ascii="Times New Roman" w:eastAsia="Times New Roman" w:hAnsi="Times New Roman" w:cs="Times New Roman"/>
                <w:i/>
                <w:lang w:eastAsia="lt-LT"/>
              </w:rPr>
            </w:pPr>
            <w:r w:rsidRPr="00E72EC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7F6AC319"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CBA1C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E23DD0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2DBA77"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5B57220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C216C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FAF4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76AFA8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E261A0"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7C8377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705230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1CB57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55A1E8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E1A4538"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0DE3AF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8872A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A3BD4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306DB9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6BB771"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226936C8"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9674A2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93CC0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249C03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223E4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1BB827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1888E7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CEE59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843CA8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25F13CF"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14:paraId="6487B75A" w14:textId="77777777" w:rsidR="00F00DFC" w:rsidRPr="00CA54B8" w:rsidRDefault="00F00DFC" w:rsidP="00CA54B8">
            <w:pPr>
              <w:spacing w:after="0" w:line="240" w:lineRule="auto"/>
              <w:rPr>
                <w:rFonts w:ascii="Times New Roman" w:eastAsia="Times New Roman" w:hAnsi="Times New Roman" w:cs="Times New Roman"/>
                <w:i/>
                <w:lang w:eastAsia="lt-LT"/>
              </w:rPr>
            </w:pPr>
            <w:r w:rsidRPr="00CA54B8">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591D8A7" w14:textId="77777777" w:rsidR="00F00DFC" w:rsidRPr="00CA54B8" w:rsidRDefault="00F00DFC" w:rsidP="00CA54B8">
            <w:pPr>
              <w:spacing w:after="0" w:line="240" w:lineRule="auto"/>
              <w:rPr>
                <w:rFonts w:ascii="Times New Roman" w:eastAsia="Times New Roman" w:hAnsi="Times New Roman" w:cs="Times New Roman"/>
                <w:i/>
                <w:lang w:eastAsia="lt-LT"/>
              </w:rPr>
            </w:pPr>
            <w:r w:rsidRPr="00CA54B8">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07315A29" w14:textId="77777777" w:rsidR="00F00DFC" w:rsidRPr="00CA54B8" w:rsidRDefault="00F00DFC" w:rsidP="00CA54B8">
            <w:pPr>
              <w:spacing w:after="0" w:line="240" w:lineRule="auto"/>
              <w:rPr>
                <w:rFonts w:ascii="Times New Roman" w:eastAsia="Times New Roman" w:hAnsi="Times New Roman" w:cs="Times New Roman"/>
                <w:i/>
                <w:lang w:eastAsia="lt-LT"/>
              </w:rPr>
            </w:pPr>
            <w:r w:rsidRPr="00CA54B8">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0B5C820F" w14:textId="77777777" w:rsidR="00F00DFC" w:rsidRPr="00865CB6" w:rsidRDefault="00F00DFC" w:rsidP="00A51E33">
            <w:pPr>
              <w:spacing w:after="0" w:line="240" w:lineRule="auto"/>
              <w:rPr>
                <w:rFonts w:ascii="Times New Roman" w:eastAsia="Times New Roman" w:hAnsi="Times New Roman" w:cs="Times New Roman"/>
                <w:i/>
                <w:lang w:eastAsia="lt-LT"/>
              </w:rPr>
            </w:pPr>
            <w:r w:rsidRPr="00CA54B8">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76F61E89" w14:textId="77777777" w:rsidR="00E72EC9"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eastAsia="Times New Roman" w:hAnsi="Times New Roman" w:cs="Times New Roman"/>
                <w:lang w:eastAsia="lt-LT"/>
              </w:rPr>
              <w:t>Netaikoma.</w:t>
            </w:r>
          </w:p>
          <w:p w14:paraId="5AFE6A99" w14:textId="77777777" w:rsidR="00E72EC9" w:rsidRPr="00E72EC9" w:rsidRDefault="00E72EC9" w:rsidP="00E72EC9">
            <w:pPr>
              <w:spacing w:after="0" w:line="240" w:lineRule="auto"/>
              <w:rPr>
                <w:rFonts w:ascii="Times New Roman" w:eastAsia="Times New Roman" w:hAnsi="Times New Roman" w:cs="Times New Roman"/>
                <w:lang w:eastAsia="lt-LT"/>
              </w:rPr>
            </w:pPr>
          </w:p>
          <w:p w14:paraId="6D4C6119" w14:textId="77777777" w:rsidR="00F00DFC" w:rsidRPr="00E72EC9" w:rsidRDefault="00E72EC9" w:rsidP="00E72EC9">
            <w:pPr>
              <w:spacing w:after="0" w:line="240" w:lineRule="auto"/>
              <w:rPr>
                <w:rFonts w:ascii="Times New Roman" w:eastAsia="Times New Roman" w:hAnsi="Times New Roman" w:cs="Times New Roman"/>
                <w:i/>
                <w:lang w:eastAsia="lt-LT"/>
              </w:rPr>
            </w:pPr>
            <w:r w:rsidRPr="00E72EC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2635DD0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B6DA44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99AE88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BD6068"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B28349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075A71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C99213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9D9F26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D6944E" w14:textId="77777777"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w:t>
            </w:r>
            <w:r w:rsidRPr="00CA54B8">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10415F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4CC070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35ED3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E72EC9" w:rsidRPr="00865CB6" w14:paraId="6431AA5A"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93545B0"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BBF5CD6"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Pr>
                <w:rFonts w:ascii="Times New Roman" w:hAnsi="Times New Roman" w:cs="Times New Roman"/>
                <w:szCs w:val="24"/>
              </w:rPr>
              <w:t>17, 18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175946CD"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6FDDDC5"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E72EC9" w:rsidRPr="00865CB6" w14:paraId="2BA47E6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612C17"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14:paraId="0AE54FB1"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w:t>
            </w:r>
            <w:r w:rsidRPr="00865CB6">
              <w:rPr>
                <w:rFonts w:ascii="Times New Roman" w:eastAsia="Times New Roman" w:hAnsi="Times New Roman" w:cs="Times New Roman"/>
                <w:i/>
                <w:lang w:eastAsia="lt-LT"/>
              </w:rPr>
              <w:t>Taikoma tik tais atvejais, jei paraiškoje numatytas kryžminis finansavimas.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A2EEAE8" w14:textId="77777777" w:rsidR="00E72EC9" w:rsidRPr="00865CB6" w:rsidRDefault="00E72EC9" w:rsidP="00E72EC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4F68333"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1408DA"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E72EC9" w:rsidRPr="00865CB6" w14:paraId="067224B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92A5F0"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lang w:eastAsia="lt-LT"/>
              </w:rPr>
              <w:t xml:space="preserve"> tik tais atvejais, jei paraiškoje yra numatyta taikyti </w:t>
            </w:r>
            <w:r w:rsidRPr="005C3CAE">
              <w:rPr>
                <w:rFonts w:ascii="Times New Roman" w:hAnsi="Times New Roman" w:cs="Times New Roman"/>
                <w:i/>
              </w:rPr>
              <w:t>šiuos 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4F4C492"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Projektui taikoma fiksuotoji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vieneto įkainiai</w:t>
            </w:r>
            <w:r>
              <w:rPr>
                <w:rFonts w:ascii="Times New Roman" w:hAnsi="Times New Roman" w:cs="Times New Roman"/>
              </w:rPr>
              <w:t xml:space="preserve">, </w:t>
            </w:r>
            <w:r w:rsidRPr="00865CB6">
              <w:rPr>
                <w:rFonts w:ascii="Times New Roman" w:hAnsi="Times New Roman" w:cs="Times New Roman"/>
              </w:rPr>
              <w:t>fiksuotosios projekto išlaidų sumos</w:t>
            </w:r>
            <w:r>
              <w:rPr>
                <w:rFonts w:ascii="Times New Roman" w:hAnsi="Times New Roman" w:cs="Times New Roman"/>
              </w:rPr>
              <w:t xml:space="preserve"> ir (ar) apdovanojimai</w:t>
            </w:r>
            <w:r w:rsidRPr="00865CB6">
              <w:rPr>
                <w:rFonts w:ascii="Times New Roman" w:hAnsi="Times New Roman" w:cs="Times New Roman"/>
              </w:rPr>
              <w:t xml:space="preserve"> turi atitikti reikalavimus, nustatytus </w:t>
            </w:r>
            <w:r w:rsidRPr="00865CB6">
              <w:rPr>
                <w:rFonts w:ascii="Times New Roman" w:hAnsi="Times New Roman" w:cs="Times New Roman"/>
                <w:szCs w:val="24"/>
              </w:rPr>
              <w:t xml:space="preserve">šio Aprašo </w:t>
            </w:r>
            <w:r>
              <w:rPr>
                <w:rFonts w:ascii="Times New Roman" w:hAnsi="Times New Roman" w:cs="Times New Roman"/>
                <w:szCs w:val="24"/>
              </w:rPr>
              <w:t>31, 34 punktuose</w:t>
            </w:r>
            <w:r w:rsidRPr="00865CB6">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6D2613D1"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D31FA6"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F00DFC" w:rsidRPr="00865CB6" w14:paraId="4F8DD1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3F701D4" w14:textId="77777777"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60E0633"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14:paraId="33108062"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14:paraId="1B1A0FBD"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14:paraId="51DA7ADC" w14:textId="77777777" w:rsidR="00F00DFC" w:rsidRPr="00CA54B8" w:rsidRDefault="00F00DFC" w:rsidP="00CA54B8">
            <w:pPr>
              <w:spacing w:after="0" w:line="240" w:lineRule="auto"/>
              <w:rPr>
                <w:rFonts w:ascii="Times New Roman" w:eastAsia="Times New Roman" w:hAnsi="Times New Roman"/>
                <w:i/>
                <w:lang w:eastAsia="lt-LT"/>
              </w:rPr>
            </w:pPr>
            <w:r w:rsidRPr="00CA54B8">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5A8226A" w14:textId="77777777" w:rsidR="00F00DFC" w:rsidRPr="00865CB6" w:rsidRDefault="00F00DFC" w:rsidP="00A51E33">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xml:space="preserve">, taip pat techninės paramos  </w:t>
            </w:r>
            <w:r w:rsidRPr="00CA54B8">
              <w:rPr>
                <w:rFonts w:ascii="Times New Roman" w:hAnsi="Times New Roman"/>
                <w:i/>
              </w:rPr>
              <w:lastRenderedPageBreak/>
              <w:t>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5E3D03D7"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C925F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0C1A2C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67295360"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EA1904B"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14:paraId="7A69982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7708AAD" w14:textId="77777777"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384F1E6"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E4109B4"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14:paraId="301E0FB0"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14:paraId="0C4CAFDA"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14:paraId="7502FAA9" w14:textId="77777777" w:rsidR="00F00DFC" w:rsidRPr="00865CB6" w:rsidRDefault="00F00DFC" w:rsidP="00A51E33">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E5715A4" w14:textId="77777777" w:rsidR="00F00DFC" w:rsidRPr="00865CB6"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Projekto įgyvendinimo trukmė/ terminas ir vieta turi atitikti šio Aprašo 19 punkte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3DE5EBF3"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99AC09" w14:textId="77777777" w:rsidR="00F00DFC" w:rsidRPr="00865CB6" w:rsidRDefault="00F00DFC" w:rsidP="00A51E33">
            <w:pPr>
              <w:spacing w:after="0" w:line="240" w:lineRule="auto"/>
              <w:rPr>
                <w:rFonts w:ascii="Times New Roman" w:eastAsia="Times New Roman" w:hAnsi="Times New Roman" w:cs="Times New Roman"/>
                <w:lang w:eastAsia="lt-LT"/>
              </w:rPr>
            </w:pPr>
          </w:p>
        </w:tc>
      </w:tr>
    </w:tbl>
    <w:p w14:paraId="3FFFFE6B" w14:textId="77777777" w:rsidR="00EB4717" w:rsidRPr="00865CB6" w:rsidRDefault="00EB4717"/>
    <w:p w14:paraId="5AD02350" w14:textId="77777777"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14:paraId="7DE7A919" w14:textId="77777777"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ar regionų projektų sąrašą</w:t>
      </w:r>
      <w:r w:rsidRPr="00CA54B8">
        <w:rPr>
          <w:rFonts w:ascii="Times New Roman" w:eastAsia="Times New Roman" w:hAnsi="Times New Roman"/>
          <w:lang w:eastAsia="lt-LT"/>
        </w:rPr>
        <w:t>?</w:t>
      </w:r>
    </w:p>
    <w:p w14:paraId="3B4F19A5" w14:textId="77777777"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14:paraId="6497A8A1" w14:textId="77777777"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14:paraId="292D1297" w14:textId="77777777" w:rsidR="00EB4717" w:rsidRPr="00CA54B8" w:rsidRDefault="00EB4717" w:rsidP="00EB4717">
      <w:pPr>
        <w:spacing w:after="0" w:line="240" w:lineRule="auto"/>
        <w:rPr>
          <w:rFonts w:ascii="Times New Roman" w:eastAsia="Times New Roman" w:hAnsi="Times New Roman"/>
          <w:lang w:eastAsia="lt-LT"/>
        </w:rPr>
      </w:pPr>
    </w:p>
    <w:p w14:paraId="412EE620" w14:textId="77777777"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14:paraId="3F3F271A" w14:textId="77777777"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valstybės ar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14:paraId="74CBE33D" w14:textId="77777777"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ar regionų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7E17E6">
        <w:rPr>
          <w:rFonts w:ascii="Times New Roman" w:eastAsia="Times New Roman" w:hAnsi="Times New Roman"/>
          <w:i/>
          <w:lang w:eastAsia="lt-LT"/>
        </w:rPr>
        <w:t xml:space="preserve">klausimas </w:t>
      </w:r>
      <w:r w:rsidRPr="007E17E6">
        <w:rPr>
          <w:rFonts w:ascii="Times New Roman" w:eastAsia="Times New Roman" w:hAnsi="Times New Roman"/>
          <w:i/>
          <w:lang w:eastAsia="lt-LT"/>
        </w:rPr>
        <w:t>netaikomas.</w:t>
      </w:r>
      <w:r w:rsidR="00EB4717" w:rsidRPr="007E17E6">
        <w:rPr>
          <w:rFonts w:ascii="Times New Roman" w:eastAsia="Times New Roman" w:hAnsi="Times New Roman"/>
          <w:lang w:eastAsia="lt-LT"/>
        </w:rPr>
        <w:t>)</w:t>
      </w:r>
    </w:p>
    <w:p w14:paraId="4CD99059" w14:textId="77777777"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1838378" w14:textId="77777777"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3D5763F7" w14:textId="77777777"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14:paraId="5CA2DE9C" w14:textId="77777777"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lastRenderedPageBreak/>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14:paraId="6F42E561" w14:textId="77777777"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14:paraId="7466AADA" w14:textId="77777777"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14:paraId="21B56DB3" w14:textId="77777777" w:rsidR="006D6920" w:rsidRPr="007E17E6" w:rsidRDefault="006D6920" w:rsidP="00EB4717">
      <w:pPr>
        <w:spacing w:after="0" w:line="240" w:lineRule="auto"/>
        <w:ind w:left="720"/>
        <w:rPr>
          <w:rFonts w:ascii="Times New Roman" w:eastAsia="Times New Roman" w:hAnsi="Times New Roman"/>
          <w:lang w:eastAsia="lt-LT"/>
        </w:rPr>
      </w:pPr>
    </w:p>
    <w:p w14:paraId="483E3349" w14:textId="77777777"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14:paraId="15424765" w14:textId="77777777"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14:paraId="2AB9B94C" w14:textId="77777777"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14:paraId="320656A7" w14:textId="77777777"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14:paraId="3837076E" w14:textId="77777777"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14:paraId="3224DABB" w14:textId="77777777"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45"/>
        <w:gridCol w:w="1418"/>
        <w:gridCol w:w="1417"/>
        <w:gridCol w:w="1701"/>
        <w:gridCol w:w="1985"/>
        <w:gridCol w:w="2126"/>
        <w:gridCol w:w="1984"/>
        <w:gridCol w:w="1984"/>
      </w:tblGrid>
      <w:tr w:rsidR="00BF11A0" w:rsidRPr="00CA54B8" w14:paraId="4E917384" w14:textId="77777777"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4AE8149F" w14:textId="77777777" w:rsidR="00BF11A0" w:rsidRPr="009B55AD" w:rsidRDefault="00BF11A0" w:rsidP="00FD0F27">
            <w:pPr>
              <w:ind w:left="-57" w:right="-57"/>
              <w:jc w:val="center"/>
              <w:rPr>
                <w:rFonts w:ascii="Times New Roman" w:hAnsi="Times New Roman"/>
              </w:rPr>
            </w:pPr>
            <w:r w:rsidRPr="009B55AD">
              <w:rPr>
                <w:rFonts w:ascii="Times New Roman" w:hAnsi="Times New Roman"/>
              </w:rPr>
              <w:t>Bendra projekto vertė</w:t>
            </w:r>
            <w:r w:rsidR="00DA6996">
              <w:rPr>
                <w:rStyle w:val="Puslapioinaosnuoroda"/>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446BE5B0" w14:textId="77777777"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14:paraId="7A57672D" w14:textId="77777777"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14:paraId="061E2C2D" w14:textId="77777777"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mų deklaruoti išlaidų suma, Eur</w:t>
            </w:r>
          </w:p>
        </w:tc>
      </w:tr>
      <w:tr w:rsidR="00BF11A0" w:rsidRPr="00CA54B8" w14:paraId="3E0A3D97" w14:textId="77777777"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3D097F7F" w14:textId="77777777" w:rsidR="00BF11A0" w:rsidRPr="005C3CAE"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306CFE3C" w14:textId="77777777" w:rsidR="00BF11A0" w:rsidRPr="009B55AD" w:rsidRDefault="00BF11A0" w:rsidP="00FD0F27">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60620821" w14:textId="77777777"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14:paraId="2BDECD01" w14:textId="77777777"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14:paraId="1D6B723D" w14:textId="77777777" w:rsidR="00BF11A0" w:rsidRPr="009B55AD" w:rsidRDefault="00BF11A0">
            <w:pPr>
              <w:spacing w:line="240" w:lineRule="auto"/>
              <w:jc w:val="center"/>
              <w:rPr>
                <w:rFonts w:ascii="Times New Roman" w:hAnsi="Times New Roman"/>
              </w:rPr>
            </w:pPr>
          </w:p>
        </w:tc>
      </w:tr>
      <w:tr w:rsidR="00BF11A0" w:rsidRPr="00865CB6" w14:paraId="2E39E111" w14:textId="77777777"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29E9A2DF" w14:textId="77777777" w:rsidR="00BF11A0" w:rsidRPr="005C3CAE"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031A16C3" w14:textId="77777777" w:rsidR="00BF11A0" w:rsidRPr="005C3CAE"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14:paraId="1AE7F0D6" w14:textId="77777777" w:rsidR="00BF11A0" w:rsidRPr="005C3CAE" w:rsidRDefault="00BF11A0" w:rsidP="000555C3">
            <w:pPr>
              <w:spacing w:line="240" w:lineRule="auto"/>
              <w:ind w:left="-57" w:right="-57"/>
              <w:jc w:val="center"/>
              <w:rPr>
                <w:rFonts w:ascii="Times New Roman" w:hAnsi="Times New Roman"/>
              </w:rPr>
            </w:pPr>
          </w:p>
          <w:p w14:paraId="4F0F0BD9" w14:textId="77777777"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Eur</w:t>
            </w:r>
          </w:p>
          <w:p w14:paraId="0F4666F7" w14:textId="77777777"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AE8D11F" w14:textId="77777777"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70AB5F5C" w14:textId="77777777"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79764919" w14:textId="77777777"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49DF4DE0" w14:textId="77777777"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14:paraId="16BB65B7" w14:textId="77777777" w:rsidR="00BF11A0" w:rsidRPr="009B55AD" w:rsidRDefault="00BF11A0">
            <w:pPr>
              <w:spacing w:line="240" w:lineRule="auto"/>
              <w:ind w:left="-57" w:right="-57"/>
              <w:jc w:val="center"/>
              <w:rPr>
                <w:rFonts w:ascii="Times New Roman" w:hAnsi="Times New Roman"/>
              </w:rPr>
            </w:pPr>
          </w:p>
        </w:tc>
      </w:tr>
      <w:tr w:rsidR="00BF11A0" w:rsidRPr="00865CB6" w14:paraId="714A8E84" w14:textId="77777777"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7D7C1CDE" w14:textId="77777777" w:rsidR="00BF11A0" w:rsidRPr="00865CB6"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14:paraId="1D6C6CBB" w14:textId="77777777" w:rsidR="00BF11A0" w:rsidRPr="00865CB6"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14:paraId="639413FA" w14:textId="77777777" w:rsidR="00BF11A0" w:rsidRPr="00865CB6"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2CF5A0D" w14:textId="77777777" w:rsidR="00BF11A0" w:rsidRPr="00865CB6"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14:paraId="27BE84B5" w14:textId="77777777" w:rsidR="00BF11A0" w:rsidRPr="00865CB6"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14:paraId="52F5E161" w14:textId="77777777"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14:paraId="3DD426F9" w14:textId="77777777"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14:paraId="0EE7E50B" w14:textId="77777777" w:rsidR="00BF11A0" w:rsidRPr="00865CB6" w:rsidRDefault="00BF11A0" w:rsidP="00FD0F27">
            <w:pPr>
              <w:jc w:val="center"/>
              <w:rPr>
                <w:rFonts w:ascii="Times New Roman" w:hAnsi="Times New Roman"/>
              </w:rPr>
            </w:pPr>
          </w:p>
        </w:tc>
      </w:tr>
    </w:tbl>
    <w:p w14:paraId="544A4EA5" w14:textId="77777777" w:rsidR="00FF70D3" w:rsidRPr="00865CB6" w:rsidRDefault="009D735C" w:rsidP="006D6920">
      <w:pPr>
        <w:rPr>
          <w:rFonts w:ascii="Times New Roman" w:hAnsi="Times New Roman" w:cs="Times New Roman"/>
        </w:rPr>
      </w:pPr>
      <w:r w:rsidRPr="00865CB6">
        <w:rPr>
          <w:rFonts w:ascii="Times New Roman" w:hAnsi="Times New Roman" w:cs="Times New Roman"/>
          <w:i/>
        </w:rPr>
        <w:t>Kai įgyvendinami techninės paramos prioritetai, ši lentelė nepildoma.</w:t>
      </w:r>
    </w:p>
    <w:p w14:paraId="41B7F0F9" w14:textId="77777777" w:rsidR="000555C3" w:rsidRPr="00865CB6" w:rsidRDefault="000555C3" w:rsidP="006D6920">
      <w:pPr>
        <w:rPr>
          <w:rFonts w:ascii="Times New Roman" w:hAnsi="Times New Roman" w:cs="Times New Roman"/>
        </w:rPr>
      </w:pPr>
    </w:p>
    <w:p w14:paraId="48A462EA" w14:textId="77777777"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614"/>
      </w:tblGrid>
      <w:tr w:rsidR="000555C3" w:rsidRPr="00865CB6" w14:paraId="1FDA6668" w14:textId="77777777" w:rsidTr="000555C3">
        <w:tc>
          <w:tcPr>
            <w:tcW w:w="15614" w:type="dxa"/>
          </w:tcPr>
          <w:p w14:paraId="65737868" w14:textId="77777777" w:rsidR="000555C3" w:rsidRDefault="000555C3" w:rsidP="00EA4C02">
            <w:pPr>
              <w:rPr>
                <w:rFonts w:ascii="Times New Roman" w:hAnsi="Times New Roman" w:cs="Times New Roman"/>
                <w:i/>
              </w:rPr>
            </w:pPr>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14:paraId="19DF1FFA" w14:textId="77777777" w:rsidR="00EA4C02" w:rsidRPr="00084BC7" w:rsidRDefault="00EA4C02" w:rsidP="00EA4C02">
            <w:pPr>
              <w:rPr>
                <w:rFonts w:ascii="Times New Roman" w:hAnsi="Times New Roman" w:cs="Times New Roman"/>
                <w:i/>
              </w:rPr>
            </w:pPr>
          </w:p>
        </w:tc>
      </w:tr>
    </w:tbl>
    <w:p w14:paraId="18975A2F" w14:textId="77777777" w:rsidR="000555C3" w:rsidRPr="00865CB6" w:rsidRDefault="000555C3" w:rsidP="006D6920">
      <w:pPr>
        <w:rPr>
          <w:rFonts w:ascii="Times New Roman" w:hAnsi="Times New Roman" w:cs="Times New Roman"/>
        </w:rPr>
      </w:pPr>
    </w:p>
    <w:p w14:paraId="016B6B9C" w14:textId="77777777" w:rsidR="006D6920" w:rsidRPr="00865CB6" w:rsidRDefault="006D6920" w:rsidP="006D6920">
      <w:pPr>
        <w:tabs>
          <w:tab w:val="left" w:pos="9639"/>
        </w:tabs>
        <w:jc w:val="both"/>
        <w:rPr>
          <w:rFonts w:ascii="Times New Roman" w:hAnsi="Times New Roman" w:cs="Times New Roman"/>
        </w:rPr>
      </w:pPr>
    </w:p>
    <w:p w14:paraId="110BEB6F" w14:textId="77777777" w:rsidR="006D6920" w:rsidRPr="00865CB6" w:rsidRDefault="006D6920" w:rsidP="006D6920">
      <w:pPr>
        <w:tabs>
          <w:tab w:val="left" w:pos="9639"/>
        </w:tabs>
        <w:jc w:val="both"/>
        <w:rPr>
          <w:rFonts w:ascii="Times New Roman" w:hAnsi="Times New Roman" w:cs="Times New Roman"/>
        </w:rPr>
      </w:pPr>
    </w:p>
    <w:p w14:paraId="1153B7CD" w14:textId="77777777" w:rsidR="006D6920" w:rsidRPr="00865CB6" w:rsidRDefault="006D6920" w:rsidP="006D6920">
      <w:pPr>
        <w:tabs>
          <w:tab w:val="left" w:pos="9639"/>
        </w:tabs>
        <w:jc w:val="both"/>
        <w:rPr>
          <w:rFonts w:ascii="Times New Roman" w:hAnsi="Times New Roman" w:cs="Times New Roman"/>
        </w:rPr>
      </w:pPr>
    </w:p>
    <w:p w14:paraId="53BEF479" w14:textId="77777777"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14:paraId="5FB5A29B" w14:textId="77777777"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14:paraId="562BF1F8" w14:textId="77777777"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865CB6">
        <w:rPr>
          <w:rFonts w:ascii="Times New Roman" w:hAnsi="Times New Roman" w:cs="Times New Roman"/>
          <w:lang w:val="en-US"/>
        </w:rPr>
        <w:t>*</w:t>
      </w:r>
      <w:r w:rsidRPr="00865CB6">
        <w:rPr>
          <w:rFonts w:ascii="Times New Roman" w:hAnsi="Times New Roman" w:cs="Times New Roman"/>
        </w:rPr>
        <w:t>)</w:t>
      </w:r>
    </w:p>
    <w:p w14:paraId="6EEE92E1" w14:textId="77777777" w:rsidR="006D6920" w:rsidRPr="00865CB6" w:rsidRDefault="006D6920" w:rsidP="006D6920">
      <w:pPr>
        <w:spacing w:line="240" w:lineRule="auto"/>
        <w:rPr>
          <w:rFonts w:ascii="Times New Roman" w:hAnsi="Times New Roman" w:cs="Times New Roman"/>
        </w:rPr>
      </w:pPr>
    </w:p>
    <w:p w14:paraId="5185AF22" w14:textId="77777777"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670F" w14:textId="77777777" w:rsidR="0040514E" w:rsidRDefault="0040514E" w:rsidP="00045B41">
      <w:pPr>
        <w:spacing w:after="0" w:line="240" w:lineRule="auto"/>
      </w:pPr>
      <w:r>
        <w:separator/>
      </w:r>
    </w:p>
  </w:endnote>
  <w:endnote w:type="continuationSeparator" w:id="0">
    <w:p w14:paraId="43B5D879" w14:textId="77777777" w:rsidR="0040514E" w:rsidRDefault="0040514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2C730" w14:textId="77777777" w:rsidR="0040514E" w:rsidRDefault="0040514E" w:rsidP="00045B41">
      <w:pPr>
        <w:spacing w:after="0" w:line="240" w:lineRule="auto"/>
      </w:pPr>
      <w:r>
        <w:separator/>
      </w:r>
    </w:p>
  </w:footnote>
  <w:footnote w:type="continuationSeparator" w:id="0">
    <w:p w14:paraId="3EF746A9" w14:textId="77777777" w:rsidR="0040514E" w:rsidRDefault="0040514E" w:rsidP="00045B41">
      <w:pPr>
        <w:spacing w:after="0" w:line="240" w:lineRule="auto"/>
      </w:pPr>
      <w:r>
        <w:continuationSeparator/>
      </w:r>
    </w:p>
  </w:footnote>
  <w:footnote w:id="1">
    <w:p w14:paraId="42D28293" w14:textId="77777777"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12780E"/>
    <w:rsid w:val="00152DAF"/>
    <w:rsid w:val="00164BA9"/>
    <w:rsid w:val="00196A1E"/>
    <w:rsid w:val="001A06A0"/>
    <w:rsid w:val="001B7222"/>
    <w:rsid w:val="001C31B6"/>
    <w:rsid w:val="001E3B68"/>
    <w:rsid w:val="001E4061"/>
    <w:rsid w:val="00221111"/>
    <w:rsid w:val="002232CE"/>
    <w:rsid w:val="00244586"/>
    <w:rsid w:val="00247511"/>
    <w:rsid w:val="00273FEF"/>
    <w:rsid w:val="002B2891"/>
    <w:rsid w:val="002C53C0"/>
    <w:rsid w:val="002D68BB"/>
    <w:rsid w:val="002E249A"/>
    <w:rsid w:val="002F79D0"/>
    <w:rsid w:val="003027F8"/>
    <w:rsid w:val="003168E0"/>
    <w:rsid w:val="00321B6E"/>
    <w:rsid w:val="00331DE2"/>
    <w:rsid w:val="00331EA0"/>
    <w:rsid w:val="0033517D"/>
    <w:rsid w:val="00343D06"/>
    <w:rsid w:val="0036275E"/>
    <w:rsid w:val="00382BF6"/>
    <w:rsid w:val="00391A1A"/>
    <w:rsid w:val="003F4E68"/>
    <w:rsid w:val="0040514E"/>
    <w:rsid w:val="00426029"/>
    <w:rsid w:val="004309ED"/>
    <w:rsid w:val="00461951"/>
    <w:rsid w:val="004650EC"/>
    <w:rsid w:val="004D6FB4"/>
    <w:rsid w:val="004E5948"/>
    <w:rsid w:val="00504958"/>
    <w:rsid w:val="005353B9"/>
    <w:rsid w:val="0056392D"/>
    <w:rsid w:val="00571935"/>
    <w:rsid w:val="005778D7"/>
    <w:rsid w:val="005876FF"/>
    <w:rsid w:val="0059411E"/>
    <w:rsid w:val="005C3CAE"/>
    <w:rsid w:val="005E608C"/>
    <w:rsid w:val="00601EB6"/>
    <w:rsid w:val="006222DB"/>
    <w:rsid w:val="006234EB"/>
    <w:rsid w:val="00647B3F"/>
    <w:rsid w:val="00694F6F"/>
    <w:rsid w:val="006A135E"/>
    <w:rsid w:val="006A3CE1"/>
    <w:rsid w:val="006B1E71"/>
    <w:rsid w:val="006B1EDF"/>
    <w:rsid w:val="006B2A58"/>
    <w:rsid w:val="006D6266"/>
    <w:rsid w:val="006D6920"/>
    <w:rsid w:val="006D7B36"/>
    <w:rsid w:val="006E2D6B"/>
    <w:rsid w:val="00701473"/>
    <w:rsid w:val="00710075"/>
    <w:rsid w:val="00742415"/>
    <w:rsid w:val="00773E09"/>
    <w:rsid w:val="00785850"/>
    <w:rsid w:val="007E17E6"/>
    <w:rsid w:val="00827E34"/>
    <w:rsid w:val="0084293A"/>
    <w:rsid w:val="00865CB6"/>
    <w:rsid w:val="00886260"/>
    <w:rsid w:val="00897EC1"/>
    <w:rsid w:val="008A2696"/>
    <w:rsid w:val="008E49EC"/>
    <w:rsid w:val="008E5881"/>
    <w:rsid w:val="00910667"/>
    <w:rsid w:val="00910B4A"/>
    <w:rsid w:val="009310AE"/>
    <w:rsid w:val="00953823"/>
    <w:rsid w:val="00977805"/>
    <w:rsid w:val="009B55AD"/>
    <w:rsid w:val="009D735C"/>
    <w:rsid w:val="00A237DA"/>
    <w:rsid w:val="00A44719"/>
    <w:rsid w:val="00A80A5F"/>
    <w:rsid w:val="00AD273F"/>
    <w:rsid w:val="00AD5459"/>
    <w:rsid w:val="00B34E25"/>
    <w:rsid w:val="00B35F56"/>
    <w:rsid w:val="00B41BC7"/>
    <w:rsid w:val="00B613DA"/>
    <w:rsid w:val="00B62754"/>
    <w:rsid w:val="00B842EF"/>
    <w:rsid w:val="00BA3030"/>
    <w:rsid w:val="00BA3EE7"/>
    <w:rsid w:val="00BB18AF"/>
    <w:rsid w:val="00BF11A0"/>
    <w:rsid w:val="00C3063A"/>
    <w:rsid w:val="00C431CC"/>
    <w:rsid w:val="00C72E52"/>
    <w:rsid w:val="00C732C6"/>
    <w:rsid w:val="00C8320A"/>
    <w:rsid w:val="00C93905"/>
    <w:rsid w:val="00C95B27"/>
    <w:rsid w:val="00CA54B8"/>
    <w:rsid w:val="00CC2416"/>
    <w:rsid w:val="00CC7771"/>
    <w:rsid w:val="00CD4638"/>
    <w:rsid w:val="00CF6AA9"/>
    <w:rsid w:val="00D26984"/>
    <w:rsid w:val="00D97CD7"/>
    <w:rsid w:val="00DA6996"/>
    <w:rsid w:val="00DC6CEC"/>
    <w:rsid w:val="00DE4F6A"/>
    <w:rsid w:val="00DF0A42"/>
    <w:rsid w:val="00E527FE"/>
    <w:rsid w:val="00E72EC9"/>
    <w:rsid w:val="00E871EF"/>
    <w:rsid w:val="00EA4C02"/>
    <w:rsid w:val="00EB4717"/>
    <w:rsid w:val="00EE55A2"/>
    <w:rsid w:val="00EF0575"/>
    <w:rsid w:val="00EF332C"/>
    <w:rsid w:val="00F00DFC"/>
    <w:rsid w:val="00FA459A"/>
    <w:rsid w:val="00FB217A"/>
    <w:rsid w:val="00FB3CE2"/>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950B"/>
  <w15:docId w15:val="{B5AB4C91-272B-4A06-96E4-5501227C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0B90-4F20-4D6F-AEA0-6978B110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18359</Words>
  <Characters>10465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2015-03-04T13:11:00Z</cp:lastPrinted>
  <dcterms:created xsi:type="dcterms:W3CDTF">2015-06-16T11:03:00Z</dcterms:created>
  <dcterms:modified xsi:type="dcterms:W3CDTF">2015-06-16T11:03:00Z</dcterms:modified>
</cp:coreProperties>
</file>