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00" w:rsidRDefault="00127200" w:rsidP="00127200">
      <w:pPr>
        <w:jc w:val="center"/>
        <w:rPr>
          <w:rFonts w:ascii="Times New Roman" w:hAnsi="Times New Roman" w:cs="Times New Roman"/>
          <w:b/>
          <w:sz w:val="24"/>
          <w:szCs w:val="24"/>
        </w:rPr>
      </w:pPr>
      <w:bookmarkStart w:id="0" w:name="_GoBack"/>
      <w:bookmarkEnd w:id="0"/>
      <w:r w:rsidRPr="00562CE1">
        <w:rPr>
          <w:rFonts w:ascii="Times New Roman" w:hAnsi="Times New Roman" w:cs="Times New Roman"/>
          <w:b/>
          <w:kern w:val="16"/>
          <w:sz w:val="24"/>
          <w:szCs w:val="24"/>
        </w:rPr>
        <w:t>2014–2020 metų Europos Sąjungos fondų investicijų veiksmų programos 9 prioriteto „Visuomenės švietimas ir žmogiškųjų išt</w:t>
      </w:r>
      <w:r w:rsidR="008058E6">
        <w:rPr>
          <w:rFonts w:ascii="Times New Roman" w:hAnsi="Times New Roman" w:cs="Times New Roman"/>
          <w:b/>
          <w:kern w:val="16"/>
          <w:sz w:val="24"/>
          <w:szCs w:val="24"/>
        </w:rPr>
        <w:t>eklių potencialo didinimas“ 09.1</w:t>
      </w:r>
      <w:r w:rsidRPr="00562CE1">
        <w:rPr>
          <w:rFonts w:ascii="Times New Roman" w:hAnsi="Times New Roman" w:cs="Times New Roman"/>
          <w:b/>
          <w:kern w:val="16"/>
          <w:sz w:val="24"/>
          <w:szCs w:val="24"/>
        </w:rPr>
        <w:t>.</w:t>
      </w:r>
      <w:r>
        <w:rPr>
          <w:rFonts w:ascii="Times New Roman" w:hAnsi="Times New Roman" w:cs="Times New Roman"/>
          <w:b/>
          <w:kern w:val="16"/>
          <w:sz w:val="24"/>
          <w:szCs w:val="24"/>
        </w:rPr>
        <w:t>3-</w:t>
      </w:r>
      <w:r w:rsidR="008058E6">
        <w:rPr>
          <w:rFonts w:ascii="Times New Roman" w:hAnsi="Times New Roman" w:cs="Times New Roman"/>
          <w:b/>
          <w:kern w:val="16"/>
          <w:sz w:val="24"/>
          <w:szCs w:val="24"/>
        </w:rPr>
        <w:t>CPVA</w:t>
      </w:r>
      <w:r>
        <w:rPr>
          <w:rFonts w:ascii="Times New Roman" w:hAnsi="Times New Roman" w:cs="Times New Roman"/>
          <w:b/>
          <w:kern w:val="16"/>
          <w:sz w:val="24"/>
          <w:szCs w:val="24"/>
        </w:rPr>
        <w:t>-</w:t>
      </w:r>
      <w:r w:rsidR="008058E6">
        <w:rPr>
          <w:rFonts w:ascii="Times New Roman" w:hAnsi="Times New Roman" w:cs="Times New Roman"/>
          <w:b/>
          <w:kern w:val="16"/>
          <w:sz w:val="24"/>
          <w:szCs w:val="24"/>
        </w:rPr>
        <w:t>R</w:t>
      </w:r>
      <w:r>
        <w:rPr>
          <w:rFonts w:ascii="Times New Roman" w:hAnsi="Times New Roman" w:cs="Times New Roman"/>
          <w:b/>
          <w:kern w:val="16"/>
          <w:sz w:val="24"/>
          <w:szCs w:val="24"/>
        </w:rPr>
        <w:t>-72</w:t>
      </w:r>
      <w:r w:rsidR="003D0066">
        <w:rPr>
          <w:rFonts w:ascii="Times New Roman" w:hAnsi="Times New Roman" w:cs="Times New Roman"/>
          <w:b/>
          <w:kern w:val="16"/>
          <w:sz w:val="24"/>
          <w:szCs w:val="24"/>
        </w:rPr>
        <w:t>3</w:t>
      </w:r>
      <w:r w:rsidRPr="00562CE1">
        <w:rPr>
          <w:rFonts w:ascii="Times New Roman" w:hAnsi="Times New Roman" w:cs="Times New Roman"/>
          <w:b/>
          <w:kern w:val="16"/>
          <w:sz w:val="24"/>
          <w:szCs w:val="24"/>
        </w:rPr>
        <w:t xml:space="preserve"> priemonės „</w:t>
      </w:r>
      <w:r w:rsidR="003D0066" w:rsidRPr="003D0066">
        <w:rPr>
          <w:rFonts w:ascii="Times New Roman" w:hAnsi="Times New Roman" w:cs="Times New Roman"/>
          <w:b/>
          <w:kern w:val="16"/>
          <w:sz w:val="24"/>
          <w:szCs w:val="24"/>
        </w:rPr>
        <w:t>Nevalstybinių neformaliojo švietimo erdvių, valstybinių ir nevalstybinių mokyklų modernizavimas</w:t>
      </w:r>
      <w:r w:rsidRPr="00562CE1">
        <w:rPr>
          <w:rFonts w:ascii="Times New Roman" w:hAnsi="Times New Roman" w:cs="Times New Roman"/>
          <w:b/>
          <w:kern w:val="16"/>
          <w:sz w:val="24"/>
          <w:szCs w:val="24"/>
        </w:rPr>
        <w:t>“ projektų finansavimo sąly</w:t>
      </w:r>
      <w:r>
        <w:rPr>
          <w:rFonts w:ascii="Times New Roman" w:hAnsi="Times New Roman" w:cs="Times New Roman"/>
          <w:b/>
          <w:kern w:val="16"/>
          <w:sz w:val="24"/>
          <w:szCs w:val="24"/>
        </w:rPr>
        <w:t>gų aprašo</w:t>
      </w:r>
      <w:r>
        <w:rPr>
          <w:rFonts w:ascii="Times New Roman" w:hAnsi="Times New Roman" w:cs="Times New Roman"/>
          <w:b/>
          <w:sz w:val="24"/>
          <w:szCs w:val="24"/>
        </w:rPr>
        <w:t xml:space="preserve"> (toliau – PFSA</w:t>
      </w:r>
      <w:r w:rsidRPr="00A47D63">
        <w:rPr>
          <w:rFonts w:ascii="Times New Roman" w:hAnsi="Times New Roman" w:cs="Times New Roman"/>
          <w:b/>
          <w:sz w:val="24"/>
          <w:szCs w:val="24"/>
        </w:rPr>
        <w:t>)</w:t>
      </w:r>
      <w:r>
        <w:rPr>
          <w:rFonts w:ascii="Times New Roman" w:hAnsi="Times New Roman" w:cs="Times New Roman"/>
          <w:b/>
          <w:sz w:val="24"/>
          <w:szCs w:val="24"/>
        </w:rPr>
        <w:t xml:space="preserve"> </w:t>
      </w:r>
      <w:r w:rsidRPr="00A47D63">
        <w:rPr>
          <w:rFonts w:ascii="Times New Roman" w:hAnsi="Times New Roman" w:cs="Times New Roman"/>
          <w:b/>
          <w:sz w:val="24"/>
          <w:szCs w:val="24"/>
        </w:rPr>
        <w:t>projekto pastabų derinimo lentelė</w:t>
      </w:r>
    </w:p>
    <w:tbl>
      <w:tblPr>
        <w:tblStyle w:val="Lentelstinklelis"/>
        <w:tblW w:w="14884" w:type="dxa"/>
        <w:tblInd w:w="-714" w:type="dxa"/>
        <w:tblLayout w:type="fixed"/>
        <w:tblLook w:val="04A0" w:firstRow="1" w:lastRow="0" w:firstColumn="1" w:lastColumn="0" w:noHBand="0" w:noVBand="1"/>
      </w:tblPr>
      <w:tblGrid>
        <w:gridCol w:w="1560"/>
        <w:gridCol w:w="567"/>
        <w:gridCol w:w="2977"/>
        <w:gridCol w:w="4394"/>
        <w:gridCol w:w="1559"/>
        <w:gridCol w:w="3827"/>
      </w:tblGrid>
      <w:tr w:rsidR="004337E7" w:rsidRPr="004337E7" w:rsidTr="000E2DA4">
        <w:tc>
          <w:tcPr>
            <w:tcW w:w="1560"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Pastabos teikėjas</w:t>
            </w:r>
          </w:p>
        </w:tc>
        <w:tc>
          <w:tcPr>
            <w:tcW w:w="56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Eil. Nr.</w:t>
            </w:r>
          </w:p>
        </w:tc>
        <w:tc>
          <w:tcPr>
            <w:tcW w:w="297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PFSA nuostatos, kurioms teikiama pastaba</w:t>
            </w:r>
          </w:p>
        </w:tc>
        <w:tc>
          <w:tcPr>
            <w:tcW w:w="4394"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Komentarai/pasiūlymai</w:t>
            </w:r>
          </w:p>
        </w:tc>
        <w:tc>
          <w:tcPr>
            <w:tcW w:w="1559"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ŠMM pozicija</w:t>
            </w:r>
          </w:p>
        </w:tc>
        <w:tc>
          <w:tcPr>
            <w:tcW w:w="382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ŠMM argumentai</w:t>
            </w:r>
          </w:p>
        </w:tc>
      </w:tr>
      <w:tr w:rsidR="00A86A7F" w:rsidRPr="004337E7" w:rsidTr="000E2DA4">
        <w:tc>
          <w:tcPr>
            <w:tcW w:w="1560" w:type="dxa"/>
          </w:tcPr>
          <w:p w:rsidR="00A86A7F" w:rsidRPr="004337E7" w:rsidRDefault="003D0066" w:rsidP="00D10569">
            <w:pPr>
              <w:rPr>
                <w:rFonts w:ascii="Times New Roman" w:hAnsi="Times New Roman" w:cs="Times New Roman"/>
                <w:sz w:val="24"/>
                <w:szCs w:val="24"/>
              </w:rPr>
            </w:pPr>
            <w:r>
              <w:rPr>
                <w:rFonts w:ascii="Times New Roman" w:hAnsi="Times New Roman" w:cs="Times New Roman"/>
                <w:sz w:val="24"/>
                <w:szCs w:val="24"/>
              </w:rPr>
              <w:t>CPVA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1.</w:t>
            </w:r>
          </w:p>
        </w:tc>
        <w:tc>
          <w:tcPr>
            <w:tcW w:w="2977" w:type="dxa"/>
          </w:tcPr>
          <w:p w:rsidR="00A86A7F" w:rsidRPr="004337E7" w:rsidRDefault="003D0066" w:rsidP="004337E7">
            <w:pPr>
              <w:rPr>
                <w:rFonts w:ascii="Times New Roman" w:hAnsi="Times New Roman" w:cs="Times New Roman"/>
                <w:sz w:val="24"/>
                <w:szCs w:val="24"/>
              </w:rPr>
            </w:pPr>
            <w:r w:rsidRPr="003D0066">
              <w:rPr>
                <w:rFonts w:ascii="Times New Roman" w:hAnsi="Times New Roman" w:cs="Times New Roman"/>
                <w:sz w:val="24"/>
                <w:szCs w:val="24"/>
              </w:rPr>
              <w:t xml:space="preserve">17.2. projektas, kurio metu numatoma vykdyti Aprašo 12.2 papunktyje numatytą veiklą, turi atitikti minimalaus mokinių skaičiaus mokykloje einamųjų mokslo metų rugsėjo 1 d. be mokinių skyriuose ir filialuose, turimuose kitose vietovėse, reikalavimą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(lietuvių kilmės tremtinių, politinių kalinių palikuonims, lietuvių kilmės </w:t>
            </w:r>
            <w:r w:rsidRPr="003D0066">
              <w:rPr>
                <w:rFonts w:ascii="Times New Roman" w:hAnsi="Times New Roman" w:cs="Times New Roman"/>
                <w:sz w:val="24"/>
                <w:szCs w:val="24"/>
              </w:rPr>
              <w:lastRenderedPageBreak/>
              <w:t>užsieniečiams ir išeiviams) turintiems mokiniams)</w:t>
            </w:r>
          </w:p>
        </w:tc>
        <w:tc>
          <w:tcPr>
            <w:tcW w:w="4394" w:type="dxa"/>
          </w:tcPr>
          <w:p w:rsidR="00A86A7F" w:rsidRPr="004337E7" w:rsidRDefault="003D0066" w:rsidP="004337E7">
            <w:pPr>
              <w:rPr>
                <w:rFonts w:ascii="Times New Roman" w:hAnsi="Times New Roman" w:cs="Times New Roman"/>
                <w:sz w:val="24"/>
                <w:szCs w:val="24"/>
              </w:rPr>
            </w:pPr>
            <w:r>
              <w:rPr>
                <w:rFonts w:ascii="Times New Roman" w:hAnsi="Times New Roman" w:cs="Times New Roman"/>
                <w:sz w:val="24"/>
                <w:szCs w:val="24"/>
              </w:rPr>
              <w:lastRenderedPageBreak/>
              <w:t>Siūloma papildyti nurodant, kad atitiktis bus vertinama vadovaujantis Švietimo valdymo informacinėje sistemoje (</w:t>
            </w:r>
            <w:hyperlink r:id="rId4" w:history="1">
              <w:r w:rsidRPr="003E1926">
                <w:rPr>
                  <w:rStyle w:val="Hipersaitas"/>
                  <w:rFonts w:ascii="Times New Roman" w:hAnsi="Times New Roman" w:cs="Times New Roman"/>
                  <w:sz w:val="24"/>
                  <w:szCs w:val="24"/>
                </w:rPr>
                <w:t>http://www.svis.lt/</w:t>
              </w:r>
            </w:hyperlink>
            <w:r>
              <w:rPr>
                <w:rFonts w:ascii="Times New Roman" w:hAnsi="Times New Roman" w:cs="Times New Roman"/>
                <w:sz w:val="24"/>
                <w:szCs w:val="24"/>
              </w:rPr>
              <w:t>) pateikiamais duomenimis.</w:t>
            </w:r>
          </w:p>
        </w:tc>
        <w:tc>
          <w:tcPr>
            <w:tcW w:w="1559"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Atsižvelgti</w:t>
            </w:r>
          </w:p>
        </w:tc>
        <w:tc>
          <w:tcPr>
            <w:tcW w:w="3827" w:type="dxa"/>
          </w:tcPr>
          <w:p w:rsidR="00A86A7F" w:rsidRPr="004337E7" w:rsidRDefault="00A86A7F" w:rsidP="004337E7">
            <w:pPr>
              <w:rPr>
                <w:rFonts w:ascii="Times New Roman" w:hAnsi="Times New Roman" w:cs="Times New Roman"/>
                <w:b/>
                <w:sz w:val="24"/>
                <w:szCs w:val="24"/>
              </w:rPr>
            </w:pPr>
          </w:p>
        </w:tc>
      </w:tr>
      <w:tr w:rsidR="004337E7" w:rsidRPr="004337E7" w:rsidTr="000E2DA4">
        <w:tc>
          <w:tcPr>
            <w:tcW w:w="1560" w:type="dxa"/>
          </w:tcPr>
          <w:p w:rsidR="00A86A7F" w:rsidRPr="004337E7" w:rsidRDefault="003D0066"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2.</w:t>
            </w:r>
          </w:p>
        </w:tc>
        <w:tc>
          <w:tcPr>
            <w:tcW w:w="2977" w:type="dxa"/>
          </w:tcPr>
          <w:p w:rsidR="00A86A7F" w:rsidRPr="004337E7" w:rsidRDefault="003D0066" w:rsidP="003D0066">
            <w:pPr>
              <w:tabs>
                <w:tab w:val="left" w:pos="317"/>
              </w:tabs>
              <w:rPr>
                <w:rFonts w:ascii="Times New Roman" w:hAnsi="Times New Roman" w:cs="Times New Roman"/>
                <w:sz w:val="24"/>
                <w:szCs w:val="24"/>
              </w:rPr>
            </w:pPr>
            <w:r w:rsidRPr="003D0066">
              <w:rPr>
                <w:rFonts w:ascii="Times New Roman" w:hAnsi="Times New Roman" w:cs="Times New Roman"/>
                <w:sz w:val="24"/>
                <w:szCs w:val="24"/>
              </w:rPr>
              <w:t>18.</w:t>
            </w:r>
            <w:r w:rsidRPr="003D0066">
              <w:rPr>
                <w:rFonts w:ascii="Times New Roman" w:hAnsi="Times New Roman" w:cs="Times New Roman"/>
                <w:sz w:val="24"/>
                <w:szCs w:val="24"/>
              </w:rPr>
              <w:tab/>
            </w:r>
            <w:r>
              <w:rPr>
                <w:rFonts w:ascii="Times New Roman" w:hAnsi="Times New Roman" w:cs="Times New Roman"/>
                <w:sz w:val="24"/>
                <w:szCs w:val="24"/>
              </w:rPr>
              <w:t xml:space="preserve"> </w:t>
            </w:r>
            <w:r w:rsidRPr="003D0066">
              <w:rPr>
                <w:rFonts w:ascii="Times New Roman" w:hAnsi="Times New Roman" w:cs="Times New Roman"/>
                <w:sz w:val="24"/>
                <w:szCs w:val="24"/>
              </w:rPr>
              <w:t>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šį Aprašą privaloma surinkti minimali balų suma yra 40. Minimalus privalomas balų skaičius pagal kiekvieną kriterijų  nurodytas Aprašo 2 priede.</w:t>
            </w:r>
          </w:p>
        </w:tc>
        <w:tc>
          <w:tcPr>
            <w:tcW w:w="4394" w:type="dxa"/>
          </w:tcPr>
          <w:p w:rsidR="00A86A7F" w:rsidRPr="004337E7" w:rsidRDefault="003D0066" w:rsidP="004337E7">
            <w:pPr>
              <w:rPr>
                <w:rFonts w:ascii="Times New Roman" w:hAnsi="Times New Roman" w:cs="Times New Roman"/>
                <w:sz w:val="24"/>
                <w:szCs w:val="24"/>
              </w:rPr>
            </w:pPr>
            <w:r>
              <w:rPr>
                <w:rFonts w:ascii="Times New Roman" w:hAnsi="Times New Roman" w:cs="Times New Roman"/>
                <w:sz w:val="24"/>
                <w:szCs w:val="24"/>
              </w:rPr>
              <w:t>Siūloma išbraukti sakinį „</w:t>
            </w:r>
            <w:r w:rsidRPr="003D0066">
              <w:rPr>
                <w:rFonts w:ascii="Times New Roman" w:hAnsi="Times New Roman" w:cs="Times New Roman"/>
                <w:sz w:val="24"/>
                <w:szCs w:val="24"/>
              </w:rPr>
              <w:t>Minimalus privalomas balų skaičius pagal kiekvieną kriterijų  nur</w:t>
            </w:r>
            <w:r>
              <w:rPr>
                <w:rFonts w:ascii="Times New Roman" w:hAnsi="Times New Roman" w:cs="Times New Roman"/>
                <w:sz w:val="24"/>
                <w:szCs w:val="24"/>
              </w:rPr>
              <w:t>odytas Aprašo 2 priede“ ir papildyti sakiniu „</w:t>
            </w:r>
            <w:r w:rsidRPr="003D0066">
              <w:rPr>
                <w:rFonts w:ascii="Times New Roman" w:hAnsi="Times New Roman" w:cs="Times New Roman"/>
                <w:sz w:val="24"/>
                <w:szCs w:val="24"/>
              </w:rPr>
              <w:t>Jeigu projektai surenka vienodą balų skaičių, tuomet projektai išdėstomi Projektų taisyklių 151 punkte nustatyta tvarka</w:t>
            </w:r>
            <w:r>
              <w:rPr>
                <w:rFonts w:ascii="Times New Roman" w:hAnsi="Times New Roman" w:cs="Times New Roman"/>
                <w:sz w:val="24"/>
                <w:szCs w:val="24"/>
              </w:rPr>
              <w:t>“.</w:t>
            </w:r>
          </w:p>
        </w:tc>
        <w:tc>
          <w:tcPr>
            <w:tcW w:w="1559" w:type="dxa"/>
          </w:tcPr>
          <w:p w:rsidR="00A86A7F" w:rsidRPr="004337E7" w:rsidRDefault="003D0066" w:rsidP="003D0066">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A86A7F" w:rsidRPr="004337E7" w:rsidRDefault="00A86A7F" w:rsidP="004337E7">
            <w:pPr>
              <w:pStyle w:val="Default"/>
              <w:rPr>
                <w:color w:val="auto"/>
              </w:rPr>
            </w:pPr>
          </w:p>
        </w:tc>
      </w:tr>
      <w:tr w:rsidR="004337E7" w:rsidRPr="004337E7" w:rsidTr="000E2DA4">
        <w:tc>
          <w:tcPr>
            <w:tcW w:w="1560" w:type="dxa"/>
          </w:tcPr>
          <w:p w:rsidR="00A86A7F" w:rsidRPr="004337E7" w:rsidRDefault="003D0066"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3.</w:t>
            </w:r>
          </w:p>
        </w:tc>
        <w:tc>
          <w:tcPr>
            <w:tcW w:w="2977" w:type="dxa"/>
          </w:tcPr>
          <w:p w:rsidR="00A86A7F" w:rsidRPr="004337E7" w:rsidRDefault="00A86A7F" w:rsidP="004337E7">
            <w:pPr>
              <w:rPr>
                <w:rFonts w:ascii="Times New Roman" w:hAnsi="Times New Roman" w:cs="Times New Roman"/>
                <w:sz w:val="24"/>
                <w:szCs w:val="24"/>
              </w:rPr>
            </w:pPr>
          </w:p>
        </w:tc>
        <w:tc>
          <w:tcPr>
            <w:tcW w:w="4394" w:type="dxa"/>
          </w:tcPr>
          <w:p w:rsidR="00A86A7F" w:rsidRPr="004337E7" w:rsidRDefault="003D0066" w:rsidP="003D0066">
            <w:pPr>
              <w:rPr>
                <w:rFonts w:ascii="Times New Roman" w:hAnsi="Times New Roman" w:cs="Times New Roman"/>
                <w:sz w:val="24"/>
                <w:szCs w:val="24"/>
              </w:rPr>
            </w:pPr>
            <w:r>
              <w:rPr>
                <w:rFonts w:ascii="Times New Roman" w:hAnsi="Times New Roman" w:cs="Times New Roman"/>
                <w:sz w:val="24"/>
                <w:szCs w:val="24"/>
              </w:rPr>
              <w:t>Siūloma pagal Aprašo 12.1 papunkčio veiklą teikiamų paraiškų projektų atitiktį prioritetiniams projektų atrankos kriterijams vertinti pagal el. paštu pateiktą Aprašo 3 priedo formą.</w:t>
            </w:r>
          </w:p>
        </w:tc>
        <w:tc>
          <w:tcPr>
            <w:tcW w:w="1559" w:type="dxa"/>
          </w:tcPr>
          <w:p w:rsidR="00A86A7F" w:rsidRPr="004337E7" w:rsidRDefault="00B07FEC" w:rsidP="004337E7">
            <w:pPr>
              <w:rPr>
                <w:rFonts w:ascii="Times New Roman" w:hAnsi="Times New Roman" w:cs="Times New Roman"/>
                <w:sz w:val="24"/>
                <w:szCs w:val="24"/>
              </w:rPr>
            </w:pPr>
            <w:r>
              <w:rPr>
                <w:rFonts w:ascii="Times New Roman" w:hAnsi="Times New Roman" w:cs="Times New Roman"/>
                <w:sz w:val="24"/>
                <w:szCs w:val="24"/>
              </w:rPr>
              <w:t>A</w:t>
            </w:r>
            <w:r w:rsidR="003D0066">
              <w:rPr>
                <w:rFonts w:ascii="Times New Roman" w:hAnsi="Times New Roman" w:cs="Times New Roman"/>
                <w:sz w:val="24"/>
                <w:szCs w:val="24"/>
              </w:rPr>
              <w:t>tsižvelgti</w:t>
            </w:r>
          </w:p>
        </w:tc>
        <w:tc>
          <w:tcPr>
            <w:tcW w:w="3827" w:type="dxa"/>
          </w:tcPr>
          <w:p w:rsidR="00A86A7F" w:rsidRPr="004337E7" w:rsidRDefault="00A86A7F" w:rsidP="00B07FEC">
            <w:pPr>
              <w:pStyle w:val="Default"/>
              <w:rPr>
                <w:color w:val="auto"/>
              </w:rPr>
            </w:pPr>
          </w:p>
        </w:tc>
      </w:tr>
      <w:tr w:rsidR="004337E7" w:rsidRPr="004337E7" w:rsidTr="000E2DA4">
        <w:tc>
          <w:tcPr>
            <w:tcW w:w="1560" w:type="dxa"/>
          </w:tcPr>
          <w:p w:rsidR="00A86A7F" w:rsidRPr="004337E7" w:rsidRDefault="003D0066"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4.</w:t>
            </w:r>
          </w:p>
        </w:tc>
        <w:tc>
          <w:tcPr>
            <w:tcW w:w="2977" w:type="dxa"/>
          </w:tcPr>
          <w:p w:rsidR="00A86A7F" w:rsidRPr="004337E7" w:rsidRDefault="003D0066" w:rsidP="004337E7">
            <w:pPr>
              <w:rPr>
                <w:rFonts w:ascii="Times New Roman" w:hAnsi="Times New Roman" w:cs="Times New Roman"/>
                <w:bCs/>
                <w:i/>
                <w:caps/>
                <w:sz w:val="24"/>
                <w:szCs w:val="24"/>
              </w:rPr>
            </w:pPr>
            <w:r>
              <w:rPr>
                <w:rFonts w:ascii="Times New Roman" w:hAnsi="Times New Roman"/>
                <w:sz w:val="24"/>
                <w:szCs w:val="24"/>
              </w:rPr>
              <w:t>Aprašo 2 priedo 4, 5, 6, 7 punktai</w:t>
            </w:r>
          </w:p>
        </w:tc>
        <w:tc>
          <w:tcPr>
            <w:tcW w:w="4394" w:type="dxa"/>
          </w:tcPr>
          <w:p w:rsidR="00A86A7F" w:rsidRPr="004337E7" w:rsidRDefault="003D0066" w:rsidP="004337E7">
            <w:pPr>
              <w:rPr>
                <w:rFonts w:ascii="Times New Roman" w:hAnsi="Times New Roman" w:cs="Times New Roman"/>
                <w:sz w:val="24"/>
                <w:szCs w:val="24"/>
              </w:rPr>
            </w:pPr>
            <w:r>
              <w:rPr>
                <w:rFonts w:ascii="Times New Roman" w:hAnsi="Times New Roman" w:cs="Times New Roman"/>
                <w:sz w:val="24"/>
                <w:szCs w:val="24"/>
              </w:rPr>
              <w:t>Siūlymas papildyti punktus informacija, būtina naudos ir kokybės vertinimui atlikti.</w:t>
            </w:r>
          </w:p>
        </w:tc>
        <w:tc>
          <w:tcPr>
            <w:tcW w:w="1559" w:type="dxa"/>
          </w:tcPr>
          <w:p w:rsidR="00A86A7F" w:rsidRPr="004337E7" w:rsidRDefault="003D0066" w:rsidP="004337E7">
            <w:pPr>
              <w:rPr>
                <w:rFonts w:ascii="Times New Roman" w:hAnsi="Times New Roman" w:cs="Times New Roman"/>
                <w:sz w:val="24"/>
                <w:szCs w:val="24"/>
              </w:rPr>
            </w:pPr>
            <w:r>
              <w:rPr>
                <w:rFonts w:ascii="Times New Roman" w:hAnsi="Times New Roman" w:cs="Times New Roman"/>
                <w:sz w:val="24"/>
                <w:szCs w:val="24"/>
              </w:rPr>
              <w:t xml:space="preserve">Atsižvelgti </w:t>
            </w:r>
          </w:p>
        </w:tc>
        <w:tc>
          <w:tcPr>
            <w:tcW w:w="3827" w:type="dxa"/>
          </w:tcPr>
          <w:p w:rsidR="00A86A7F" w:rsidRPr="004337E7" w:rsidRDefault="00A86A7F" w:rsidP="004337E7">
            <w:pPr>
              <w:pStyle w:val="Default"/>
              <w:rPr>
                <w:color w:val="auto"/>
              </w:rPr>
            </w:pPr>
          </w:p>
        </w:tc>
      </w:tr>
      <w:tr w:rsidR="004337E7" w:rsidRPr="004337E7" w:rsidTr="000E2DA4">
        <w:tc>
          <w:tcPr>
            <w:tcW w:w="1560" w:type="dxa"/>
          </w:tcPr>
          <w:p w:rsidR="00A86A7F" w:rsidRPr="004337E7" w:rsidRDefault="003D0066"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5.</w:t>
            </w:r>
          </w:p>
        </w:tc>
        <w:tc>
          <w:tcPr>
            <w:tcW w:w="2977" w:type="dxa"/>
          </w:tcPr>
          <w:p w:rsidR="00A86A7F" w:rsidRPr="004337E7" w:rsidRDefault="003D0066" w:rsidP="003D0066">
            <w:pPr>
              <w:tabs>
                <w:tab w:val="left" w:pos="317"/>
              </w:tabs>
              <w:rPr>
                <w:rFonts w:ascii="Times New Roman" w:hAnsi="Times New Roman" w:cs="Times New Roman"/>
                <w:sz w:val="24"/>
                <w:szCs w:val="24"/>
              </w:rPr>
            </w:pPr>
            <w:r w:rsidRPr="003D0066">
              <w:rPr>
                <w:rFonts w:ascii="Times New Roman" w:hAnsi="Times New Roman" w:cs="Times New Roman"/>
                <w:sz w:val="24"/>
                <w:szCs w:val="24"/>
              </w:rPr>
              <w:t>29.</w:t>
            </w:r>
            <w:r w:rsidRPr="003D0066">
              <w:rPr>
                <w:rFonts w:ascii="Times New Roman" w:hAnsi="Times New Roman" w:cs="Times New Roman"/>
                <w:sz w:val="24"/>
                <w:szCs w:val="24"/>
              </w:rPr>
              <w:tab/>
              <w:t xml:space="preserve">Projektas  turi prisidėti prie moterų ir vyrų lygybės principo įgyvendinimo ir (arba) skatinti nediskriminavimo dėl lyties, rasės, tautybės, kalbos, </w:t>
            </w:r>
            <w:r w:rsidRPr="003D0066">
              <w:rPr>
                <w:rFonts w:ascii="Times New Roman" w:hAnsi="Times New Roman" w:cs="Times New Roman"/>
                <w:sz w:val="24"/>
                <w:szCs w:val="24"/>
              </w:rPr>
              <w:lastRenderedPageBreak/>
              <w:t>kilmės, socialinės padėties, tikėjimo, įsitikinimų ar pažiūrų, amžiaus, negalios, lytinės orientacijos, etninės priklausomybės, religijos principo įgyvendinimą, t. y.:</w:t>
            </w:r>
          </w:p>
        </w:tc>
        <w:tc>
          <w:tcPr>
            <w:tcW w:w="4394" w:type="dxa"/>
          </w:tcPr>
          <w:p w:rsidR="00A86A7F" w:rsidRPr="004337E7" w:rsidRDefault="00E83C9D" w:rsidP="004337E7">
            <w:pPr>
              <w:pStyle w:val="prastasiniatinklio"/>
              <w:spacing w:after="0" w:afterAutospacing="0"/>
            </w:pPr>
            <w:r>
              <w:lastRenderedPageBreak/>
              <w:t>Siūloma arba apsvarstyti 29 punkte pateiktų reikalavimų tikslingumą arba papildyti Aprašą 4 priedu.</w:t>
            </w:r>
          </w:p>
        </w:tc>
        <w:tc>
          <w:tcPr>
            <w:tcW w:w="1559" w:type="dxa"/>
          </w:tcPr>
          <w:p w:rsidR="00A86A7F" w:rsidRPr="004337E7" w:rsidRDefault="00E83C9D" w:rsidP="00E83C9D">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A86A7F" w:rsidRPr="004337E7" w:rsidRDefault="00E83C9D" w:rsidP="004337E7">
            <w:pPr>
              <w:pStyle w:val="Default"/>
              <w:rPr>
                <w:color w:val="auto"/>
              </w:rPr>
            </w:pPr>
            <w:r>
              <w:rPr>
                <w:color w:val="auto"/>
              </w:rPr>
              <w:t>Numatyti universalaus dizaino reikalavimai paliekami. Aprašas papildomas 4 priedu.</w:t>
            </w:r>
          </w:p>
        </w:tc>
      </w:tr>
      <w:tr w:rsidR="00A86A7F" w:rsidRPr="004337E7" w:rsidTr="000E2DA4">
        <w:tc>
          <w:tcPr>
            <w:tcW w:w="1560" w:type="dxa"/>
          </w:tcPr>
          <w:p w:rsidR="00A86A7F" w:rsidRPr="004337E7" w:rsidRDefault="00E83C9D"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86A7F" w:rsidRPr="004337E7" w:rsidRDefault="004337E7" w:rsidP="004337E7">
            <w:pPr>
              <w:rPr>
                <w:rFonts w:ascii="Times New Roman" w:hAnsi="Times New Roman" w:cs="Times New Roman"/>
                <w:sz w:val="24"/>
                <w:szCs w:val="24"/>
              </w:rPr>
            </w:pPr>
            <w:r w:rsidRPr="004337E7">
              <w:rPr>
                <w:rFonts w:ascii="Times New Roman" w:hAnsi="Times New Roman" w:cs="Times New Roman"/>
                <w:sz w:val="24"/>
                <w:szCs w:val="24"/>
              </w:rPr>
              <w:t>6</w:t>
            </w:r>
            <w:r w:rsidR="00AC5FED">
              <w:rPr>
                <w:rFonts w:ascii="Times New Roman" w:hAnsi="Times New Roman" w:cs="Times New Roman"/>
                <w:sz w:val="24"/>
                <w:szCs w:val="24"/>
              </w:rPr>
              <w:t>.</w:t>
            </w:r>
          </w:p>
        </w:tc>
        <w:tc>
          <w:tcPr>
            <w:tcW w:w="2977" w:type="dxa"/>
          </w:tcPr>
          <w:p w:rsidR="00A86A7F" w:rsidRPr="004337E7" w:rsidRDefault="00E83C9D" w:rsidP="004337E7">
            <w:pPr>
              <w:rPr>
                <w:rFonts w:ascii="Times New Roman" w:hAnsi="Times New Roman" w:cs="Times New Roman"/>
                <w:sz w:val="24"/>
                <w:szCs w:val="24"/>
              </w:rPr>
            </w:pPr>
            <w:r>
              <w:rPr>
                <w:rFonts w:ascii="Times New Roman" w:hAnsi="Times New Roman" w:cs="Times New Roman"/>
                <w:sz w:val="24"/>
                <w:szCs w:val="24"/>
              </w:rPr>
              <w:t xml:space="preserve">42. </w:t>
            </w:r>
            <w:r w:rsidRPr="00E83C9D">
              <w:rPr>
                <w:rFonts w:ascii="Times New Roman" w:hAnsi="Times New Roman" w:cs="Times New Roman"/>
                <w:sz w:val="24"/>
                <w:szCs w:val="24"/>
              </w:rPr>
              <w:t>Pareiškėjas pildo paraišką ir kartu su Aprašo 46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w:t>
            </w:r>
            <w:r>
              <w:rPr>
                <w:rFonts w:ascii="Times New Roman" w:hAnsi="Times New Roman" w:cs="Times New Roman"/>
                <w:sz w:val="24"/>
                <w:szCs w:val="24"/>
              </w:rPr>
              <w:t>ų 12 skirsnyje nustatyta tvarka</w:t>
            </w:r>
            <w:r w:rsidRPr="00E83C9D">
              <w:rPr>
                <w:rFonts w:ascii="Times New Roman" w:hAnsi="Times New Roman" w:cs="Times New Roman"/>
                <w:sz w:val="24"/>
                <w:szCs w:val="24"/>
              </w:rPr>
              <w:t>.</w:t>
            </w:r>
          </w:p>
        </w:tc>
        <w:tc>
          <w:tcPr>
            <w:tcW w:w="4394" w:type="dxa"/>
          </w:tcPr>
          <w:p w:rsidR="00A86A7F" w:rsidRPr="004337E7" w:rsidRDefault="00E83C9D" w:rsidP="004337E7">
            <w:pPr>
              <w:pStyle w:val="prastasiniatinklio"/>
              <w:spacing w:after="0" w:afterAutospacing="0"/>
            </w:pPr>
            <w:r>
              <w:t>Siūloma išbraukti „</w:t>
            </w:r>
            <w:r w:rsidRPr="00E83C9D">
              <w:t>o jei nėra įdiegtos DMS funkcinės galimybės – įgyvendinančiajai institucijai raštu Projektų taisykli</w:t>
            </w:r>
            <w:r>
              <w:t>ų 12 skirsnyje nustatyta tvarka“ nes paraiškų teikimas per DMS sistemą funkcionuoja.</w:t>
            </w:r>
          </w:p>
        </w:tc>
        <w:tc>
          <w:tcPr>
            <w:tcW w:w="1559" w:type="dxa"/>
          </w:tcPr>
          <w:p w:rsidR="00A86A7F" w:rsidRPr="004337E7" w:rsidRDefault="00E83C9D" w:rsidP="004337E7">
            <w:pPr>
              <w:rPr>
                <w:rFonts w:ascii="Times New Roman" w:hAnsi="Times New Roman" w:cs="Times New Roman"/>
                <w:sz w:val="24"/>
                <w:szCs w:val="24"/>
              </w:rPr>
            </w:pPr>
            <w:r>
              <w:rPr>
                <w:rFonts w:ascii="Times New Roman" w:hAnsi="Times New Roman" w:cs="Times New Roman"/>
                <w:sz w:val="24"/>
                <w:szCs w:val="24"/>
              </w:rPr>
              <w:t>A</w:t>
            </w:r>
            <w:r w:rsidR="004337E7" w:rsidRPr="004337E7">
              <w:rPr>
                <w:rFonts w:ascii="Times New Roman" w:hAnsi="Times New Roman" w:cs="Times New Roman"/>
                <w:sz w:val="24"/>
                <w:szCs w:val="24"/>
              </w:rPr>
              <w:t>tsižvelgti</w:t>
            </w:r>
          </w:p>
        </w:tc>
        <w:tc>
          <w:tcPr>
            <w:tcW w:w="3827" w:type="dxa"/>
          </w:tcPr>
          <w:p w:rsidR="00A86A7F" w:rsidRPr="004337E7" w:rsidRDefault="00A86A7F" w:rsidP="004337E7">
            <w:pPr>
              <w:pStyle w:val="Default"/>
              <w:rPr>
                <w:color w:val="auto"/>
              </w:rPr>
            </w:pPr>
          </w:p>
        </w:tc>
      </w:tr>
      <w:tr w:rsidR="00AC5FED" w:rsidRPr="004337E7" w:rsidTr="000E2DA4">
        <w:tc>
          <w:tcPr>
            <w:tcW w:w="1560" w:type="dxa"/>
          </w:tcPr>
          <w:p w:rsidR="00AC5FED" w:rsidRPr="004337E7" w:rsidRDefault="00E83C9D"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C5FED" w:rsidRPr="004337E7" w:rsidRDefault="00AC5FED" w:rsidP="004337E7">
            <w:pPr>
              <w:rPr>
                <w:rFonts w:ascii="Times New Roman" w:hAnsi="Times New Roman" w:cs="Times New Roman"/>
                <w:sz w:val="24"/>
                <w:szCs w:val="24"/>
              </w:rPr>
            </w:pPr>
            <w:r>
              <w:rPr>
                <w:rFonts w:ascii="Times New Roman" w:hAnsi="Times New Roman" w:cs="Times New Roman"/>
                <w:sz w:val="24"/>
                <w:szCs w:val="24"/>
              </w:rPr>
              <w:t>7.</w:t>
            </w:r>
          </w:p>
        </w:tc>
        <w:tc>
          <w:tcPr>
            <w:tcW w:w="2977" w:type="dxa"/>
          </w:tcPr>
          <w:p w:rsidR="00AC5FED" w:rsidRPr="004337E7" w:rsidRDefault="00AC5FED" w:rsidP="004337E7">
            <w:pPr>
              <w:rPr>
                <w:rFonts w:ascii="Times New Roman" w:hAnsi="Times New Roman" w:cs="Times New Roman"/>
                <w:sz w:val="24"/>
                <w:szCs w:val="24"/>
              </w:rPr>
            </w:pPr>
          </w:p>
        </w:tc>
        <w:tc>
          <w:tcPr>
            <w:tcW w:w="4394" w:type="dxa"/>
          </w:tcPr>
          <w:p w:rsidR="00AC5FED" w:rsidRPr="004337E7" w:rsidRDefault="00E83C9D" w:rsidP="004337E7">
            <w:pPr>
              <w:pStyle w:val="prastasiniatinklio"/>
              <w:spacing w:after="0" w:afterAutospacing="0"/>
            </w:pPr>
            <w:r>
              <w:t>Siūloma papildyti Aprašo IV skyrių punktu „</w:t>
            </w:r>
            <w:r w:rsidRPr="00E83C9D">
              <w:t>Pagal Aprašą Projektų taisyklių 405.2 punkte nustatytas reikalavimas  išankstinėms sąskaitoms pateikti rangovo, prekių tiekėjo ar paslaugų teikėjo gautą kredito įstaigos išankstinio mokėjimo  grąžinimo garantiją, laidavimo ar laidavimo draudimo dokumentą netaikomas.</w:t>
            </w:r>
            <w:r>
              <w:t>“</w:t>
            </w:r>
          </w:p>
        </w:tc>
        <w:tc>
          <w:tcPr>
            <w:tcW w:w="1559" w:type="dxa"/>
          </w:tcPr>
          <w:p w:rsidR="00AC5FED" w:rsidRPr="004337E7" w:rsidRDefault="00E83C9D" w:rsidP="004337E7">
            <w:pPr>
              <w:rPr>
                <w:rFonts w:ascii="Times New Roman" w:hAnsi="Times New Roman" w:cs="Times New Roman"/>
                <w:sz w:val="24"/>
                <w:szCs w:val="24"/>
              </w:rPr>
            </w:pPr>
            <w:r>
              <w:rPr>
                <w:rFonts w:ascii="Times New Roman" w:hAnsi="Times New Roman" w:cs="Times New Roman"/>
                <w:sz w:val="24"/>
                <w:szCs w:val="24"/>
              </w:rPr>
              <w:t>A</w:t>
            </w:r>
            <w:r w:rsidR="00AC5FED">
              <w:rPr>
                <w:rFonts w:ascii="Times New Roman" w:hAnsi="Times New Roman" w:cs="Times New Roman"/>
                <w:sz w:val="24"/>
                <w:szCs w:val="24"/>
              </w:rPr>
              <w:t>tsižvelgti</w:t>
            </w:r>
          </w:p>
        </w:tc>
        <w:tc>
          <w:tcPr>
            <w:tcW w:w="3827" w:type="dxa"/>
          </w:tcPr>
          <w:p w:rsidR="00AC5FED" w:rsidRPr="004337E7" w:rsidRDefault="00AC5FED" w:rsidP="00E83C9D">
            <w:pPr>
              <w:pStyle w:val="Default"/>
              <w:rPr>
                <w:color w:val="auto"/>
              </w:rPr>
            </w:pPr>
          </w:p>
        </w:tc>
      </w:tr>
      <w:tr w:rsidR="009034E2" w:rsidRPr="004337E7" w:rsidTr="000E2DA4">
        <w:tc>
          <w:tcPr>
            <w:tcW w:w="1560" w:type="dxa"/>
          </w:tcPr>
          <w:p w:rsidR="0044631D" w:rsidRDefault="00E83C9D" w:rsidP="009034E2">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9034E2" w:rsidRDefault="009034E2" w:rsidP="009034E2">
            <w:pPr>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9034E2" w:rsidRPr="00AC5FED" w:rsidRDefault="009034E2" w:rsidP="009034E2">
            <w:pPr>
              <w:rPr>
                <w:rFonts w:ascii="Times New Roman" w:hAnsi="Times New Roman" w:cs="Times New Roman"/>
                <w:sz w:val="24"/>
                <w:szCs w:val="24"/>
              </w:rPr>
            </w:pPr>
          </w:p>
        </w:tc>
        <w:tc>
          <w:tcPr>
            <w:tcW w:w="4394" w:type="dxa"/>
          </w:tcPr>
          <w:p w:rsidR="0044631D" w:rsidRDefault="00E83C9D" w:rsidP="0044631D">
            <w:pPr>
              <w:pStyle w:val="prastasiniatinklio"/>
              <w:spacing w:before="0" w:beforeAutospacing="0" w:after="0" w:afterAutospacing="0"/>
            </w:pPr>
            <w:r>
              <w:t>Siūloma papildyti Aprašo VI skyrių punktu „</w:t>
            </w:r>
            <w:r w:rsidRPr="00E83C9D">
              <w:t xml:space="preserve">Projekto sutartyje nustatomas privalomas </w:t>
            </w:r>
            <w:r w:rsidRPr="00E83C9D">
              <w:lastRenderedPageBreak/>
              <w:t>finansinis projekto lėšų įsisavinimo spartos rodiklis, t. y., nurodoma privaloma įsisavinti procentinė lėšų dalis nuo visų projektui įgyvendinti skirtų projekto finansavimo lėšų per 12, 24 mėnesius nuo projekto sutarties pasirašymo dienos.</w:t>
            </w:r>
            <w:r>
              <w:t>“</w:t>
            </w:r>
          </w:p>
        </w:tc>
        <w:tc>
          <w:tcPr>
            <w:tcW w:w="1559" w:type="dxa"/>
          </w:tcPr>
          <w:p w:rsidR="009034E2" w:rsidRDefault="00E83C9D" w:rsidP="009034E2">
            <w:pPr>
              <w:rPr>
                <w:rFonts w:ascii="Times New Roman" w:hAnsi="Times New Roman" w:cs="Times New Roman"/>
                <w:sz w:val="24"/>
                <w:szCs w:val="24"/>
              </w:rPr>
            </w:pPr>
            <w:r>
              <w:rPr>
                <w:rFonts w:ascii="Times New Roman" w:hAnsi="Times New Roman" w:cs="Times New Roman"/>
                <w:sz w:val="24"/>
                <w:szCs w:val="24"/>
              </w:rPr>
              <w:lastRenderedPageBreak/>
              <w:t>A</w:t>
            </w:r>
            <w:r w:rsidR="009034E2">
              <w:rPr>
                <w:rFonts w:ascii="Times New Roman" w:hAnsi="Times New Roman" w:cs="Times New Roman"/>
                <w:sz w:val="24"/>
                <w:szCs w:val="24"/>
              </w:rPr>
              <w:t>tsižvelgti</w:t>
            </w:r>
          </w:p>
        </w:tc>
        <w:tc>
          <w:tcPr>
            <w:tcW w:w="3827" w:type="dxa"/>
          </w:tcPr>
          <w:p w:rsidR="009034E2" w:rsidRDefault="009034E2" w:rsidP="00771E50">
            <w:pPr>
              <w:pStyle w:val="Default"/>
              <w:rPr>
                <w:color w:val="auto"/>
              </w:rPr>
            </w:pPr>
          </w:p>
        </w:tc>
      </w:tr>
      <w:tr w:rsidR="009034E2" w:rsidRPr="004337E7" w:rsidTr="000E2DA4">
        <w:tc>
          <w:tcPr>
            <w:tcW w:w="1560" w:type="dxa"/>
          </w:tcPr>
          <w:p w:rsidR="009034E2" w:rsidRDefault="00E83C9D"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9034E2" w:rsidRDefault="009034E2" w:rsidP="009034E2">
            <w:pPr>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9034E2" w:rsidRPr="00AC5FED" w:rsidRDefault="00E83C9D" w:rsidP="00E83C9D">
            <w:pPr>
              <w:rPr>
                <w:rFonts w:ascii="Times New Roman" w:hAnsi="Times New Roman" w:cs="Times New Roman"/>
                <w:sz w:val="24"/>
                <w:szCs w:val="24"/>
              </w:rPr>
            </w:pPr>
            <w:r>
              <w:rPr>
                <w:rFonts w:ascii="Times New Roman" w:hAnsi="Times New Roman" w:cs="Times New Roman"/>
                <w:sz w:val="24"/>
                <w:szCs w:val="24"/>
              </w:rPr>
              <w:t xml:space="preserve">64. </w:t>
            </w:r>
            <w:r w:rsidRPr="00E83C9D">
              <w:rPr>
                <w:rFonts w:ascii="Times New Roman" w:hAnsi="Times New Roman" w:cs="Times New Roman"/>
                <w:sz w:val="24"/>
                <w:szCs w:val="24"/>
              </w:rPr>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Pr="00E83C9D">
              <w:rPr>
                <w:rFonts w:ascii="Times New Roman" w:hAnsi="Times New Roman" w:cs="Times New Roman"/>
                <w:sz w:val="24"/>
                <w:szCs w:val="24"/>
              </w:rPr>
              <w:t>iai</w:t>
            </w:r>
            <w:proofErr w:type="spellEnd"/>
            <w:r w:rsidRPr="00E83C9D">
              <w:rPr>
                <w:rFonts w:ascii="Times New Roman" w:hAnsi="Times New Roman" w:cs="Times New Roman"/>
                <w:sz w:val="24"/>
                <w:szCs w:val="24"/>
              </w:rPr>
              <w:t>).</w:t>
            </w:r>
          </w:p>
        </w:tc>
        <w:tc>
          <w:tcPr>
            <w:tcW w:w="4394" w:type="dxa"/>
          </w:tcPr>
          <w:p w:rsidR="009034E2" w:rsidRDefault="00E83C9D" w:rsidP="00E83C9D">
            <w:pPr>
              <w:pStyle w:val="prastasiniatinklio"/>
              <w:spacing w:after="0" w:afterAutospacing="0"/>
            </w:pPr>
            <w:r>
              <w:t>Siūloma patikslinti punktą pirmąjį jo sakinį išdėstant taip: „</w:t>
            </w:r>
            <w:r w:rsidRPr="00E83C9D">
              <w:t>Projekto vykdytojas turi apdrausti projekto įgyvendinimui skirtą ilgalaikį materialųjį turtą, kurio vieneto vertė ne mažesnė kaip 50 000 eurų (penkiasdešimt tūkstančių eurų) ir, kuris įsigytas ar sukurtas iš projektui skirto finansavimo lėšų, maksimaliu turto atkuriamosios vertės draudimu nuo visų galimų rizikos atvejų.</w:t>
            </w:r>
            <w:r>
              <w:t>“</w:t>
            </w:r>
          </w:p>
        </w:tc>
        <w:tc>
          <w:tcPr>
            <w:tcW w:w="1559" w:type="dxa"/>
          </w:tcPr>
          <w:p w:rsidR="009034E2" w:rsidRDefault="00E83C9D" w:rsidP="009034E2">
            <w:pPr>
              <w:rPr>
                <w:rFonts w:ascii="Times New Roman" w:hAnsi="Times New Roman" w:cs="Times New Roman"/>
                <w:sz w:val="24"/>
                <w:szCs w:val="24"/>
              </w:rPr>
            </w:pPr>
            <w:r>
              <w:rPr>
                <w:rFonts w:ascii="Times New Roman" w:hAnsi="Times New Roman" w:cs="Times New Roman"/>
                <w:sz w:val="24"/>
                <w:szCs w:val="24"/>
              </w:rPr>
              <w:t>A</w:t>
            </w:r>
            <w:r w:rsidR="009034E2">
              <w:rPr>
                <w:rFonts w:ascii="Times New Roman" w:hAnsi="Times New Roman" w:cs="Times New Roman"/>
                <w:sz w:val="24"/>
                <w:szCs w:val="24"/>
              </w:rPr>
              <w:t>tsižvelgti</w:t>
            </w:r>
          </w:p>
        </w:tc>
        <w:tc>
          <w:tcPr>
            <w:tcW w:w="3827" w:type="dxa"/>
          </w:tcPr>
          <w:p w:rsidR="009034E2" w:rsidRDefault="009034E2" w:rsidP="009034E2">
            <w:pPr>
              <w:pStyle w:val="Default"/>
              <w:rPr>
                <w:color w:val="auto"/>
              </w:rPr>
            </w:pPr>
          </w:p>
        </w:tc>
      </w:tr>
      <w:tr w:rsidR="00647D26" w:rsidRPr="004337E7" w:rsidTr="000E2DA4">
        <w:tc>
          <w:tcPr>
            <w:tcW w:w="1560" w:type="dxa"/>
          </w:tcPr>
          <w:p w:rsidR="00647D26" w:rsidRDefault="004139FA" w:rsidP="009034E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Džiuljeta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Gečienė</w:t>
            </w:r>
            <w:proofErr w:type="spellEnd"/>
            <w:r>
              <w:rPr>
                <w:rFonts w:ascii="Times New Roman" w:eastAsia="Times New Roman" w:hAnsi="Times New Roman" w:cs="Times New Roman"/>
                <w:sz w:val="24"/>
                <w:szCs w:val="24"/>
              </w:rPr>
              <w:t>, VšĮ „Vaivorykštės takas“ direktorė;</w:t>
            </w:r>
          </w:p>
          <w:p w:rsidR="004139FA" w:rsidRDefault="004139FA" w:rsidP="009034E2">
            <w:pPr>
              <w:rPr>
                <w:rFonts w:ascii="Times New Roman" w:eastAsia="Times New Roman" w:hAnsi="Times New Roman" w:cs="Times New Roman"/>
                <w:sz w:val="24"/>
                <w:szCs w:val="24"/>
              </w:rPr>
            </w:pPr>
            <w:r>
              <w:rPr>
                <w:rFonts w:ascii="Times New Roman" w:eastAsia="Times New Roman" w:hAnsi="Times New Roman" w:cs="Times New Roman"/>
                <w:sz w:val="24"/>
                <w:szCs w:val="24"/>
              </w:rPr>
              <w:t>PERITUS PARTNERS</w:t>
            </w:r>
          </w:p>
        </w:tc>
        <w:tc>
          <w:tcPr>
            <w:tcW w:w="567" w:type="dxa"/>
          </w:tcPr>
          <w:p w:rsidR="00647D26" w:rsidRDefault="004139FA" w:rsidP="009034E2">
            <w:pPr>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647D26" w:rsidRDefault="00647D26" w:rsidP="00647D26">
            <w:pPr>
              <w:rPr>
                <w:rFonts w:ascii="Times New Roman" w:hAnsi="Times New Roman" w:cs="Times New Roman"/>
                <w:sz w:val="24"/>
                <w:szCs w:val="24"/>
              </w:rPr>
            </w:pPr>
          </w:p>
        </w:tc>
        <w:tc>
          <w:tcPr>
            <w:tcW w:w="4394" w:type="dxa"/>
          </w:tcPr>
          <w:p w:rsidR="00647D26" w:rsidRDefault="004139FA" w:rsidP="004139FA">
            <w:pPr>
              <w:pStyle w:val="prastasiniatinklio"/>
              <w:spacing w:after="0" w:afterAutospacing="0"/>
            </w:pPr>
            <w:r>
              <w:t xml:space="preserve">Siūlymas į </w:t>
            </w:r>
            <w:r w:rsidRPr="004139FA">
              <w:t>priemonės aprašą įtraukti nuostatas, kurios leistų investicijas tiek į pagrindinio mokyklos pastato, tiek filialo mokymosi aplinkos modernizavimą</w:t>
            </w:r>
            <w:r>
              <w:t>.</w:t>
            </w:r>
          </w:p>
        </w:tc>
        <w:tc>
          <w:tcPr>
            <w:tcW w:w="1559" w:type="dxa"/>
          </w:tcPr>
          <w:p w:rsidR="00647D26" w:rsidRDefault="004139FA"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647D26" w:rsidRDefault="004139FA" w:rsidP="009034E2">
            <w:pPr>
              <w:pStyle w:val="Default"/>
              <w:rPr>
                <w:color w:val="auto"/>
              </w:rPr>
            </w:pPr>
            <w:r>
              <w:rPr>
                <w:color w:val="auto"/>
              </w:rPr>
              <w:t>Aprašas neriboja investicijų į juridinio asmens filialus. Numatoma tik, kad filialai negali būti pareiškėjais.</w:t>
            </w:r>
          </w:p>
        </w:tc>
      </w:tr>
      <w:tr w:rsidR="000465D3" w:rsidRPr="004337E7" w:rsidTr="000E2DA4">
        <w:tc>
          <w:tcPr>
            <w:tcW w:w="1560" w:type="dxa"/>
          </w:tcPr>
          <w:p w:rsidR="000465D3" w:rsidRDefault="004139FA"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Lietuvos Valdorfo mokyklų asociacija</w:t>
            </w:r>
          </w:p>
        </w:tc>
        <w:tc>
          <w:tcPr>
            <w:tcW w:w="567"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t>11.</w:t>
            </w:r>
          </w:p>
        </w:tc>
        <w:tc>
          <w:tcPr>
            <w:tcW w:w="2977" w:type="dxa"/>
          </w:tcPr>
          <w:p w:rsidR="000465D3" w:rsidRPr="00647D26" w:rsidRDefault="004139FA" w:rsidP="00647D26">
            <w:pPr>
              <w:rPr>
                <w:rFonts w:ascii="Times New Roman" w:hAnsi="Times New Roman" w:cs="Times New Roman"/>
                <w:sz w:val="24"/>
                <w:szCs w:val="24"/>
              </w:rPr>
            </w:pPr>
            <w:r w:rsidRPr="004139FA">
              <w:rPr>
                <w:rFonts w:ascii="Times New Roman" w:hAnsi="Times New Roman" w:cs="Times New Roman"/>
                <w:sz w:val="24"/>
                <w:szCs w:val="24"/>
              </w:rPr>
              <w:t>4.4. Nevalstybinė mokykla Apraše suprantama kaip progimnazijos, pagrindinės mokyklos arba gimnazijos tipo nevalstybinė bendrojo ugdymo mokykla, vykdanti Studijų, mokymo programų ir kvalifikacijų registre įregistruotą (-</w:t>
            </w:r>
            <w:proofErr w:type="spellStart"/>
            <w:r w:rsidRPr="004139FA">
              <w:rPr>
                <w:rFonts w:ascii="Times New Roman" w:hAnsi="Times New Roman" w:cs="Times New Roman"/>
                <w:sz w:val="24"/>
                <w:szCs w:val="24"/>
              </w:rPr>
              <w:t>as</w:t>
            </w:r>
            <w:proofErr w:type="spellEnd"/>
            <w:r w:rsidRPr="004139FA">
              <w:rPr>
                <w:rFonts w:ascii="Times New Roman" w:hAnsi="Times New Roman" w:cs="Times New Roman"/>
                <w:sz w:val="24"/>
                <w:szCs w:val="24"/>
              </w:rPr>
              <w:t>) bendrojo ugdymo programą (-</w:t>
            </w:r>
            <w:proofErr w:type="spellStart"/>
            <w:r w:rsidRPr="004139FA">
              <w:rPr>
                <w:rFonts w:ascii="Times New Roman" w:hAnsi="Times New Roman" w:cs="Times New Roman"/>
                <w:sz w:val="24"/>
                <w:szCs w:val="24"/>
              </w:rPr>
              <w:t>as</w:t>
            </w:r>
            <w:proofErr w:type="spellEnd"/>
            <w:r w:rsidRPr="004139FA">
              <w:rPr>
                <w:rFonts w:ascii="Times New Roman" w:hAnsi="Times New Roman" w:cs="Times New Roman"/>
                <w:sz w:val="24"/>
                <w:szCs w:val="24"/>
              </w:rPr>
              <w:t>);</w:t>
            </w:r>
          </w:p>
        </w:tc>
        <w:tc>
          <w:tcPr>
            <w:tcW w:w="4394" w:type="dxa"/>
          </w:tcPr>
          <w:p w:rsidR="000465D3" w:rsidRDefault="004139FA" w:rsidP="00647D26">
            <w:pPr>
              <w:pStyle w:val="prastasiniatinklio"/>
              <w:spacing w:after="0" w:afterAutospacing="0"/>
            </w:pPr>
            <w:r>
              <w:t>Siūloma sudaryti sąlygas konkuruoti tarpusavy tik toms nevalstybinėms bendrojo ugdymo mokykloms, kurios savo teisine forma yra viešosios įstaigos, nes galimos kitos mokyklų teisinės formos yra uždarosios akcinės bendrovės</w:t>
            </w:r>
          </w:p>
        </w:tc>
        <w:tc>
          <w:tcPr>
            <w:tcW w:w="1559" w:type="dxa"/>
          </w:tcPr>
          <w:p w:rsidR="000465D3" w:rsidRDefault="004139FA"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0465D3" w:rsidRDefault="00D172F1" w:rsidP="009034E2">
            <w:pPr>
              <w:pStyle w:val="Default"/>
              <w:rPr>
                <w:color w:val="auto"/>
              </w:rPr>
            </w:pPr>
            <w:r>
              <w:rPr>
                <w:color w:val="auto"/>
              </w:rPr>
              <w:t>Nėra pagrindo riboti konkurenciją tarp nevalstybinių bendrojo ugdymo mokyklų. Toks ribojimas sąlygotų lėšų, numatytų visoms nevalstybinėms bendrojo ugdymo mokykloms, išskaidymą, dėl ko konkursas taptų</w:t>
            </w:r>
            <w:r w:rsidR="0088028B">
              <w:rPr>
                <w:color w:val="auto"/>
              </w:rPr>
              <w:t xml:space="preserve"> niekinis.</w:t>
            </w:r>
          </w:p>
        </w:tc>
      </w:tr>
      <w:tr w:rsidR="000465D3" w:rsidRPr="004337E7" w:rsidTr="000E2DA4">
        <w:tc>
          <w:tcPr>
            <w:tcW w:w="1560" w:type="dxa"/>
          </w:tcPr>
          <w:p w:rsidR="000465D3" w:rsidRDefault="0088028B"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Valdorfo mokyklų asociacija</w:t>
            </w:r>
          </w:p>
        </w:tc>
        <w:tc>
          <w:tcPr>
            <w:tcW w:w="567"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t>12.</w:t>
            </w:r>
          </w:p>
        </w:tc>
        <w:tc>
          <w:tcPr>
            <w:tcW w:w="2977" w:type="dxa"/>
          </w:tcPr>
          <w:p w:rsidR="0088028B" w:rsidRPr="0088028B" w:rsidRDefault="0088028B" w:rsidP="0088028B">
            <w:pPr>
              <w:rPr>
                <w:rFonts w:ascii="Times New Roman" w:hAnsi="Times New Roman" w:cs="Times New Roman"/>
                <w:sz w:val="24"/>
                <w:szCs w:val="24"/>
              </w:rPr>
            </w:pPr>
            <w:r w:rsidRPr="0088028B">
              <w:rPr>
                <w:rFonts w:ascii="Times New Roman" w:hAnsi="Times New Roman" w:cs="Times New Roman"/>
                <w:sz w:val="24"/>
                <w:szCs w:val="24"/>
              </w:rPr>
              <w:t>9.2. pagal antrąjį kvietimą valstybinėms bendrojo ugdymo mokykloms tei</w:t>
            </w:r>
            <w:r>
              <w:rPr>
                <w:rFonts w:ascii="Times New Roman" w:hAnsi="Times New Roman" w:cs="Times New Roman"/>
                <w:sz w:val="24"/>
                <w:szCs w:val="24"/>
              </w:rPr>
              <w:t>kti paraiškas pagal Aprašo 12.2</w:t>
            </w:r>
            <w:r w:rsidRPr="0088028B">
              <w:rPr>
                <w:rFonts w:ascii="Times New Roman" w:hAnsi="Times New Roman" w:cs="Times New Roman"/>
                <w:sz w:val="24"/>
                <w:szCs w:val="24"/>
              </w:rPr>
              <w:t xml:space="preserve"> papunktyje nurodytą veiklą numatoma skirti iki 7 143 962 eurų (septynių milijonų šimto keturiasdešimt trijų tūkstančių devynių šimtų šešiasdešimt dviejų eurų); </w:t>
            </w:r>
          </w:p>
          <w:p w:rsidR="000465D3" w:rsidRPr="00647D26" w:rsidRDefault="0088028B" w:rsidP="0088028B">
            <w:pPr>
              <w:rPr>
                <w:rFonts w:ascii="Times New Roman" w:hAnsi="Times New Roman" w:cs="Times New Roman"/>
                <w:sz w:val="24"/>
                <w:szCs w:val="24"/>
              </w:rPr>
            </w:pPr>
            <w:r w:rsidRPr="0088028B">
              <w:rPr>
                <w:rFonts w:ascii="Times New Roman" w:hAnsi="Times New Roman" w:cs="Times New Roman"/>
                <w:sz w:val="24"/>
                <w:szCs w:val="24"/>
              </w:rPr>
              <w:t>9.3. pagal trečiąjį kvietimą nevalstybinėms bendrojo ugdymo mokykloms tei</w:t>
            </w:r>
            <w:r>
              <w:rPr>
                <w:rFonts w:ascii="Times New Roman" w:hAnsi="Times New Roman" w:cs="Times New Roman"/>
                <w:sz w:val="24"/>
                <w:szCs w:val="24"/>
              </w:rPr>
              <w:t>kti paraiškas pagal Aprašo 12.2</w:t>
            </w:r>
            <w:r w:rsidRPr="0088028B">
              <w:rPr>
                <w:rFonts w:ascii="Times New Roman" w:hAnsi="Times New Roman" w:cs="Times New Roman"/>
                <w:sz w:val="24"/>
                <w:szCs w:val="24"/>
              </w:rPr>
              <w:t xml:space="preserve"> papunktyje nurodytą veiklą numatoma skirti iki 3 571 980 eurų (trijų milijonų penkių šimtų septyniasdešimt vieno tūkstančio devynių šimtų aštuoniasdešimt eurų) Europos regioninės plėtros fondo lėšų.</w:t>
            </w:r>
          </w:p>
        </w:tc>
        <w:tc>
          <w:tcPr>
            <w:tcW w:w="4394" w:type="dxa"/>
          </w:tcPr>
          <w:p w:rsidR="000465D3" w:rsidRDefault="0088028B" w:rsidP="0088028B">
            <w:pPr>
              <w:pStyle w:val="prastasiniatinklio"/>
              <w:spacing w:after="0" w:afterAutospacing="0"/>
            </w:pPr>
            <w:r>
              <w:t>Siūloma perskirstyti lėšas numatant daugiau lėšų nevalstybinėms bendrojo ugdymo mokykloms.</w:t>
            </w:r>
          </w:p>
        </w:tc>
        <w:tc>
          <w:tcPr>
            <w:tcW w:w="1559" w:type="dxa"/>
          </w:tcPr>
          <w:p w:rsidR="000465D3" w:rsidRDefault="0088028B"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9A6B26" w:rsidRDefault="009A6B26" w:rsidP="009A6B26">
            <w:pPr>
              <w:jc w:val="both"/>
              <w:rPr>
                <w:rFonts w:ascii="Times New Roman" w:hAnsi="Times New Roman" w:cs="Times New Roman"/>
              </w:rPr>
            </w:pPr>
            <w:r w:rsidRPr="00DB5E26">
              <w:rPr>
                <w:rFonts w:ascii="Times New Roman" w:hAnsi="Times New Roman" w:cs="Times New Roman"/>
                <w:sz w:val="24"/>
                <w:szCs w:val="24"/>
              </w:rPr>
              <w:t xml:space="preserve">Valstybinės bendrojo ugdymo mokyklos finansavimo ES lėšomis laikotarpiu iš esmės </w:t>
            </w:r>
            <w:r>
              <w:rPr>
                <w:rFonts w:ascii="Times New Roman" w:hAnsi="Times New Roman" w:cs="Times New Roman"/>
                <w:sz w:val="24"/>
                <w:szCs w:val="24"/>
              </w:rPr>
              <w:t xml:space="preserve">neturėjo </w:t>
            </w:r>
            <w:r w:rsidRPr="00DB5E26">
              <w:rPr>
                <w:rFonts w:ascii="Times New Roman" w:hAnsi="Times New Roman" w:cs="Times New Roman"/>
                <w:sz w:val="24"/>
                <w:szCs w:val="24"/>
              </w:rPr>
              <w:t>galimybių ES lėšomis modernizuoti aplinkas ir atnaujinti priemones.</w:t>
            </w:r>
            <w:r w:rsidRPr="00BE6235">
              <w:rPr>
                <w:b/>
                <w:sz w:val="24"/>
                <w:szCs w:val="24"/>
              </w:rPr>
              <w:t xml:space="preserve">  </w:t>
            </w:r>
            <w:r w:rsidRPr="00040AA7">
              <w:rPr>
                <w:rFonts w:ascii="Times New Roman" w:hAnsi="Times New Roman" w:cs="Times New Roman"/>
              </w:rPr>
              <w:t xml:space="preserve">2007–2013 m. įgyvendinant Sanglaudos skatinimo veiksmų programos 2 prioritetą „Viešųjų paslaugų kokybė ir prieinamumas: sveikatos, švietimo ir socialinė infrastruktūra“, </w:t>
            </w:r>
            <w:r w:rsidRPr="00040AA7">
              <w:rPr>
                <w:rFonts w:ascii="Times New Roman" w:hAnsi="Times New Roman" w:cs="Times New Roman"/>
                <w:b/>
              </w:rPr>
              <w:t>2011–2013 m. laikotarpiu vykdant priemonę VP3-2.2-ŠMM-21-K</w:t>
            </w:r>
            <w:r w:rsidRPr="00061F2C">
              <w:rPr>
                <w:rFonts w:ascii="Times New Roman" w:hAnsi="Times New Roman" w:cs="Times New Roman"/>
              </w:rPr>
              <w:t xml:space="preserve"> „Nevalstybinių bendrojo lavinimo mokyklų ir valstybinių bendrojo lavinimo mokyklų, vykdančių meninio ugdymo programas, infrastruktūros plėtra“, kurios – atnaujinti ir modernizuoti nevalstybinių bendrojo ugdymo mokyklų ir valstybinių bendrojo ugdymo mokyklų, vykdančių meninio ugdymo programas, infrastruktūrą, </w:t>
            </w:r>
            <w:r w:rsidRPr="00061F2C">
              <w:rPr>
                <w:rFonts w:ascii="Times New Roman" w:hAnsi="Times New Roman" w:cs="Times New Roman"/>
                <w:b/>
              </w:rPr>
              <w:t xml:space="preserve">nevalstybinėms mokykloms buvo skirta 76 proc. </w:t>
            </w:r>
            <w:r>
              <w:rPr>
                <w:rFonts w:ascii="Times New Roman" w:hAnsi="Times New Roman" w:cs="Times New Roman"/>
                <w:b/>
              </w:rPr>
              <w:t xml:space="preserve">priemonei skirtų </w:t>
            </w:r>
            <w:r w:rsidRPr="00061F2C">
              <w:rPr>
                <w:rFonts w:ascii="Times New Roman" w:hAnsi="Times New Roman" w:cs="Times New Roman"/>
                <w:b/>
              </w:rPr>
              <w:t>ES lėšų (3 kartus daugiau, negu valstybinėms)</w:t>
            </w:r>
            <w:r w:rsidRPr="00061F2C">
              <w:rPr>
                <w:rFonts w:ascii="Times New Roman" w:hAnsi="Times New Roman" w:cs="Times New Roman"/>
              </w:rPr>
              <w:t xml:space="preserve">. Finansavimą gavo 10 nevalstybinių bendrojo ugdymo mokyklų (skirta 5 443 896,90 eurų ES struktūrinio </w:t>
            </w:r>
            <w:r w:rsidRPr="00061F2C">
              <w:rPr>
                <w:rFonts w:ascii="Times New Roman" w:hAnsi="Times New Roman" w:cs="Times New Roman"/>
              </w:rPr>
              <w:lastRenderedPageBreak/>
              <w:t xml:space="preserve">fondo lėšų ir 270,229 eurų valstybės biudžeto lėšų) ir 1 valstybinė. </w:t>
            </w:r>
          </w:p>
          <w:p w:rsidR="000465D3" w:rsidRDefault="009A6B26" w:rsidP="009A6B26">
            <w:pPr>
              <w:jc w:val="both"/>
            </w:pPr>
            <w:r>
              <w:rPr>
                <w:rFonts w:ascii="Times New Roman" w:hAnsi="Times New Roman" w:cs="Times New Roman"/>
              </w:rPr>
              <w:t xml:space="preserve"> </w:t>
            </w:r>
            <w:r>
              <w:rPr>
                <w:rFonts w:ascii="Times New Roman" w:hAnsi="Times New Roman" w:cs="Times New Roman"/>
              </w:rPr>
              <w:tab/>
            </w:r>
            <w:r w:rsidRPr="00BE6235">
              <w:rPr>
                <w:rFonts w:ascii="Times New Roman" w:hAnsi="Times New Roman" w:cs="Times New Roman"/>
                <w:sz w:val="24"/>
                <w:szCs w:val="24"/>
              </w:rPr>
              <w:t xml:space="preserve">Įgyvendinant </w:t>
            </w:r>
            <w:r w:rsidRPr="00BE6235">
              <w:rPr>
                <w:rFonts w:ascii="Times New Roman" w:hAnsi="Times New Roman" w:cs="Times New Roman"/>
                <w:bCs/>
                <w:sz w:val="24"/>
                <w:szCs w:val="24"/>
              </w:rPr>
              <w:t>09.1.3</w:t>
            </w:r>
            <w:r w:rsidRPr="00BE6235">
              <w:rPr>
                <w:rFonts w:ascii="Times New Roman" w:hAnsi="Times New Roman" w:cs="Times New Roman"/>
                <w:sz w:val="24"/>
                <w:szCs w:val="24"/>
              </w:rPr>
              <w:t>-CPVA-V-704 priemonę Švietimo prieinamumo didinimas valstybinių bendrojo ugdymo mokyklų aprūpinimui priemonėmis, skirtomis gamtos ir technologinių mokslų mokymui</w:t>
            </w:r>
            <w:r>
              <w:rPr>
                <w:rFonts w:ascii="Times New Roman" w:hAnsi="Times New Roman" w:cs="Times New Roman"/>
                <w:sz w:val="24"/>
                <w:szCs w:val="24"/>
              </w:rPr>
              <w:t xml:space="preserve">, valstybinėms mokykloms iš viso turėtų būti skirta ne daugiau 2 proc. šiai remiamai veiklai numatomų lėšų (iš viso apie 160 tūkst. eurų). </w:t>
            </w:r>
            <w:r w:rsidRPr="00BE6235">
              <w:rPr>
                <w:rFonts w:ascii="Times New Roman" w:hAnsi="Times New Roman" w:cs="Times New Roman"/>
                <w:bCs/>
                <w:sz w:val="24"/>
                <w:szCs w:val="24"/>
              </w:rPr>
              <w:t>09.1.3</w:t>
            </w:r>
            <w:r w:rsidRPr="00BE6235">
              <w:rPr>
                <w:rFonts w:ascii="Times New Roman" w:hAnsi="Times New Roman" w:cs="Times New Roman"/>
                <w:sz w:val="24"/>
                <w:szCs w:val="24"/>
              </w:rPr>
              <w:t>-CPVA-K-723 priemon</w:t>
            </w:r>
            <w:r>
              <w:rPr>
                <w:rFonts w:ascii="Times New Roman" w:hAnsi="Times New Roman" w:cs="Times New Roman"/>
                <w:sz w:val="24"/>
                <w:szCs w:val="24"/>
              </w:rPr>
              <w:t>ė</w:t>
            </w:r>
            <w:r w:rsidRPr="00061F2C">
              <w:rPr>
                <w:rFonts w:ascii="Times New Roman" w:hAnsi="Times New Roman" w:cs="Times New Roman"/>
                <w:sz w:val="24"/>
                <w:szCs w:val="24"/>
              </w:rPr>
              <w:t xml:space="preserve"> „Nevalstybinių neformaliojo vaikų švietimo erdvių, valstybinių ir nevalstybinių mokyklų modernizavimas“</w:t>
            </w:r>
            <w:r>
              <w:rPr>
                <w:rFonts w:ascii="Times New Roman" w:hAnsi="Times New Roman" w:cs="Times New Roman"/>
                <w:sz w:val="24"/>
                <w:szCs w:val="24"/>
              </w:rPr>
              <w:t xml:space="preserve"> –galimybė valstybinėms mokykloms bent iš dalies išspręsti mokymo priemonių atnaujinimo ir edukacinių erdvių modernizavimo klausimą. Atkreiptinas dėmesys į tai, kad daugiau kaip 50 proc. valstybinių bendrojo ugdymo mokyklų, galinčių pretenduoti gauti finansavimą iš </w:t>
            </w:r>
            <w:r w:rsidRPr="00BE6235">
              <w:rPr>
                <w:rFonts w:ascii="Times New Roman" w:hAnsi="Times New Roman" w:cs="Times New Roman"/>
                <w:bCs/>
                <w:sz w:val="24"/>
                <w:szCs w:val="24"/>
              </w:rPr>
              <w:t>09.1.3</w:t>
            </w:r>
            <w:r w:rsidRPr="00BE6235">
              <w:rPr>
                <w:rFonts w:ascii="Times New Roman" w:hAnsi="Times New Roman" w:cs="Times New Roman"/>
                <w:sz w:val="24"/>
                <w:szCs w:val="24"/>
              </w:rPr>
              <w:t>-CPVA-K-723 priemon</w:t>
            </w:r>
            <w:r>
              <w:rPr>
                <w:rFonts w:ascii="Times New Roman" w:hAnsi="Times New Roman" w:cs="Times New Roman"/>
                <w:sz w:val="24"/>
                <w:szCs w:val="24"/>
              </w:rPr>
              <w:t xml:space="preserve">ės lėšų, yra mokyklos, skirtos specialiųjų ugdymosi poreikių turintiems mokiniams.  Šioms mokykloms mokymo priemonėms ir erdvių modernizavimui reikiamų lėšų suma yra didesnė, nes šių mokinių ugdymui reikalinga įranga ir ugdymo priemonės yra žymiai brangesnės, </w:t>
            </w:r>
            <w:r>
              <w:rPr>
                <w:rFonts w:ascii="Times New Roman" w:hAnsi="Times New Roman" w:cs="Times New Roman"/>
                <w:sz w:val="24"/>
                <w:szCs w:val="24"/>
              </w:rPr>
              <w:lastRenderedPageBreak/>
              <w:t xml:space="preserve">negu bendrosios bendrojo  ugdymo mokyklos mokiniams. </w:t>
            </w:r>
            <w:r>
              <w:rPr>
                <w:rFonts w:ascii="Times New Roman" w:hAnsi="Times New Roman" w:cs="Times New Roman"/>
                <w:b/>
                <w:sz w:val="24"/>
                <w:szCs w:val="24"/>
              </w:rPr>
              <w:tab/>
            </w:r>
          </w:p>
        </w:tc>
      </w:tr>
      <w:tr w:rsidR="000465D3" w:rsidRPr="004337E7" w:rsidTr="000E2DA4">
        <w:tc>
          <w:tcPr>
            <w:tcW w:w="1560" w:type="dxa"/>
          </w:tcPr>
          <w:p w:rsidR="000465D3" w:rsidRDefault="0088028B"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Lietuvos Valdorfo mokyklų asociacija</w:t>
            </w:r>
          </w:p>
        </w:tc>
        <w:tc>
          <w:tcPr>
            <w:tcW w:w="567"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t>13.</w:t>
            </w:r>
          </w:p>
        </w:tc>
        <w:tc>
          <w:tcPr>
            <w:tcW w:w="2977" w:type="dxa"/>
          </w:tcPr>
          <w:p w:rsidR="000465D3" w:rsidRPr="00647D26" w:rsidRDefault="0088028B" w:rsidP="0088028B">
            <w:pPr>
              <w:rPr>
                <w:rFonts w:ascii="Times New Roman" w:hAnsi="Times New Roman" w:cs="Times New Roman"/>
                <w:sz w:val="24"/>
                <w:szCs w:val="24"/>
              </w:rPr>
            </w:pPr>
            <w:r>
              <w:rPr>
                <w:rFonts w:ascii="Times New Roman" w:hAnsi="Times New Roman" w:cs="Times New Roman"/>
                <w:sz w:val="24"/>
                <w:szCs w:val="24"/>
              </w:rPr>
              <w:t>Aprašo 2 priedo prioritetinis projektų atrankos kriterijus Nr. 3 „Investicijų paskirtis“</w:t>
            </w:r>
          </w:p>
        </w:tc>
        <w:tc>
          <w:tcPr>
            <w:tcW w:w="4394" w:type="dxa"/>
          </w:tcPr>
          <w:p w:rsidR="000465D3" w:rsidRPr="000465D3" w:rsidRDefault="0088028B" w:rsidP="00647D26">
            <w:pPr>
              <w:pStyle w:val="prastasiniatinklio"/>
              <w:spacing w:after="0" w:afterAutospacing="0"/>
            </w:pPr>
            <w:r>
              <w:t>Siūloma nesuteikti mažesnio balų skaičiaus projektams, kuriais numatoma vykdyti rekonstrukcijos darbus.</w:t>
            </w:r>
          </w:p>
        </w:tc>
        <w:tc>
          <w:tcPr>
            <w:tcW w:w="1559" w:type="dxa"/>
          </w:tcPr>
          <w:p w:rsidR="000465D3" w:rsidRDefault="0088028B"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0465D3" w:rsidRDefault="0088028B" w:rsidP="0088028B">
            <w:pPr>
              <w:pStyle w:val="Default"/>
              <w:rPr>
                <w:color w:val="auto"/>
              </w:rPr>
            </w:pPr>
            <w:r>
              <w:rPr>
                <w:color w:val="auto"/>
              </w:rPr>
              <w:t>Rekonstrukcijos projektai yra brangiausi, todėl jiems numatyta mažiausias galimas balų skaičius. Taip siekiama, kad investicijomis galėtų pasinaudoti kuo daugiau ugdymo įstaigų, kurioms reikalingos mažesnės investicijos. Kriterijus yra patvirtintas Stebėsenos komiteto nuarimu.</w:t>
            </w:r>
          </w:p>
        </w:tc>
      </w:tr>
    </w:tbl>
    <w:p w:rsidR="003D3B6C" w:rsidRPr="00127200" w:rsidRDefault="003D3B6C" w:rsidP="00127200"/>
    <w:sectPr w:rsidR="003D3B6C" w:rsidRPr="00127200" w:rsidSect="0012720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00"/>
    <w:rsid w:val="000465D3"/>
    <w:rsid w:val="0007698A"/>
    <w:rsid w:val="00127200"/>
    <w:rsid w:val="00153C00"/>
    <w:rsid w:val="00153D88"/>
    <w:rsid w:val="001C4759"/>
    <w:rsid w:val="00233667"/>
    <w:rsid w:val="002530E8"/>
    <w:rsid w:val="003D0066"/>
    <w:rsid w:val="003D3B6C"/>
    <w:rsid w:val="004139FA"/>
    <w:rsid w:val="004337E7"/>
    <w:rsid w:val="0044631D"/>
    <w:rsid w:val="005836BE"/>
    <w:rsid w:val="005F3B98"/>
    <w:rsid w:val="00647D26"/>
    <w:rsid w:val="006D40EB"/>
    <w:rsid w:val="00771E50"/>
    <w:rsid w:val="008058E6"/>
    <w:rsid w:val="00836EC3"/>
    <w:rsid w:val="0088028B"/>
    <w:rsid w:val="008A5050"/>
    <w:rsid w:val="009034E2"/>
    <w:rsid w:val="009A6B26"/>
    <w:rsid w:val="00A86A7F"/>
    <w:rsid w:val="00AC5FED"/>
    <w:rsid w:val="00B07FEC"/>
    <w:rsid w:val="00C33D1D"/>
    <w:rsid w:val="00D01C43"/>
    <w:rsid w:val="00D10569"/>
    <w:rsid w:val="00D172F1"/>
    <w:rsid w:val="00DB59AE"/>
    <w:rsid w:val="00E83C9D"/>
    <w:rsid w:val="00F454CE"/>
    <w:rsid w:val="00F72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66C81-2BF4-4F98-B2CF-8EF6A668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20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1272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127200"/>
  </w:style>
  <w:style w:type="paragraph" w:styleId="Debesliotekstas">
    <w:name w:val="Balloon Text"/>
    <w:basedOn w:val="prastasis"/>
    <w:link w:val="DebesliotekstasDiagrama"/>
    <w:uiPriority w:val="99"/>
    <w:semiHidden/>
    <w:unhideWhenUsed/>
    <w:rsid w:val="00A86A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A7F"/>
    <w:rPr>
      <w:rFonts w:ascii="Segoe UI" w:hAnsi="Segoe UI" w:cs="Segoe UI"/>
      <w:sz w:val="18"/>
      <w:szCs w:val="18"/>
    </w:rPr>
  </w:style>
  <w:style w:type="character" w:styleId="Hipersaitas">
    <w:name w:val="Hyperlink"/>
    <w:basedOn w:val="Numatytasispastraiposriftas"/>
    <w:uiPriority w:val="99"/>
    <w:unhideWhenUsed/>
    <w:rsid w:val="003D00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931232">
      <w:bodyDiv w:val="1"/>
      <w:marLeft w:val="0"/>
      <w:marRight w:val="0"/>
      <w:marTop w:val="0"/>
      <w:marBottom w:val="0"/>
      <w:divBdr>
        <w:top w:val="none" w:sz="0" w:space="0" w:color="auto"/>
        <w:left w:val="none" w:sz="0" w:space="0" w:color="auto"/>
        <w:bottom w:val="none" w:sz="0" w:space="0" w:color="auto"/>
        <w:right w:val="none" w:sz="0" w:space="0" w:color="auto"/>
      </w:divBdr>
    </w:div>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 w:id="21097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v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6101</Words>
  <Characters>3479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Ulkienė Rita</dc:creator>
  <cp:keywords/>
  <dc:description/>
  <cp:lastModifiedBy>Jakubauskas Marius</cp:lastModifiedBy>
  <cp:revision>2</cp:revision>
  <dcterms:created xsi:type="dcterms:W3CDTF">2017-12-12T11:49:00Z</dcterms:created>
  <dcterms:modified xsi:type="dcterms:W3CDTF">2017-12-12T11:49:00Z</dcterms:modified>
</cp:coreProperties>
</file>