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8FF87A" w14:textId="073EDFD6" w:rsidR="00EC21AE" w:rsidRPr="0047237D" w:rsidRDefault="00BA3F0D" w:rsidP="00055B2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7237D">
        <w:rPr>
          <w:rFonts w:ascii="Times New Roman" w:hAnsi="Times New Roman" w:cs="Times New Roman"/>
          <w:b/>
          <w:sz w:val="24"/>
          <w:szCs w:val="24"/>
        </w:rPr>
        <w:t xml:space="preserve">PASTABŲ IR PASIŪLYMŲ </w:t>
      </w:r>
      <w:r w:rsidR="00EC21AE" w:rsidRPr="0047237D">
        <w:rPr>
          <w:rFonts w:ascii="Times New Roman" w:hAnsi="Times New Roman" w:cs="Times New Roman"/>
          <w:b/>
          <w:sz w:val="24"/>
          <w:szCs w:val="24"/>
        </w:rPr>
        <w:t xml:space="preserve">DERINIMO </w:t>
      </w:r>
      <w:r w:rsidRPr="0047237D">
        <w:rPr>
          <w:rFonts w:ascii="Times New Roman" w:hAnsi="Times New Roman" w:cs="Times New Roman"/>
          <w:b/>
          <w:sz w:val="24"/>
          <w:szCs w:val="24"/>
        </w:rPr>
        <w:t>LENTELĖ</w:t>
      </w:r>
    </w:p>
    <w:p w14:paraId="69376154" w14:textId="121DBFAE" w:rsidR="00BA3F0D" w:rsidRPr="0047237D" w:rsidRDefault="00BA3F0D" w:rsidP="00055B2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37D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335573" w:rsidRPr="0047237D">
        <w:rPr>
          <w:rFonts w:ascii="Times New Roman" w:hAnsi="Times New Roman" w:cs="Times New Roman"/>
          <w:b/>
          <w:sz w:val="24"/>
          <w:szCs w:val="24"/>
        </w:rPr>
        <w:t xml:space="preserve">PRIEMONĖS </w:t>
      </w:r>
      <w:r w:rsidRPr="0047237D">
        <w:rPr>
          <w:rFonts w:ascii="Times New Roman" w:hAnsi="Times New Roman" w:cs="Times New Roman"/>
          <w:b/>
          <w:sz w:val="24"/>
          <w:szCs w:val="24"/>
        </w:rPr>
        <w:t>„</w:t>
      </w:r>
      <w:r w:rsidR="00C97EA2" w:rsidRPr="0047237D">
        <w:rPr>
          <w:rFonts w:ascii="Times New Roman" w:hAnsi="Times New Roman" w:cs="Times New Roman"/>
          <w:b/>
          <w:sz w:val="24"/>
          <w:szCs w:val="24"/>
        </w:rPr>
        <w:t>INTELEKTAS LT-2</w:t>
      </w:r>
      <w:r w:rsidR="009567FB" w:rsidRPr="0047237D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="0044437C" w:rsidRPr="0047237D">
        <w:rPr>
          <w:rFonts w:ascii="Times New Roman" w:hAnsi="Times New Roman" w:cs="Times New Roman"/>
          <w:b/>
          <w:sz w:val="24"/>
          <w:szCs w:val="24"/>
        </w:rPr>
        <w:t>PROJEKT</w:t>
      </w:r>
      <w:r w:rsidR="005648D5" w:rsidRPr="0047237D">
        <w:rPr>
          <w:rFonts w:ascii="Times New Roman" w:hAnsi="Times New Roman" w:cs="Times New Roman"/>
          <w:b/>
          <w:sz w:val="24"/>
          <w:szCs w:val="24"/>
        </w:rPr>
        <w:t>Ų ATRANKOS KRITER</w:t>
      </w:r>
      <w:r w:rsidR="0044437C" w:rsidRPr="0047237D">
        <w:rPr>
          <w:rFonts w:ascii="Times New Roman" w:hAnsi="Times New Roman" w:cs="Times New Roman"/>
          <w:b/>
          <w:sz w:val="24"/>
          <w:szCs w:val="24"/>
        </w:rPr>
        <w:t>IJŲ</w:t>
      </w:r>
    </w:p>
    <w:p w14:paraId="0C9DC4F6" w14:textId="77777777" w:rsidR="00BA3F0D" w:rsidRPr="0047237D" w:rsidRDefault="00BA3F0D" w:rsidP="00055B2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99C4FF" w14:textId="71C0E228" w:rsidR="00BA3F0D" w:rsidRPr="0047237D" w:rsidRDefault="009567FB" w:rsidP="00055B2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7237D">
        <w:rPr>
          <w:rFonts w:ascii="Times New Roman" w:hAnsi="Times New Roman" w:cs="Times New Roman"/>
          <w:sz w:val="24"/>
          <w:szCs w:val="24"/>
          <w:u w:val="single"/>
        </w:rPr>
        <w:t>201</w:t>
      </w:r>
      <w:r w:rsidR="0044437C" w:rsidRPr="0047237D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47237D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44437C" w:rsidRPr="0047237D">
        <w:rPr>
          <w:rFonts w:ascii="Times New Roman" w:hAnsi="Times New Roman" w:cs="Times New Roman"/>
          <w:sz w:val="24"/>
          <w:szCs w:val="24"/>
          <w:u w:val="single"/>
        </w:rPr>
        <w:t>01-0</w:t>
      </w:r>
      <w:r w:rsidR="00EC21AE" w:rsidRPr="0047237D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7998663F" w14:textId="77777777" w:rsidR="00BA3F0D" w:rsidRPr="0047237D" w:rsidRDefault="00BA3F0D" w:rsidP="00DD6454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39"/>
        <w:gridCol w:w="5036"/>
        <w:gridCol w:w="3327"/>
        <w:gridCol w:w="3119"/>
      </w:tblGrid>
      <w:tr w:rsidR="0031740B" w:rsidRPr="0047237D" w14:paraId="35587C9E" w14:textId="49F071A5" w:rsidTr="0031740B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7744C" w14:textId="77777777" w:rsidR="0031740B" w:rsidRPr="0047237D" w:rsidRDefault="0031740B" w:rsidP="00F15016">
            <w:pPr>
              <w:widowControl w:val="0"/>
              <w:tabs>
                <w:tab w:val="left" w:pos="187"/>
                <w:tab w:val="left" w:pos="75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37D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F3A9" w14:textId="34066CBE" w:rsidR="0031740B" w:rsidRPr="0047237D" w:rsidRDefault="0031740B" w:rsidP="00DD6454">
            <w:pPr>
              <w:widowControl w:val="0"/>
              <w:tabs>
                <w:tab w:val="left" w:pos="7560"/>
              </w:tabs>
              <w:spacing w:after="0" w:line="240" w:lineRule="auto"/>
              <w:ind w:firstLin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37D">
              <w:rPr>
                <w:rFonts w:ascii="Times New Roman" w:hAnsi="Times New Roman" w:cs="Times New Roman"/>
                <w:b/>
                <w:sz w:val="24"/>
                <w:szCs w:val="24"/>
              </w:rPr>
              <w:t>Juridinis arba fizinis asmuo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BA08B" w14:textId="77777777" w:rsidR="0031740B" w:rsidRPr="0047237D" w:rsidRDefault="0031740B" w:rsidP="00DD6454">
            <w:pPr>
              <w:widowControl w:val="0"/>
              <w:tabs>
                <w:tab w:val="left" w:pos="75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37D">
              <w:rPr>
                <w:rFonts w:ascii="Times New Roman" w:hAnsi="Times New Roman" w:cs="Times New Roman"/>
                <w:b/>
                <w:sz w:val="24"/>
                <w:szCs w:val="24"/>
              </w:rPr>
              <w:t>Pastabos ir (ar) pasiūlymai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EBEF" w14:textId="2F56E9A5" w:rsidR="0031740B" w:rsidRPr="0047237D" w:rsidRDefault="0031740B" w:rsidP="00DD6454">
            <w:pPr>
              <w:widowControl w:val="0"/>
              <w:tabs>
                <w:tab w:val="left" w:pos="75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3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ŪM </w:t>
            </w:r>
            <w:proofErr w:type="spellStart"/>
            <w:r w:rsidRPr="0047237D">
              <w:rPr>
                <w:rFonts w:ascii="Times New Roman" w:hAnsi="Times New Roman" w:cs="Times New Roman"/>
                <w:b/>
                <w:sz w:val="24"/>
                <w:szCs w:val="24"/>
              </w:rPr>
              <w:t>pozcija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A4AE" w14:textId="0963D301" w:rsidR="0031740B" w:rsidRPr="0047237D" w:rsidRDefault="0031740B" w:rsidP="00DD6454">
            <w:pPr>
              <w:widowControl w:val="0"/>
              <w:tabs>
                <w:tab w:val="left" w:pos="75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37D">
              <w:rPr>
                <w:rFonts w:ascii="Times New Roman" w:hAnsi="Times New Roman" w:cs="Times New Roman"/>
                <w:b/>
                <w:sz w:val="24"/>
                <w:szCs w:val="24"/>
              </w:rPr>
              <w:t>ŪM argumentai</w:t>
            </w:r>
          </w:p>
        </w:tc>
      </w:tr>
      <w:tr w:rsidR="00920985" w:rsidRPr="0047237D" w14:paraId="4F92BB4A" w14:textId="77777777" w:rsidTr="00EC21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5825" w14:textId="77777777" w:rsidR="00920985" w:rsidRPr="0047237D" w:rsidRDefault="00920985" w:rsidP="00F1202D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87"/>
                <w:tab w:val="left" w:pos="75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6E4E72" w14:textId="2EDD05A8" w:rsidR="00920985" w:rsidRPr="0047237D" w:rsidRDefault="00920985" w:rsidP="00920985">
            <w:pPr>
              <w:widowControl w:val="0"/>
              <w:tabs>
                <w:tab w:val="left" w:pos="7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37D">
              <w:rPr>
                <w:rFonts w:ascii="Times New Roman" w:hAnsi="Times New Roman" w:cs="Times New Roman"/>
                <w:sz w:val="24"/>
                <w:szCs w:val="24"/>
              </w:rPr>
              <w:t>Vilniaus universitetas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3E6F" w14:textId="6B36A040" w:rsidR="00920985" w:rsidRPr="0047237D" w:rsidRDefault="00920985" w:rsidP="00920985">
            <w:pPr>
              <w:widowControl w:val="0"/>
              <w:tabs>
                <w:tab w:val="left" w:pos="7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2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Remiamos</w:t>
            </w:r>
            <w:proofErr w:type="spellEnd"/>
            <w:r w:rsidRPr="00472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veiklos</w:t>
            </w:r>
            <w:proofErr w:type="spellEnd"/>
            <w:r w:rsidRPr="00472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MTEP </w:t>
            </w:r>
            <w:proofErr w:type="spellStart"/>
            <w:r w:rsidRPr="00472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yra</w:t>
            </w:r>
            <w:proofErr w:type="spellEnd"/>
            <w:r w:rsidRPr="00472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fundamentiniai</w:t>
            </w:r>
            <w:proofErr w:type="spellEnd"/>
            <w:r w:rsidRPr="00472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moksliniai</w:t>
            </w:r>
            <w:proofErr w:type="spellEnd"/>
            <w:r w:rsidRPr="00472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tyrimai, </w:t>
            </w:r>
            <w:proofErr w:type="spellStart"/>
            <w:r w:rsidRPr="00472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taikomieji</w:t>
            </w:r>
            <w:proofErr w:type="spellEnd"/>
            <w:r w:rsidRPr="00472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moksliniai</w:t>
            </w:r>
            <w:proofErr w:type="spellEnd"/>
            <w:r w:rsidRPr="00472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tyrimai </w:t>
            </w:r>
            <w:proofErr w:type="spellStart"/>
            <w:r w:rsidRPr="00472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  <w:proofErr w:type="spellEnd"/>
            <w:r w:rsidRPr="00472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eksperimentin</w:t>
            </w:r>
            <w:proofErr w:type="spellEnd"/>
            <w:r w:rsidRPr="0047237D">
              <w:rPr>
                <w:rFonts w:ascii="Times New Roman" w:hAnsi="Times New Roman" w:cs="Times New Roman"/>
                <w:sz w:val="24"/>
                <w:szCs w:val="24"/>
              </w:rPr>
              <w:t xml:space="preserve">ė plėtra. Tad nereikėtų prie remiamų veiklų atskirai išskirti MTEP ir fundamentinių tyrimų – MSĮ, </w:t>
            </w:r>
            <w:r w:rsidRPr="00472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proofErr w:type="spellStart"/>
            <w:r w:rsidRPr="00472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straipsnis</w:t>
            </w:r>
            <w:proofErr w:type="spellEnd"/>
            <w:r w:rsidRPr="00472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0C0D" w14:textId="4DEB1A4D" w:rsidR="00920985" w:rsidRPr="0047237D" w:rsidRDefault="00BC1A7C" w:rsidP="009E5EA4">
            <w:pPr>
              <w:widowControl w:val="0"/>
              <w:tabs>
                <w:tab w:val="left" w:pos="7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Neatsižvelgta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45EF" w14:textId="0C3B8B03" w:rsidR="00920985" w:rsidRPr="0047237D" w:rsidRDefault="00BC1A7C" w:rsidP="009E5EA4">
            <w:pPr>
              <w:widowControl w:val="0"/>
              <w:tabs>
                <w:tab w:val="left" w:pos="7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Kadangi pagal Ūkio ministerijos Europos Sąjungos lėšomis finansuojamas priemones niekada nebuvo remiami fundamentiniai tyrimai, jie yra išskiriami siekiant akcentuoti siūlomą naujovę</w:t>
            </w:r>
            <w:r w:rsidR="00FE3E23">
              <w:rPr>
                <w:rFonts w:ascii="Times New Roman" w:hAnsi="Times New Roman" w:cs="Times New Roman"/>
                <w:sz w:val="24"/>
                <w:szCs w:val="24"/>
              </w:rPr>
              <w:t>, o kitų veiklų išskyrimas ir apibrėžimai yra suprantami taip, kaip jie yra apibrėžti Bendrajame bendrosios išimties reglamente.</w:t>
            </w:r>
            <w:r w:rsidR="00FE3E23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920985" w:rsidRPr="0047237D" w14:paraId="0C3542E8" w14:textId="77777777" w:rsidTr="00EC21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9759" w14:textId="77777777" w:rsidR="00920985" w:rsidRPr="0047237D" w:rsidRDefault="00920985" w:rsidP="00F1202D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87"/>
                <w:tab w:val="left" w:pos="75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00A0C" w14:textId="77777777" w:rsidR="00920985" w:rsidRPr="0047237D" w:rsidRDefault="00920985" w:rsidP="00F1202D">
            <w:pPr>
              <w:widowControl w:val="0"/>
              <w:tabs>
                <w:tab w:val="left" w:pos="7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4A98" w14:textId="09609F2D" w:rsidR="00920985" w:rsidRPr="0047237D" w:rsidRDefault="00920985" w:rsidP="00920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Specialusis</w:t>
            </w:r>
            <w:proofErr w:type="spellEnd"/>
            <w:r w:rsidRPr="00472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projektų</w:t>
            </w:r>
            <w:proofErr w:type="spellEnd"/>
            <w:r w:rsidRPr="00472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atrankos</w:t>
            </w:r>
            <w:proofErr w:type="spellEnd"/>
            <w:r w:rsidRPr="00472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kriterijus</w:t>
            </w:r>
            <w:proofErr w:type="spellEnd"/>
            <w:r w:rsidRPr="00472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“3.</w:t>
            </w:r>
            <w:r w:rsidRPr="0047237D">
              <w:rPr>
                <w:rFonts w:ascii="Times New Roman" w:hAnsi="Times New Roman" w:cs="Times New Roman"/>
                <w:sz w:val="24"/>
                <w:szCs w:val="24"/>
              </w:rPr>
              <w:t xml:space="preserve">Viešųjų juridinių asmenų, vykdančių MTEP veiklas, gautos pajamos iš komercinės veiklos per </w:t>
            </w:r>
            <w:r w:rsidRPr="00472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47237D">
              <w:rPr>
                <w:rFonts w:ascii="Times New Roman" w:hAnsi="Times New Roman" w:cs="Times New Roman"/>
                <w:sz w:val="24"/>
                <w:szCs w:val="24"/>
              </w:rPr>
              <w:t xml:space="preserve">paskutinius finansinius metus iki paraiškos pateikimo yra ne mažesnės kaip </w:t>
            </w:r>
            <w:r w:rsidRPr="00472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</w:t>
            </w:r>
            <w:r w:rsidRPr="0047237D">
              <w:rPr>
                <w:rFonts w:ascii="Times New Roman" w:hAnsi="Times New Roman" w:cs="Times New Roman"/>
                <w:sz w:val="24"/>
                <w:szCs w:val="24"/>
              </w:rPr>
              <w:t xml:space="preserve"> tūkst. EUR“ koreguotinas, nes pvz., mokslo ir studijų institucija komercinės veiklos nevykdo. Pajamos, gaunamos iš žinių ir technologijų perdavimo veiklos yra reinvestuojamos į pagrindinę veiklą. Tad siūlome vietoj „gautos pajamos iš komercinės veiklos“ rašyti „gautos pajamos iš žinių ir technologijų perdavimo veiklos“.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9A0F" w14:textId="0D1F2F2D" w:rsidR="00920985" w:rsidRPr="0047237D" w:rsidRDefault="007E0CFE" w:rsidP="009E5EA4">
            <w:pPr>
              <w:widowControl w:val="0"/>
              <w:tabs>
                <w:tab w:val="left" w:pos="7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Neatsižvelgta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2091" w14:textId="5EFEF190" w:rsidR="00920985" w:rsidRPr="0047237D" w:rsidRDefault="007E0CFE" w:rsidP="009E5EA4">
            <w:pPr>
              <w:widowControl w:val="0"/>
              <w:tabs>
                <w:tab w:val="left" w:pos="7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Pagal šią priemonę pareiškėjais galės būti ne tik mokslo ir studijų institucijos, todėl negalima siaurinti formuluotės ir pritaikyti konkrečiam atvejui. O ŪM siūloma formuluotė padės atrinkti tuos pareiškėjus ir partnerius, kurie labiausiai prisidės prie </w:t>
            </w:r>
            <w:r w:rsidR="00055B28">
              <w:rPr>
                <w:rFonts w:ascii="Times New Roman" w:hAnsi="Times New Roman" w:cs="Times New Roman"/>
                <w:sz w:val="24"/>
                <w:szCs w:val="24"/>
              </w:rPr>
              <w:t xml:space="preserve">uždavinio </w:t>
            </w:r>
            <w:r w:rsidR="00055B28" w:rsidRPr="00BC64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„Padidinti mokslinių tyrimų, eksperimentinės plėtros ir </w:t>
            </w:r>
            <w:r w:rsidR="00055B28" w:rsidRPr="00BC64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inovacijų veiklų aktyvumą privačiame sektoriuje</w:t>
            </w:r>
            <w:r w:rsidR="00055B28" w:rsidRPr="00BC640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055B28" w:rsidRPr="00BC64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5B28" w:rsidRPr="00BC64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įgyvendinimo</w:t>
            </w:r>
            <w:r w:rsidR="00055B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920985" w:rsidRPr="0047237D" w14:paraId="7D028250" w14:textId="77777777" w:rsidTr="00EC21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8C92" w14:textId="77777777" w:rsidR="00920985" w:rsidRPr="0047237D" w:rsidRDefault="00920985" w:rsidP="00F1202D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87"/>
                <w:tab w:val="left" w:pos="75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B9D2B" w14:textId="77777777" w:rsidR="00920985" w:rsidRPr="0047237D" w:rsidRDefault="00920985" w:rsidP="00F1202D">
            <w:pPr>
              <w:widowControl w:val="0"/>
              <w:tabs>
                <w:tab w:val="left" w:pos="7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7C8C" w14:textId="40167C88" w:rsidR="00920985" w:rsidRPr="0047237D" w:rsidRDefault="00920985" w:rsidP="00920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37D">
              <w:rPr>
                <w:rFonts w:ascii="Times New Roman" w:hAnsi="Times New Roman" w:cs="Times New Roman"/>
                <w:sz w:val="24"/>
                <w:szCs w:val="24"/>
              </w:rPr>
              <w:t>Visi prioritetiniai projektų atrankos kriterijai formuojami taip, kad tik „įmonės“ gauna vertę/naudą dalyvaudamos/vykdydamos tokius projektus. Jei priemonė formuojama tik įmonėms, tuomet tai netrukdo, tačiau jei pvz., mokslo ir studijų institucija turės galimybę būti projekto pareiškėju, o ne tik partneriu, tuomet reikėtų prioritetinius projektų atrankos kriterijus performuluoti, nurodant, kad ne „įmonės“, bet „organizacijos“ MTEP ir inovacijų infrastruktūra gali būti kuriama nauja, plečiama; gautos organizacijos (ne tik „įmonės“) pajamos iš projekto įgyvendinimo metu (...) sukurtos infrastruktūros pagalba sukurtų rinkai produktų santykis yra didesnis (...) ir pan. Atitinkamai koreguotini ir kriterijaus pasirinkimo pagrindimai.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DF7F" w14:textId="10986A48" w:rsidR="00920985" w:rsidRPr="0047237D" w:rsidRDefault="00FE3E23" w:rsidP="009E5EA4">
            <w:pPr>
              <w:widowControl w:val="0"/>
              <w:tabs>
                <w:tab w:val="left" w:pos="7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Atsižvelgta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06C5" w14:textId="77777777" w:rsidR="00920985" w:rsidRPr="0047237D" w:rsidRDefault="00920985" w:rsidP="009E5EA4">
            <w:pPr>
              <w:widowControl w:val="0"/>
              <w:tabs>
                <w:tab w:val="left" w:pos="7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37D" w:rsidRPr="0047237D" w14:paraId="0A3237B7" w14:textId="77777777" w:rsidTr="00B17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1D10" w14:textId="77777777" w:rsidR="0047237D" w:rsidRPr="0047237D" w:rsidRDefault="0047237D" w:rsidP="00F1202D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87"/>
                <w:tab w:val="left" w:pos="75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50F289" w14:textId="0B68B7A2" w:rsidR="0047237D" w:rsidRPr="0047237D" w:rsidRDefault="0047237D" w:rsidP="00F1202D">
            <w:pPr>
              <w:widowControl w:val="0"/>
              <w:tabs>
                <w:tab w:val="left" w:pos="7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37D">
              <w:rPr>
                <w:rFonts w:ascii="Times New Roman" w:hAnsi="Times New Roman" w:cs="Times New Roman"/>
                <w:sz w:val="24"/>
                <w:szCs w:val="24"/>
              </w:rPr>
              <w:t>Vilniaus universiteto ligoninė Santaros klinikos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446B" w14:textId="77777777" w:rsidR="0047237D" w:rsidRPr="0047237D" w:rsidRDefault="0047237D" w:rsidP="003B2C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37D">
              <w:rPr>
                <w:rFonts w:ascii="Times New Roman" w:hAnsi="Times New Roman" w:cs="Times New Roman"/>
                <w:sz w:val="24"/>
                <w:szCs w:val="24"/>
              </w:rPr>
              <w:t xml:space="preserve">Bendras pastebėjimas, kad pasiūlyme nėra akcentuojama tai kad projektai planuojami įgyvendinti 2 etapais, pradedant fundamentiniais tyrimais, kas gali daryti esminę įtaką 2 – am MTEP ir produktų </w:t>
            </w:r>
            <w:proofErr w:type="spellStart"/>
            <w:r w:rsidRPr="0047237D">
              <w:rPr>
                <w:rFonts w:ascii="Times New Roman" w:hAnsi="Times New Roman" w:cs="Times New Roman"/>
                <w:sz w:val="24"/>
                <w:szCs w:val="24"/>
              </w:rPr>
              <w:t>komercinimo</w:t>
            </w:r>
            <w:proofErr w:type="spellEnd"/>
            <w:r w:rsidRPr="0047237D">
              <w:rPr>
                <w:rFonts w:ascii="Times New Roman" w:hAnsi="Times New Roman" w:cs="Times New Roman"/>
                <w:sz w:val="24"/>
                <w:szCs w:val="24"/>
              </w:rPr>
              <w:t xml:space="preserve"> etapui.</w:t>
            </w:r>
          </w:p>
          <w:p w14:paraId="01AE7825" w14:textId="77777777" w:rsidR="0047237D" w:rsidRPr="0047237D" w:rsidRDefault="0047237D" w:rsidP="003B2C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37D">
              <w:rPr>
                <w:rFonts w:ascii="Times New Roman" w:hAnsi="Times New Roman" w:cs="Times New Roman"/>
                <w:sz w:val="24"/>
                <w:szCs w:val="24"/>
              </w:rPr>
              <w:t xml:space="preserve">Dėl šių priežasčių taikyti produkto </w:t>
            </w:r>
            <w:proofErr w:type="spellStart"/>
            <w:r w:rsidRPr="0047237D">
              <w:rPr>
                <w:rFonts w:ascii="Times New Roman" w:hAnsi="Times New Roman" w:cs="Times New Roman"/>
                <w:sz w:val="24"/>
                <w:szCs w:val="24"/>
              </w:rPr>
              <w:t>komercinimo</w:t>
            </w:r>
            <w:proofErr w:type="spellEnd"/>
            <w:r w:rsidRPr="0047237D">
              <w:rPr>
                <w:rFonts w:ascii="Times New Roman" w:hAnsi="Times New Roman" w:cs="Times New Roman"/>
                <w:sz w:val="24"/>
                <w:szCs w:val="24"/>
              </w:rPr>
              <w:t xml:space="preserve"> vertinimui skirtus kriterijus nuo pat projekto pradžios ir fundamentinių tyrimų, nebūtų teisinga ir sunkiai prognozuojama.</w:t>
            </w:r>
          </w:p>
          <w:p w14:paraId="27755833" w14:textId="6AEB6275" w:rsidR="0047237D" w:rsidRPr="0047237D" w:rsidRDefault="0047237D" w:rsidP="003B2C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37D">
              <w:rPr>
                <w:rFonts w:ascii="Times New Roman" w:hAnsi="Times New Roman" w:cs="Times New Roman"/>
                <w:sz w:val="24"/>
                <w:szCs w:val="24"/>
              </w:rPr>
              <w:t>Manome, kad šios priemonės atveju reikėtų skaidyti kriterijus ir jų taikymą priklausomai nuo projekto stadijos.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5B9E" w14:textId="1D0F228D" w:rsidR="0047237D" w:rsidRPr="0047237D" w:rsidRDefault="00055B28" w:rsidP="009E5EA4">
            <w:pPr>
              <w:widowControl w:val="0"/>
              <w:tabs>
                <w:tab w:val="left" w:pos="7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Neatsižvelgta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93FD" w14:textId="58905F99" w:rsidR="0047237D" w:rsidRPr="0047237D" w:rsidRDefault="00055B28" w:rsidP="00F254DD">
            <w:pPr>
              <w:widowControl w:val="0"/>
              <w:tabs>
                <w:tab w:val="left" w:pos="7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Ši priemonė yra formuojama remiantis bendra visų pagal pirmą prioritetą </w:t>
            </w:r>
            <w:r w:rsidRPr="00986369">
              <w:rPr>
                <w:rFonts w:ascii="Times New Roman" w:hAnsi="Times New Roman"/>
                <w:sz w:val="24"/>
                <w:szCs w:val="24"/>
              </w:rPr>
              <w:t xml:space="preserve">„Mokslinių tyrimų, eksperimentinės plėtros ir inovacijų skatinimas“ </w:t>
            </w:r>
            <w:r w:rsidR="00F254DD">
              <w:rPr>
                <w:rFonts w:ascii="Times New Roman" w:hAnsi="Times New Roman"/>
                <w:sz w:val="24"/>
                <w:szCs w:val="24"/>
              </w:rPr>
              <w:t>finansuojamų priemonių logika</w:t>
            </w:r>
            <w:r w:rsidR="000712A5">
              <w:rPr>
                <w:rFonts w:ascii="Times New Roman" w:hAnsi="Times New Roman"/>
                <w:sz w:val="24"/>
                <w:szCs w:val="24"/>
              </w:rPr>
              <w:t xml:space="preserve">, kuri siekia </w:t>
            </w:r>
            <w:r w:rsidR="000712A5">
              <w:rPr>
                <w:rFonts w:ascii="Times New Roman" w:hAnsi="Times New Roman" w:cs="Times New Roman"/>
                <w:sz w:val="24"/>
                <w:szCs w:val="24"/>
              </w:rPr>
              <w:t xml:space="preserve">uždavinio </w:t>
            </w:r>
            <w:r w:rsidR="000712A5" w:rsidRPr="00BC64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„Padidinti mokslinių tyrimų, eksperimentinės plėtros ir inovacijų veiklų aktyvumą privačiame sektoriuje</w:t>
            </w:r>
            <w:r w:rsidR="000712A5" w:rsidRPr="00BC640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071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1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įgyvendinimo. Todėl bendros vizijos turėjimas ir </w:t>
            </w:r>
            <w:r w:rsidR="009E15AA">
              <w:rPr>
                <w:rFonts w:ascii="Times New Roman" w:hAnsi="Times New Roman" w:cs="Times New Roman"/>
                <w:sz w:val="24"/>
                <w:szCs w:val="24"/>
              </w:rPr>
              <w:t>numatomos prognozės leis įvertinti, ar projektas apskritai yra tinkamas įgyvendinti pagal bendrą logiką ir galimai prisidėtų prie nustatytų rodiklių pasiekimo.</w:t>
            </w:r>
          </w:p>
        </w:tc>
      </w:tr>
      <w:tr w:rsidR="0047237D" w:rsidRPr="0047237D" w14:paraId="5F2B51B7" w14:textId="77777777" w:rsidTr="0047237D">
        <w:trPr>
          <w:trHeight w:val="11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C73A" w14:textId="77777777" w:rsidR="0047237D" w:rsidRPr="0047237D" w:rsidRDefault="0047237D" w:rsidP="00F1202D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87"/>
                <w:tab w:val="left" w:pos="75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EB492" w14:textId="77777777" w:rsidR="0047237D" w:rsidRPr="0047237D" w:rsidRDefault="0047237D" w:rsidP="00F1202D">
            <w:pPr>
              <w:widowControl w:val="0"/>
              <w:tabs>
                <w:tab w:val="left" w:pos="7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F6DF" w14:textId="60B5F8D2" w:rsidR="0047237D" w:rsidRPr="0047237D" w:rsidRDefault="0047237D" w:rsidP="0047237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47237D">
              <w:rPr>
                <w:rFonts w:ascii="Times New Roman" w:hAnsi="Times New Roman" w:cs="Times New Roman"/>
                <w:sz w:val="24"/>
                <w:szCs w:val="24"/>
              </w:rPr>
              <w:t>Kriterijuje „</w:t>
            </w:r>
            <w:r w:rsidRPr="0047237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Viešųjų juridinių asmenų, vykdančių MTEP veiklas, gautos pajamos iš vykdomos komercinės veiklos </w:t>
            </w:r>
            <w:r w:rsidRPr="004723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per 3 paskutinius finansinius metus iki paraiškos pateikimo </w:t>
            </w:r>
            <w:r w:rsidRPr="0047237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yra ne mažesnės kaip 250 tūkst. </w:t>
            </w:r>
            <w:proofErr w:type="spellStart"/>
            <w:r w:rsidRPr="0047237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Eur</w:t>
            </w:r>
            <w:proofErr w:type="spellEnd"/>
            <w:r w:rsidRPr="0047237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“ siūloma vietoje „vykdoma komercinė veikla“, rašyti „užsakomieji (komerciniai) moksliniai tyrimai“ arba „MTEP komercinė veikla“.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7479" w14:textId="07F067C4" w:rsidR="0047237D" w:rsidRPr="0047237D" w:rsidRDefault="009E15AA" w:rsidP="009E5EA4">
            <w:pPr>
              <w:widowControl w:val="0"/>
              <w:tabs>
                <w:tab w:val="left" w:pos="7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Neatsižvelgta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06EB" w14:textId="613774A4" w:rsidR="0047237D" w:rsidRPr="0047237D" w:rsidRDefault="00D650AA" w:rsidP="009876E7">
            <w:pPr>
              <w:widowControl w:val="0"/>
              <w:tabs>
                <w:tab w:val="left" w:pos="7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Kadangi</w:t>
            </w:r>
            <w:r w:rsidR="009876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6BEC">
              <w:rPr>
                <w:rFonts w:ascii="Times New Roman" w:hAnsi="Times New Roman" w:cs="Times New Roman"/>
                <w:sz w:val="24"/>
                <w:szCs w:val="24"/>
              </w:rPr>
              <w:t>kriterijumi siekiama nustatyti, kad viešas juridinis asmuo, kuris galės būti ir pareiškėju, ir partneriu, turėtų patirties vyk</w:t>
            </w:r>
            <w:r w:rsidR="009876E7">
              <w:rPr>
                <w:rFonts w:ascii="Times New Roman" w:hAnsi="Times New Roman" w:cs="Times New Roman"/>
                <w:sz w:val="24"/>
                <w:szCs w:val="24"/>
              </w:rPr>
              <w:t xml:space="preserve">dant bet kokią komercinę veiklą, nustatytas toks reikalavimas, kuris yra platesnis negu siūlomas. </w:t>
            </w:r>
          </w:p>
        </w:tc>
      </w:tr>
      <w:tr w:rsidR="0047237D" w:rsidRPr="0047237D" w14:paraId="25144F18" w14:textId="77777777" w:rsidTr="00B17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4399" w14:textId="77777777" w:rsidR="0047237D" w:rsidRPr="0047237D" w:rsidRDefault="0047237D" w:rsidP="00F1202D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87"/>
                <w:tab w:val="left" w:pos="75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21249" w14:textId="77777777" w:rsidR="0047237D" w:rsidRPr="0047237D" w:rsidRDefault="0047237D" w:rsidP="00F1202D">
            <w:pPr>
              <w:widowControl w:val="0"/>
              <w:tabs>
                <w:tab w:val="left" w:pos="7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3BDB" w14:textId="4CDB1CF0" w:rsidR="0047237D" w:rsidRPr="0047237D" w:rsidRDefault="0047237D" w:rsidP="00177A88">
            <w:pPr>
              <w:widowControl w:val="0"/>
              <w:tabs>
                <w:tab w:val="left" w:pos="7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37D">
              <w:rPr>
                <w:rFonts w:ascii="Times New Roman" w:hAnsi="Times New Roman" w:cs="Times New Roman"/>
                <w:sz w:val="24"/>
                <w:szCs w:val="24"/>
              </w:rPr>
              <w:t xml:space="preserve">Kriterijaus </w:t>
            </w:r>
            <w:r w:rsidRPr="0047237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Pr="0047237D">
              <w:rPr>
                <w:rFonts w:ascii="Times New Roman" w:hAnsi="Times New Roman" w:cs="Times New Roman"/>
                <w:sz w:val="24"/>
                <w:szCs w:val="24"/>
              </w:rPr>
              <w:t>Pagrįstas pareiškėjo ir partnerio (-</w:t>
            </w:r>
            <w:proofErr w:type="spellStart"/>
            <w:r w:rsidRPr="0047237D">
              <w:rPr>
                <w:rFonts w:ascii="Times New Roman" w:hAnsi="Times New Roman" w:cs="Times New Roman"/>
                <w:sz w:val="24"/>
                <w:szCs w:val="24"/>
              </w:rPr>
              <w:t>ių</w:t>
            </w:r>
            <w:proofErr w:type="spellEnd"/>
            <w:r w:rsidRPr="0047237D">
              <w:rPr>
                <w:rFonts w:ascii="Times New Roman" w:hAnsi="Times New Roman" w:cs="Times New Roman"/>
                <w:sz w:val="24"/>
                <w:szCs w:val="24"/>
              </w:rPr>
              <w:t>) bendros idėjos įgyvendinimas, pagrįstas projekto reikalingumas pareiškėjo ir partnerio (-</w:t>
            </w:r>
            <w:proofErr w:type="spellStart"/>
            <w:r w:rsidRPr="0047237D">
              <w:rPr>
                <w:rFonts w:ascii="Times New Roman" w:hAnsi="Times New Roman" w:cs="Times New Roman"/>
                <w:sz w:val="24"/>
                <w:szCs w:val="24"/>
              </w:rPr>
              <w:t>ių</w:t>
            </w:r>
            <w:proofErr w:type="spellEnd"/>
            <w:r w:rsidRPr="0047237D">
              <w:rPr>
                <w:rFonts w:ascii="Times New Roman" w:hAnsi="Times New Roman" w:cs="Times New Roman"/>
                <w:sz w:val="24"/>
                <w:szCs w:val="24"/>
              </w:rPr>
              <w:t>) verslo vizijai įgyvendinti“ siūloma netaikyti projektams, kuriuose pirmame etape vykdomi fundamentiniai tyrimai.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2962" w14:textId="6A10193D" w:rsidR="0047237D" w:rsidRPr="0047237D" w:rsidRDefault="00E70094" w:rsidP="009E5EA4">
            <w:pPr>
              <w:widowControl w:val="0"/>
              <w:tabs>
                <w:tab w:val="left" w:pos="7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Nea</w:t>
            </w:r>
            <w:r w:rsidR="00E971A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971AB">
              <w:rPr>
                <w:rFonts w:ascii="Times New Roman" w:hAnsi="Times New Roman" w:cs="Times New Roman"/>
                <w:sz w:val="24"/>
                <w:szCs w:val="24"/>
              </w:rPr>
              <w:t>ižvelgta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72DD" w14:textId="0141320E" w:rsidR="0047237D" w:rsidRPr="0047237D" w:rsidRDefault="00E971AB" w:rsidP="009E5EA4">
            <w:pPr>
              <w:widowControl w:val="0"/>
              <w:tabs>
                <w:tab w:val="left" w:pos="7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Ši priemonė yra formuojama remiantis bendra visų pagal pirmą prioritetą </w:t>
            </w:r>
            <w:r w:rsidRPr="00986369">
              <w:rPr>
                <w:rFonts w:ascii="Times New Roman" w:hAnsi="Times New Roman"/>
                <w:sz w:val="24"/>
                <w:szCs w:val="24"/>
              </w:rPr>
              <w:t xml:space="preserve">„Mokslinių tyrimų, eksperimentinės plėtros ir inovacijų skatinimas“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finansuojamų priemonių logika, kuri siekia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uždavinio </w:t>
            </w:r>
            <w:r w:rsidRPr="00BC64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„Padidinti mokslinių tyrimų, eksperimentinės plėtros ir inovacijų veiklų aktyvumą privačiame sektoriuje</w:t>
            </w:r>
            <w:r w:rsidRPr="00BC640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įgyvendinimo. Todėl bendros vizijos turėjimas ir numatomos prognozės leis įvertinti, ar projektas apskritai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yra tinkamas įgyvendinti pagal bendrą logiką ir galimai prisidėtų prie nustatytų rodiklių pasiekimo.</w:t>
            </w:r>
          </w:p>
        </w:tc>
      </w:tr>
      <w:tr w:rsidR="0047237D" w:rsidRPr="0047237D" w14:paraId="47A9588B" w14:textId="77777777" w:rsidTr="00B17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4DA2" w14:textId="77777777" w:rsidR="0047237D" w:rsidRPr="0047237D" w:rsidRDefault="0047237D" w:rsidP="00F1202D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87"/>
                <w:tab w:val="left" w:pos="75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13F88" w14:textId="77777777" w:rsidR="0047237D" w:rsidRPr="0047237D" w:rsidRDefault="0047237D" w:rsidP="00F1202D">
            <w:pPr>
              <w:widowControl w:val="0"/>
              <w:tabs>
                <w:tab w:val="left" w:pos="7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0BAA" w14:textId="3B9EF00F" w:rsidR="0047237D" w:rsidRPr="0047237D" w:rsidRDefault="0047237D" w:rsidP="009E5EA4">
            <w:pPr>
              <w:widowControl w:val="0"/>
              <w:tabs>
                <w:tab w:val="left" w:pos="7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3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237D">
              <w:rPr>
                <w:rFonts w:ascii="Times New Roman" w:hAnsi="Times New Roman" w:cs="Times New Roman"/>
                <w:sz w:val="24"/>
                <w:szCs w:val="24"/>
              </w:rPr>
              <w:t>Kriterijaus „Įvertintas p</w:t>
            </w:r>
            <w:r w:rsidRPr="0047237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rojekto metu sukurtų produktų </w:t>
            </w:r>
            <w:proofErr w:type="spellStart"/>
            <w:r w:rsidRPr="0047237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komercinimo</w:t>
            </w:r>
            <w:proofErr w:type="spellEnd"/>
            <w:r w:rsidRPr="0047237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potencialas“ turėtų būti netaikomas</w:t>
            </w:r>
            <w:r w:rsidRPr="0047237D">
              <w:rPr>
                <w:rFonts w:ascii="Times New Roman" w:hAnsi="Times New Roman" w:cs="Times New Roman"/>
                <w:sz w:val="24"/>
                <w:szCs w:val="24"/>
              </w:rPr>
              <w:t xml:space="preserve"> projektams, kuriuose pirmame etape vykdomi fundamentiniai tyrimai.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48A2" w14:textId="13FE4F51" w:rsidR="0047237D" w:rsidRPr="0047237D" w:rsidRDefault="00E971AB" w:rsidP="009E5EA4">
            <w:pPr>
              <w:widowControl w:val="0"/>
              <w:tabs>
                <w:tab w:val="left" w:pos="7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Atsižvelgta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3A75" w14:textId="47EF3468" w:rsidR="0047237D" w:rsidRPr="0047237D" w:rsidRDefault="00D650AA" w:rsidP="00D650AA">
            <w:pPr>
              <w:widowControl w:val="0"/>
              <w:tabs>
                <w:tab w:val="left" w:pos="7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Šio kriterijaus atsisakoma</w:t>
            </w:r>
          </w:p>
        </w:tc>
      </w:tr>
      <w:tr w:rsidR="0047237D" w:rsidRPr="0047237D" w14:paraId="50608F8C" w14:textId="77777777" w:rsidTr="00B17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9A3A" w14:textId="77777777" w:rsidR="0047237D" w:rsidRPr="0047237D" w:rsidRDefault="0047237D" w:rsidP="00F1202D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87"/>
                <w:tab w:val="left" w:pos="75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44C82" w14:textId="77777777" w:rsidR="0047237D" w:rsidRPr="0047237D" w:rsidRDefault="0047237D" w:rsidP="00F1202D">
            <w:pPr>
              <w:widowControl w:val="0"/>
              <w:tabs>
                <w:tab w:val="left" w:pos="7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DBDC" w14:textId="2B986D50" w:rsidR="0047237D" w:rsidRPr="0047237D" w:rsidRDefault="0047237D" w:rsidP="009E5EA4">
            <w:pPr>
              <w:widowControl w:val="0"/>
              <w:tabs>
                <w:tab w:val="left" w:pos="7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37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Kriterijaus „Projekto metu sukurto (-</w:t>
            </w:r>
            <w:proofErr w:type="spellStart"/>
            <w:r w:rsidRPr="0047237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os</w:t>
            </w:r>
            <w:proofErr w:type="spellEnd"/>
            <w:r w:rsidRPr="0047237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) produkto (inovacijos) reikšmingumo lygis“ turėtų būti netaikomas</w:t>
            </w:r>
            <w:r w:rsidRPr="0047237D">
              <w:rPr>
                <w:rFonts w:ascii="Times New Roman" w:hAnsi="Times New Roman" w:cs="Times New Roman"/>
                <w:sz w:val="24"/>
                <w:szCs w:val="24"/>
              </w:rPr>
              <w:t xml:space="preserve"> projektams, kuriuose pirmame etape vykdomi fundamentiniai tyrimai.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6F73" w14:textId="5619B172" w:rsidR="0047237D" w:rsidRPr="0047237D" w:rsidRDefault="00E971AB" w:rsidP="009E5EA4">
            <w:pPr>
              <w:widowControl w:val="0"/>
              <w:tabs>
                <w:tab w:val="left" w:pos="7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Neatsižvelgta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512A" w14:textId="6163A0D5" w:rsidR="0047237D" w:rsidRPr="0047237D" w:rsidRDefault="00E971AB" w:rsidP="009E5EA4">
            <w:pPr>
              <w:widowControl w:val="0"/>
              <w:tabs>
                <w:tab w:val="left" w:pos="7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Ši priemonė yra formuojama remiantis bendra visų pagal pirmą prioritetą </w:t>
            </w:r>
            <w:r w:rsidRPr="00986369">
              <w:rPr>
                <w:rFonts w:ascii="Times New Roman" w:hAnsi="Times New Roman"/>
                <w:sz w:val="24"/>
                <w:szCs w:val="24"/>
              </w:rPr>
              <w:t xml:space="preserve">„Mokslinių tyrimų, eksperimentinės plėtros ir inovacijų skatinimas“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finansuojamų priemonių logika, kuri siekia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uždavinio </w:t>
            </w:r>
            <w:r w:rsidRPr="00BC64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„Padidinti mokslinių tyrimų, eksperimentinės plėtros ir inovacijų veiklų aktyvumą privačiame sektoriuje</w:t>
            </w:r>
            <w:r w:rsidRPr="00BC640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įgyvendinimo. Todėl bendros vizijos turėjimas ir numatomos prognozės leis įvertinti, ar projektas apskritai yra tinkamas įgyvendinti pagal bendrą logiką ir galimai prisidėtų prie nustatytų rodiklių pasiekimo.</w:t>
            </w:r>
          </w:p>
        </w:tc>
      </w:tr>
      <w:tr w:rsidR="0047237D" w:rsidRPr="0047237D" w14:paraId="292A7DC4" w14:textId="77777777" w:rsidTr="00B17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D1DA" w14:textId="77777777" w:rsidR="0047237D" w:rsidRPr="0047237D" w:rsidRDefault="0047237D" w:rsidP="00F1202D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87"/>
                <w:tab w:val="left" w:pos="75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B8165" w14:textId="77777777" w:rsidR="0047237D" w:rsidRPr="0047237D" w:rsidRDefault="0047237D" w:rsidP="00F1202D">
            <w:pPr>
              <w:widowControl w:val="0"/>
              <w:tabs>
                <w:tab w:val="left" w:pos="7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DA6E" w14:textId="30B590CE" w:rsidR="0047237D" w:rsidRPr="0047237D" w:rsidRDefault="0047237D" w:rsidP="009A519F">
            <w:pPr>
              <w:widowControl w:val="0"/>
              <w:tabs>
                <w:tab w:val="left" w:pos="7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37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Kriterijaus „Projekto įgyvendinimo metu ir 3 metus po projekto veiklų įgyvendinimo pabaigos pareiškėjų ir partnerių pajamų, gautų </w:t>
            </w:r>
            <w:r w:rsidRPr="0047237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  <w:t xml:space="preserve">iš įgyvendinto projekto dėka sukurtų ir rinkai </w:t>
            </w:r>
            <w:r w:rsidRPr="0047237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  <w:lastRenderedPageBreak/>
              <w:t>pateiktų produktų, santykis su tinkamomis finansuoti projekto išlaidomis</w:t>
            </w:r>
            <w:r w:rsidRPr="0047237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“ </w:t>
            </w:r>
            <w:r w:rsidRPr="0047237D">
              <w:rPr>
                <w:rFonts w:ascii="Times New Roman" w:hAnsi="Times New Roman" w:cs="Times New Roman"/>
                <w:sz w:val="24"/>
                <w:szCs w:val="24"/>
              </w:rPr>
              <w:t>tikslingumas svarstytinas apskritai, nes planuojant projektą nuo 1 stadijos prognozuoti  būsimų pajamų santykį su tinkamomis finansuoti išlaidomis sunkiai įmanoma, todėl gali būti pateikiami nerealūs skaičiavimai, siekiant surinkti kuo didesnius  prognostinius balus.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8686" w14:textId="5BC60D6F" w:rsidR="0047237D" w:rsidRPr="0047237D" w:rsidRDefault="00D37141" w:rsidP="009E5EA4">
            <w:pPr>
              <w:widowControl w:val="0"/>
              <w:tabs>
                <w:tab w:val="left" w:pos="7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Neatsižvelgta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B758" w14:textId="53BBA322" w:rsidR="0047237D" w:rsidRPr="0047237D" w:rsidRDefault="00D37141" w:rsidP="009E5EA4">
            <w:pPr>
              <w:widowControl w:val="0"/>
              <w:tabs>
                <w:tab w:val="left" w:pos="7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Ši priemonė yra formuojama remiantis bendra visų pagal pirmą prioritetą </w:t>
            </w:r>
            <w:r w:rsidRPr="00986369">
              <w:rPr>
                <w:rFonts w:ascii="Times New Roman" w:hAnsi="Times New Roman"/>
                <w:sz w:val="24"/>
                <w:szCs w:val="24"/>
              </w:rPr>
              <w:t xml:space="preserve">„Mokslinių tyrimų, eksperimentinės </w:t>
            </w:r>
            <w:r w:rsidRPr="009863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plėtros ir inovacijų skatinimas“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finansuojamų priemonių logika, kuri siekia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uždavinio </w:t>
            </w:r>
            <w:r w:rsidRPr="00BC64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„Padidinti mokslinių tyrimų, eksperimentinės plėtros ir inovacijų veiklų aktyvumą privačiame sektoriuje</w:t>
            </w:r>
            <w:r w:rsidRPr="00BC640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įgyvendinimo. Todėl bendros vizijos turėjimas ir numatomos prognozės leis įvertinti, ar projektas apskritai yra tinkamas įgyvendinti pagal bendrą logiką ir galimai prisidėtų prie nustatytų rodiklių pasiekimo.</w:t>
            </w:r>
          </w:p>
        </w:tc>
      </w:tr>
    </w:tbl>
    <w:p w14:paraId="6EF75EDE" w14:textId="2C0A7BFE" w:rsidR="00BA3F0D" w:rsidRPr="0047237D" w:rsidRDefault="00BA3F0D" w:rsidP="00DD645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A3F0D" w:rsidRPr="0047237D" w:rsidSect="00777025">
      <w:headerReference w:type="default" r:id="rId9"/>
      <w:pgSz w:w="16838" w:h="11906" w:orient="landscape"/>
      <w:pgMar w:top="1699" w:right="1699" w:bottom="562" w:left="1138" w:header="562" w:footer="562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E5FF8E" w14:textId="77777777" w:rsidR="00777025" w:rsidRDefault="00777025" w:rsidP="00777025">
      <w:pPr>
        <w:spacing w:after="0" w:line="240" w:lineRule="auto"/>
      </w:pPr>
      <w:r>
        <w:separator/>
      </w:r>
    </w:p>
  </w:endnote>
  <w:endnote w:type="continuationSeparator" w:id="0">
    <w:p w14:paraId="0DF51537" w14:textId="77777777" w:rsidR="00777025" w:rsidRDefault="00777025" w:rsidP="00777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1E0630" w14:textId="77777777" w:rsidR="00777025" w:rsidRDefault="00777025" w:rsidP="00777025">
      <w:pPr>
        <w:spacing w:after="0" w:line="240" w:lineRule="auto"/>
      </w:pPr>
      <w:r>
        <w:separator/>
      </w:r>
    </w:p>
  </w:footnote>
  <w:footnote w:type="continuationSeparator" w:id="0">
    <w:p w14:paraId="7343AA2E" w14:textId="77777777" w:rsidR="00777025" w:rsidRDefault="00777025" w:rsidP="00777025">
      <w:pPr>
        <w:spacing w:after="0" w:line="240" w:lineRule="auto"/>
      </w:pPr>
      <w:r>
        <w:continuationSeparator/>
      </w:r>
    </w:p>
  </w:footnote>
  <w:footnote w:id="1">
    <w:p w14:paraId="3C77481C" w14:textId="7454AD25" w:rsidR="00FE3E23" w:rsidRPr="00FE3E23" w:rsidRDefault="00FE3E23" w:rsidP="00FE3E2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E3E23">
        <w:rPr>
          <w:rFonts w:ascii="Times New Roman" w:hAnsi="Times New Roman"/>
        </w:rPr>
        <w:t>2014 m. birželio 17 d. Komisijos reglamento (ES) Nr. 651/2014, kuriuo tam tikrų kategorijų pagalba skelbiama suderinama su vidaus rinka taikant Sutarties 107 ir 108 straipsnius</w:t>
      </w:r>
      <w:r w:rsidRPr="00FE3E23" w:rsidDel="005C574B">
        <w:rPr>
          <w:rFonts w:ascii="Times New Roman" w:hAnsi="Times New Roman"/>
        </w:rPr>
        <w:t xml:space="preserve"> </w:t>
      </w:r>
      <w:r w:rsidRPr="00FE3E23">
        <w:rPr>
          <w:rFonts w:ascii="Times New Roman" w:hAnsi="Times New Roman"/>
        </w:rPr>
        <w:t>(OL 2014 L 187, p. 1), su paskutiniais pakeitimais, padarytais 2017 m. birželio 16 d. reglamentu (ES) Nr. 2017/1084 (OL 2017 L 153, p. 1)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3766718"/>
      <w:docPartObj>
        <w:docPartGallery w:val="Page Numbers (Top of Page)"/>
        <w:docPartUnique/>
      </w:docPartObj>
    </w:sdtPr>
    <w:sdtEndPr/>
    <w:sdtContent>
      <w:p w14:paraId="388476CD" w14:textId="18ABA119" w:rsidR="00777025" w:rsidRDefault="0077702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58E">
          <w:rPr>
            <w:noProof/>
          </w:rPr>
          <w:t>5</w:t>
        </w:r>
        <w:r>
          <w:fldChar w:fldCharType="end"/>
        </w:r>
      </w:p>
    </w:sdtContent>
  </w:sdt>
  <w:p w14:paraId="0B7EFA44" w14:textId="77777777" w:rsidR="00777025" w:rsidRDefault="007770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729D2"/>
    <w:multiLevelType w:val="hybridMultilevel"/>
    <w:tmpl w:val="76389F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C1DDE"/>
    <w:multiLevelType w:val="hybridMultilevel"/>
    <w:tmpl w:val="B0C4DF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98701F"/>
    <w:multiLevelType w:val="hybridMultilevel"/>
    <w:tmpl w:val="3FA89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8735E63"/>
    <w:multiLevelType w:val="multilevel"/>
    <w:tmpl w:val="B224B6E4"/>
    <w:lvl w:ilvl="0">
      <w:start w:val="89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6CB365AD"/>
    <w:multiLevelType w:val="hybridMultilevel"/>
    <w:tmpl w:val="9D2C41BA"/>
    <w:lvl w:ilvl="0" w:tplc="0F4E5EA6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5A1CBF"/>
    <w:multiLevelType w:val="hybridMultilevel"/>
    <w:tmpl w:val="F0F695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F0D"/>
    <w:rsid w:val="00033D03"/>
    <w:rsid w:val="00034FFA"/>
    <w:rsid w:val="00055B28"/>
    <w:rsid w:val="000712A5"/>
    <w:rsid w:val="00084DBB"/>
    <w:rsid w:val="000853B8"/>
    <w:rsid w:val="000869AF"/>
    <w:rsid w:val="000908E6"/>
    <w:rsid w:val="000A6594"/>
    <w:rsid w:val="000B706C"/>
    <w:rsid w:val="000C2DF2"/>
    <w:rsid w:val="000C7F3F"/>
    <w:rsid w:val="000E0FE8"/>
    <w:rsid w:val="00120DD4"/>
    <w:rsid w:val="001252F3"/>
    <w:rsid w:val="001456F5"/>
    <w:rsid w:val="00163B35"/>
    <w:rsid w:val="00177A88"/>
    <w:rsid w:val="0018558E"/>
    <w:rsid w:val="001E4C1E"/>
    <w:rsid w:val="001F4820"/>
    <w:rsid w:val="001F5146"/>
    <w:rsid w:val="00202A39"/>
    <w:rsid w:val="00230506"/>
    <w:rsid w:val="0025097A"/>
    <w:rsid w:val="0025376C"/>
    <w:rsid w:val="00265236"/>
    <w:rsid w:val="002838C3"/>
    <w:rsid w:val="002858B4"/>
    <w:rsid w:val="00297EEB"/>
    <w:rsid w:val="002A51F3"/>
    <w:rsid w:val="002E604B"/>
    <w:rsid w:val="0031740B"/>
    <w:rsid w:val="00335573"/>
    <w:rsid w:val="00335E1A"/>
    <w:rsid w:val="0034649E"/>
    <w:rsid w:val="00347D23"/>
    <w:rsid w:val="00352EE9"/>
    <w:rsid w:val="003568F3"/>
    <w:rsid w:val="00370A5B"/>
    <w:rsid w:val="00384103"/>
    <w:rsid w:val="00387176"/>
    <w:rsid w:val="003B2C7C"/>
    <w:rsid w:val="003E2F04"/>
    <w:rsid w:val="003E753D"/>
    <w:rsid w:val="0044437C"/>
    <w:rsid w:val="00446C05"/>
    <w:rsid w:val="0045583D"/>
    <w:rsid w:val="00463ACD"/>
    <w:rsid w:val="00464776"/>
    <w:rsid w:val="0047237D"/>
    <w:rsid w:val="004829AC"/>
    <w:rsid w:val="00485FA3"/>
    <w:rsid w:val="00496A56"/>
    <w:rsid w:val="004C00FD"/>
    <w:rsid w:val="004C254F"/>
    <w:rsid w:val="004C4549"/>
    <w:rsid w:val="004C5DEA"/>
    <w:rsid w:val="004F0FBA"/>
    <w:rsid w:val="005111AB"/>
    <w:rsid w:val="0051352A"/>
    <w:rsid w:val="00516848"/>
    <w:rsid w:val="005648D5"/>
    <w:rsid w:val="00573791"/>
    <w:rsid w:val="00580036"/>
    <w:rsid w:val="005A36B4"/>
    <w:rsid w:val="005A6DF3"/>
    <w:rsid w:val="005B229B"/>
    <w:rsid w:val="005D3B6A"/>
    <w:rsid w:val="005D6F4A"/>
    <w:rsid w:val="00602F63"/>
    <w:rsid w:val="00604884"/>
    <w:rsid w:val="00606663"/>
    <w:rsid w:val="00606C19"/>
    <w:rsid w:val="006400DC"/>
    <w:rsid w:val="0065168F"/>
    <w:rsid w:val="00654CAB"/>
    <w:rsid w:val="00654FFE"/>
    <w:rsid w:val="00656B38"/>
    <w:rsid w:val="006A557C"/>
    <w:rsid w:val="006A55FD"/>
    <w:rsid w:val="006B270A"/>
    <w:rsid w:val="006C0D4F"/>
    <w:rsid w:val="006D27A4"/>
    <w:rsid w:val="006D742B"/>
    <w:rsid w:val="006E0AAC"/>
    <w:rsid w:val="006F46B9"/>
    <w:rsid w:val="00704AF8"/>
    <w:rsid w:val="00712EA0"/>
    <w:rsid w:val="007573E3"/>
    <w:rsid w:val="00764646"/>
    <w:rsid w:val="00764885"/>
    <w:rsid w:val="00777025"/>
    <w:rsid w:val="00780910"/>
    <w:rsid w:val="007A1CF2"/>
    <w:rsid w:val="007D7042"/>
    <w:rsid w:val="007E0CFE"/>
    <w:rsid w:val="00860124"/>
    <w:rsid w:val="00877216"/>
    <w:rsid w:val="008836C9"/>
    <w:rsid w:val="008C248C"/>
    <w:rsid w:val="00901891"/>
    <w:rsid w:val="009072E8"/>
    <w:rsid w:val="00920985"/>
    <w:rsid w:val="00923187"/>
    <w:rsid w:val="00943F40"/>
    <w:rsid w:val="00952D89"/>
    <w:rsid w:val="009567FB"/>
    <w:rsid w:val="00963CFD"/>
    <w:rsid w:val="00964D98"/>
    <w:rsid w:val="00973C61"/>
    <w:rsid w:val="009800A0"/>
    <w:rsid w:val="00986343"/>
    <w:rsid w:val="0098679B"/>
    <w:rsid w:val="009876E7"/>
    <w:rsid w:val="0099342A"/>
    <w:rsid w:val="00993532"/>
    <w:rsid w:val="009A519F"/>
    <w:rsid w:val="009E15AA"/>
    <w:rsid w:val="009E5EA4"/>
    <w:rsid w:val="009F7F65"/>
    <w:rsid w:val="00A01473"/>
    <w:rsid w:val="00A06917"/>
    <w:rsid w:val="00A35EA6"/>
    <w:rsid w:val="00A37A9F"/>
    <w:rsid w:val="00A437DE"/>
    <w:rsid w:val="00A50B41"/>
    <w:rsid w:val="00A54AE6"/>
    <w:rsid w:val="00A856E8"/>
    <w:rsid w:val="00A8700F"/>
    <w:rsid w:val="00A919BF"/>
    <w:rsid w:val="00A924F7"/>
    <w:rsid w:val="00A9728D"/>
    <w:rsid w:val="00A97AD2"/>
    <w:rsid w:val="00AA01C3"/>
    <w:rsid w:val="00AA6DBB"/>
    <w:rsid w:val="00AA7688"/>
    <w:rsid w:val="00AB249F"/>
    <w:rsid w:val="00AC3F08"/>
    <w:rsid w:val="00AD12D9"/>
    <w:rsid w:val="00AD77DC"/>
    <w:rsid w:val="00AE3F36"/>
    <w:rsid w:val="00AF2CF9"/>
    <w:rsid w:val="00B17DE2"/>
    <w:rsid w:val="00B95252"/>
    <w:rsid w:val="00B96C37"/>
    <w:rsid w:val="00BA32FF"/>
    <w:rsid w:val="00BA3F0D"/>
    <w:rsid w:val="00BB4D3C"/>
    <w:rsid w:val="00BC1A7C"/>
    <w:rsid w:val="00BD57EF"/>
    <w:rsid w:val="00BF6BEC"/>
    <w:rsid w:val="00C22B1F"/>
    <w:rsid w:val="00C315A4"/>
    <w:rsid w:val="00C47F90"/>
    <w:rsid w:val="00C540C7"/>
    <w:rsid w:val="00C947C0"/>
    <w:rsid w:val="00C97EA2"/>
    <w:rsid w:val="00CD2F5C"/>
    <w:rsid w:val="00CD341A"/>
    <w:rsid w:val="00CF0986"/>
    <w:rsid w:val="00D13392"/>
    <w:rsid w:val="00D37141"/>
    <w:rsid w:val="00D53711"/>
    <w:rsid w:val="00D650AA"/>
    <w:rsid w:val="00D70901"/>
    <w:rsid w:val="00D863A4"/>
    <w:rsid w:val="00DB1FCC"/>
    <w:rsid w:val="00DB496D"/>
    <w:rsid w:val="00DC2B1B"/>
    <w:rsid w:val="00DC6E63"/>
    <w:rsid w:val="00DD6454"/>
    <w:rsid w:val="00E0270F"/>
    <w:rsid w:val="00E15BD9"/>
    <w:rsid w:val="00E26566"/>
    <w:rsid w:val="00E441A4"/>
    <w:rsid w:val="00E51F29"/>
    <w:rsid w:val="00E62BAB"/>
    <w:rsid w:val="00E70094"/>
    <w:rsid w:val="00E83815"/>
    <w:rsid w:val="00E847C4"/>
    <w:rsid w:val="00E94935"/>
    <w:rsid w:val="00E96E46"/>
    <w:rsid w:val="00E971AB"/>
    <w:rsid w:val="00EA5CDC"/>
    <w:rsid w:val="00EB6241"/>
    <w:rsid w:val="00EC21AE"/>
    <w:rsid w:val="00EE1F51"/>
    <w:rsid w:val="00EE21CB"/>
    <w:rsid w:val="00F060EB"/>
    <w:rsid w:val="00F1202D"/>
    <w:rsid w:val="00F15016"/>
    <w:rsid w:val="00F1567B"/>
    <w:rsid w:val="00F21AD3"/>
    <w:rsid w:val="00F254DD"/>
    <w:rsid w:val="00F32FDA"/>
    <w:rsid w:val="00F6073D"/>
    <w:rsid w:val="00F6129C"/>
    <w:rsid w:val="00F631C4"/>
    <w:rsid w:val="00F8022F"/>
    <w:rsid w:val="00FA7172"/>
    <w:rsid w:val="00FB2FA8"/>
    <w:rsid w:val="00FE3E23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108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F0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F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5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CDC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rsid w:val="007A1CF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7A1CF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1CF2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Hyperlink">
    <w:name w:val="Hyperlink"/>
    <w:basedOn w:val="DefaultParagraphFont"/>
    <w:uiPriority w:val="99"/>
    <w:unhideWhenUsed/>
    <w:rsid w:val="00DB1FCC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C1E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C1E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777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025"/>
  </w:style>
  <w:style w:type="paragraph" w:styleId="Footer">
    <w:name w:val="footer"/>
    <w:basedOn w:val="Normal"/>
    <w:link w:val="FooterChar"/>
    <w:uiPriority w:val="99"/>
    <w:unhideWhenUsed/>
    <w:rsid w:val="00777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025"/>
  </w:style>
  <w:style w:type="paragraph" w:styleId="FootnoteText">
    <w:name w:val="footnote text"/>
    <w:basedOn w:val="Normal"/>
    <w:link w:val="FootnoteTextChar"/>
    <w:uiPriority w:val="99"/>
    <w:semiHidden/>
    <w:unhideWhenUsed/>
    <w:rsid w:val="00F060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60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60E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F0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F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5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CDC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rsid w:val="007A1CF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7A1CF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1CF2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Hyperlink">
    <w:name w:val="Hyperlink"/>
    <w:basedOn w:val="DefaultParagraphFont"/>
    <w:uiPriority w:val="99"/>
    <w:unhideWhenUsed/>
    <w:rsid w:val="00DB1FCC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C1E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C1E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777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025"/>
  </w:style>
  <w:style w:type="paragraph" w:styleId="Footer">
    <w:name w:val="footer"/>
    <w:basedOn w:val="Normal"/>
    <w:link w:val="FooterChar"/>
    <w:uiPriority w:val="99"/>
    <w:unhideWhenUsed/>
    <w:rsid w:val="00777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025"/>
  </w:style>
  <w:style w:type="paragraph" w:styleId="FootnoteText">
    <w:name w:val="footnote text"/>
    <w:basedOn w:val="Normal"/>
    <w:link w:val="FootnoteTextChar"/>
    <w:uiPriority w:val="99"/>
    <w:semiHidden/>
    <w:unhideWhenUsed/>
    <w:rsid w:val="00F060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60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60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80FC9-6CD8-4D9E-99DD-91055DD43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4369</Words>
  <Characters>2491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LVPA</Company>
  <LinksUpToDate>false</LinksUpToDate>
  <CharactersWithSpaces>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Urbikaite Gintare</dc:creator>
  <cp:lastModifiedBy>Strolyte Alge</cp:lastModifiedBy>
  <cp:revision>2</cp:revision>
  <dcterms:created xsi:type="dcterms:W3CDTF">2018-01-08T12:02:00Z</dcterms:created>
  <dcterms:modified xsi:type="dcterms:W3CDTF">2018-01-08T12:02:00Z</dcterms:modified>
</cp:coreProperties>
</file>