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1A6C18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1A6C18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A7FF6">
        <w:rPr>
          <w:rFonts w:ascii="Times New Roman" w:hAnsi="Times New Roman"/>
          <w:sz w:val="24"/>
          <w:szCs w:val="24"/>
          <w:lang w:val="lt-LT"/>
        </w:rPr>
        <w:t>gegužės 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7A7FF6">
        <w:rPr>
          <w:rFonts w:ascii="Times New Roman" w:hAnsi="Times New Roman"/>
          <w:sz w:val="24"/>
          <w:szCs w:val="24"/>
          <w:lang w:val="lt-LT"/>
        </w:rPr>
        <w:t>226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7D6F22">
      <w:pPr>
        <w:spacing w:line="30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</w:t>
      </w:r>
      <w:r w:rsidR="00A70D1B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sąrašu Nr. 08.1.1-CPVA-R-407-</w:t>
      </w:r>
      <w:r w:rsidR="00913379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1, patvirtintu </w:t>
      </w:r>
      <w:r w:rsidR="00913379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regiono plėtros tarybos 2016 m. </w:t>
      </w:r>
      <w:r w:rsidR="00CD450C">
        <w:rPr>
          <w:rFonts w:ascii="Times New Roman" w:hAnsi="Times New Roman"/>
          <w:sz w:val="24"/>
          <w:szCs w:val="24"/>
          <w:lang w:val="lt-LT"/>
        </w:rPr>
        <w:t>gruodžio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450C">
        <w:rPr>
          <w:rFonts w:ascii="Times New Roman" w:hAnsi="Times New Roman"/>
          <w:sz w:val="24"/>
          <w:szCs w:val="24"/>
          <w:lang w:val="lt-LT"/>
        </w:rPr>
        <w:t>30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284D83">
        <w:rPr>
          <w:rFonts w:ascii="Times New Roman" w:hAnsi="Times New Roman"/>
          <w:sz w:val="24"/>
          <w:szCs w:val="24"/>
          <w:lang w:val="lt-LT"/>
        </w:rPr>
        <w:t>1</w:t>
      </w:r>
      <w:r w:rsidR="00BE5609">
        <w:rPr>
          <w:rFonts w:ascii="Times New Roman" w:hAnsi="Times New Roman"/>
          <w:sz w:val="24"/>
          <w:szCs w:val="24"/>
          <w:lang w:val="lt-LT"/>
        </w:rPr>
        <w:t>S-</w:t>
      </w:r>
      <w:r w:rsidR="00CD450C">
        <w:rPr>
          <w:rFonts w:ascii="Times New Roman" w:hAnsi="Times New Roman"/>
          <w:sz w:val="24"/>
          <w:szCs w:val="24"/>
          <w:lang w:val="lt-LT"/>
        </w:rPr>
        <w:t>60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</w:t>
      </w:r>
      <w:r w:rsidR="00CD450C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sąrašo patvirtinimo“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4466F4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466F4">
        <w:rPr>
          <w:rFonts w:ascii="Times New Roman" w:hAnsi="Times New Roman"/>
          <w:sz w:val="24"/>
          <w:szCs w:val="24"/>
          <w:lang w:val="lt-LT"/>
        </w:rPr>
        <w:t>i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4466F4">
        <w:rPr>
          <w:rFonts w:ascii="Times New Roman" w:hAnsi="Times New Roman"/>
          <w:sz w:val="24"/>
          <w:szCs w:val="24"/>
          <w:lang w:val="lt-LT"/>
        </w:rPr>
        <w:t>ės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466F4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Kauno regiono projektų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466F4">
        <w:rPr>
          <w:rFonts w:ascii="Times New Roman" w:hAnsi="Times New Roman"/>
          <w:sz w:val="24"/>
          <w:szCs w:val="24"/>
          <w:lang w:val="lt-LT"/>
        </w:rPr>
        <w:t>u Nr. 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21</w:t>
      </w:r>
      <w:r w:rsidR="004466F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Kauno regiono plėtros tarybos 2016 m. spalio 28 d. sprendimu Nr. 51/2S-56 </w:t>
      </w:r>
      <w:r w:rsidR="004466F4" w:rsidRPr="00AB5BCC">
        <w:rPr>
          <w:rFonts w:ascii="Times New Roman" w:eastAsia="Calibri" w:hAnsi="Times New Roman"/>
          <w:sz w:val="24"/>
          <w:szCs w:val="24"/>
          <w:lang w:val="lt-LT"/>
        </w:rPr>
        <w:t>„Dėl</w:t>
      </w:r>
      <w:r w:rsidR="007D6F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</w:t>
      </w:r>
      <w:r w:rsidR="007D6F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4466F4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466F4">
        <w:rPr>
          <w:rFonts w:ascii="Times New Roman" w:hAnsi="Times New Roman"/>
          <w:sz w:val="24"/>
          <w:szCs w:val="24"/>
          <w:lang w:val="lt-LT"/>
        </w:rPr>
        <w:t>i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4466F4">
        <w:rPr>
          <w:rFonts w:ascii="Times New Roman" w:hAnsi="Times New Roman"/>
          <w:sz w:val="24"/>
          <w:szCs w:val="24"/>
          <w:lang w:val="lt-LT"/>
        </w:rPr>
        <w:t>ės Nr.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466F4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Kauno </w:t>
      </w:r>
      <w:r w:rsidR="004466F4">
        <w:rPr>
          <w:rFonts w:ascii="Times New Roman" w:hAnsi="Times New Roman"/>
          <w:sz w:val="24"/>
          <w:szCs w:val="24"/>
          <w:lang w:val="lt-LT"/>
        </w:rPr>
        <w:lastRenderedPageBreak/>
        <w:t xml:space="preserve">regiono projektų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4466F4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944A3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2944A3">
        <w:rPr>
          <w:rFonts w:ascii="Times New Roman" w:hAnsi="Times New Roman"/>
          <w:sz w:val="24"/>
          <w:szCs w:val="24"/>
          <w:lang w:val="lt-LT"/>
        </w:rPr>
        <w:t>ės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944A3">
        <w:rPr>
          <w:rFonts w:ascii="Times New Roman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944A3">
        <w:rPr>
          <w:rFonts w:ascii="Times New Roman" w:hAnsi="Times New Roman"/>
          <w:sz w:val="24"/>
          <w:szCs w:val="24"/>
          <w:lang w:val="lt-LT"/>
        </w:rPr>
        <w:t>i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2944A3">
        <w:rPr>
          <w:rFonts w:ascii="Times New Roman" w:hAnsi="Times New Roman"/>
          <w:sz w:val="24"/>
          <w:szCs w:val="24"/>
          <w:lang w:val="lt-LT"/>
        </w:rPr>
        <w:t>Panevėžio regiono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2944A3">
        <w:rPr>
          <w:rFonts w:ascii="Times New Roman" w:hAnsi="Times New Roman"/>
          <w:sz w:val="24"/>
          <w:szCs w:val="24"/>
          <w:lang w:val="lt-LT"/>
        </w:rPr>
        <w:t>u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944A3">
        <w:rPr>
          <w:rFonts w:ascii="Times New Roman" w:hAnsi="Times New Roman"/>
          <w:sz w:val="24"/>
          <w:szCs w:val="24"/>
          <w:lang w:val="lt-LT"/>
        </w:rPr>
        <w:t>07-51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Panevėžio regiono plėtros tarybos 2016 m. rugsėjo 30 d. sprendimu Nr. 51/4S-41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944A3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2944A3">
        <w:rPr>
          <w:rFonts w:ascii="Times New Roman" w:hAnsi="Times New Roman"/>
          <w:sz w:val="24"/>
          <w:szCs w:val="24"/>
          <w:lang w:val="lt-LT"/>
        </w:rPr>
        <w:t>ės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944A3">
        <w:rPr>
          <w:rFonts w:ascii="Times New Roman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944A3">
        <w:rPr>
          <w:rFonts w:ascii="Times New Roman" w:hAnsi="Times New Roman"/>
          <w:sz w:val="24"/>
          <w:szCs w:val="24"/>
          <w:lang w:val="lt-LT"/>
        </w:rPr>
        <w:t>i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2944A3">
        <w:rPr>
          <w:rFonts w:ascii="Times New Roman" w:hAnsi="Times New Roman"/>
          <w:sz w:val="24"/>
          <w:szCs w:val="24"/>
          <w:lang w:val="lt-LT"/>
        </w:rPr>
        <w:t>Panevėžio regiono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2944A3">
        <w:rPr>
          <w:rFonts w:ascii="Times New Roman" w:hAnsi="Times New Roman"/>
          <w:sz w:val="24"/>
          <w:szCs w:val="24"/>
          <w:lang w:val="lt-LT"/>
        </w:rPr>
        <w:t>o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944A3">
        <w:rPr>
          <w:rFonts w:ascii="Times New Roman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944A3">
        <w:rPr>
          <w:rFonts w:ascii="Times New Roman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944A3">
        <w:rPr>
          <w:rFonts w:ascii="Times New Roman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944A3">
        <w:rPr>
          <w:rFonts w:ascii="Times New Roman" w:hAnsi="Times New Roman"/>
          <w:sz w:val="24"/>
          <w:szCs w:val="24"/>
          <w:lang w:val="lt-LT"/>
        </w:rPr>
        <w:t xml:space="preserve">07-51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D450C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657D4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6,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201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balandžio 21 d.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Vilniaus regiono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R-407-01-0007, 2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balandžio 24 d.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Kauno regiono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21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R-407-21-0005 ir 2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balandžio 21 d.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Panevėžio regiono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51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R-407-51-0005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7D6F22">
      <w:pPr>
        <w:spacing w:line="30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2D4582">
        <w:rPr>
          <w:rFonts w:ascii="Times New Roman" w:hAnsi="Times New Roman"/>
          <w:sz w:val="24"/>
          <w:szCs w:val="24"/>
        </w:rPr>
        <w:t>1 979 231,72</w:t>
      </w:r>
      <w:r w:rsidR="007D6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vieno milijono devynių šimtų septyniasdešimt devynių tūkstančių dviejų šimtų trisdešimt vieno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>o 72 centų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2D4582" w:rsidRPr="002D45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>ir 1.2.2.7.1 (Valstybės biudžeto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7D6F22">
      <w:pPr>
        <w:spacing w:line="30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F4" w:rsidRDefault="003039F4">
      <w:r>
        <w:separator/>
      </w:r>
    </w:p>
  </w:endnote>
  <w:endnote w:type="continuationSeparator" w:id="0">
    <w:p w:rsidR="003039F4" w:rsidRDefault="0030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F4" w:rsidRDefault="003039F4">
      <w:r>
        <w:separator/>
      </w:r>
    </w:p>
  </w:footnote>
  <w:footnote w:type="continuationSeparator" w:id="0">
    <w:p w:rsidR="003039F4" w:rsidRDefault="0030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7FF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B1E95"/>
    <w:rsid w:val="000B38B8"/>
    <w:rsid w:val="000B6940"/>
    <w:rsid w:val="000C23B5"/>
    <w:rsid w:val="000C3498"/>
    <w:rsid w:val="000C354E"/>
    <w:rsid w:val="000D278C"/>
    <w:rsid w:val="00101465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A6C18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944A3"/>
    <w:rsid w:val="002A07D8"/>
    <w:rsid w:val="002A1696"/>
    <w:rsid w:val="002A3187"/>
    <w:rsid w:val="002A5038"/>
    <w:rsid w:val="002B637F"/>
    <w:rsid w:val="002C3984"/>
    <w:rsid w:val="002D4582"/>
    <w:rsid w:val="002F00D8"/>
    <w:rsid w:val="00300343"/>
    <w:rsid w:val="00301D87"/>
    <w:rsid w:val="003039F4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466F4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35739"/>
    <w:rsid w:val="00740DFD"/>
    <w:rsid w:val="007419AE"/>
    <w:rsid w:val="0074650F"/>
    <w:rsid w:val="0074672F"/>
    <w:rsid w:val="007520CA"/>
    <w:rsid w:val="00763DA9"/>
    <w:rsid w:val="007739D4"/>
    <w:rsid w:val="00774FB9"/>
    <w:rsid w:val="0077589E"/>
    <w:rsid w:val="00780587"/>
    <w:rsid w:val="007822B7"/>
    <w:rsid w:val="0078749F"/>
    <w:rsid w:val="007908AE"/>
    <w:rsid w:val="00791149"/>
    <w:rsid w:val="00797DEF"/>
    <w:rsid w:val="007A7FF6"/>
    <w:rsid w:val="007B4D8F"/>
    <w:rsid w:val="007C17BA"/>
    <w:rsid w:val="007C49C6"/>
    <w:rsid w:val="007D638D"/>
    <w:rsid w:val="007D6F22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45A92"/>
    <w:rsid w:val="00A5417D"/>
    <w:rsid w:val="00A70D1B"/>
    <w:rsid w:val="00A8122D"/>
    <w:rsid w:val="00A946C4"/>
    <w:rsid w:val="00A94D42"/>
    <w:rsid w:val="00AA69F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7469B"/>
    <w:rsid w:val="00C832D6"/>
    <w:rsid w:val="00C92B0F"/>
    <w:rsid w:val="00CA25C6"/>
    <w:rsid w:val="00CA6ECF"/>
    <w:rsid w:val="00CB0AFA"/>
    <w:rsid w:val="00CB0F04"/>
    <w:rsid w:val="00CD037E"/>
    <w:rsid w:val="00CD450C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1BEC3-F251-4C2C-9B3B-58DC313D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3838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9</cp:revision>
  <cp:lastPrinted>2017-04-06T13:06:00Z</cp:lastPrinted>
  <dcterms:created xsi:type="dcterms:W3CDTF">2017-04-28T07:31:00Z</dcterms:created>
  <dcterms:modified xsi:type="dcterms:W3CDTF">2017-05-09T10:32:00Z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1541619510</vt:i4>
  </property>
  <property fmtid="{D5CDD505-2E9C-101B-9397-08002B2CF9AE}" pid="3" name="_NewReviewCycle">
    <vt:lpwstr/>
  </property>
  <property fmtid="{D5CDD505-2E9C-101B-9397-08002B2CF9AE}" pid="4" name="_EmailSubject">
    <vt:lpwstr>labas_kai grisi - 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291952938</vt:i4>
  </property>
</Properties>
</file>