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CA3" w:rsidRPr="00C24232" w:rsidRDefault="00495CA3" w:rsidP="009F6AD8">
      <w:pPr>
        <w:jc w:val="center"/>
        <w:rPr>
          <w:b/>
          <w:color w:val="000000" w:themeColor="text1"/>
          <w:szCs w:val="24"/>
        </w:rPr>
      </w:pPr>
      <w:bookmarkStart w:id="0" w:name="_GoBack"/>
      <w:bookmarkEnd w:id="0"/>
      <w:r w:rsidRPr="00C24232">
        <w:rPr>
          <w:b/>
          <w:color w:val="000000" w:themeColor="text1"/>
          <w:szCs w:val="24"/>
        </w:rPr>
        <w:t>DERINIMO PAŽYMA</w:t>
      </w:r>
    </w:p>
    <w:p w:rsidR="00495CA3" w:rsidRPr="00C24232" w:rsidRDefault="00495CA3" w:rsidP="009F6AD8">
      <w:pPr>
        <w:jc w:val="center"/>
        <w:rPr>
          <w:b/>
          <w:color w:val="000000" w:themeColor="text1"/>
          <w:szCs w:val="24"/>
        </w:rPr>
      </w:pPr>
    </w:p>
    <w:p w:rsidR="00495CA3" w:rsidRPr="00C24232" w:rsidRDefault="00495CA3" w:rsidP="009F6AD8">
      <w:pPr>
        <w:jc w:val="center"/>
        <w:rPr>
          <w:b/>
          <w:color w:val="000000" w:themeColor="text1"/>
          <w:szCs w:val="24"/>
        </w:rPr>
      </w:pPr>
      <w:r w:rsidRPr="00C24232">
        <w:rPr>
          <w:b/>
          <w:color w:val="000000" w:themeColor="text1"/>
          <w:szCs w:val="24"/>
        </w:rPr>
        <w:t>Dėl 2014</w:t>
      </w:r>
      <w:proofErr w:type="gramStart"/>
      <w:r w:rsidRPr="00C24232">
        <w:rPr>
          <w:b/>
          <w:color w:val="000000" w:themeColor="text1"/>
          <w:szCs w:val="24"/>
        </w:rPr>
        <w:t>-</w:t>
      </w:r>
      <w:proofErr w:type="gramEnd"/>
      <w:r w:rsidRPr="00C24232">
        <w:rPr>
          <w:b/>
          <w:color w:val="000000" w:themeColor="text1"/>
          <w:szCs w:val="24"/>
        </w:rPr>
        <w:t>2020 metų Europos Sąjungos fondų investicijų 4 prioriteto „Energijos efektyvumo ir atsinaujinančių išteklių energijos gamybos ir naudojimo skatinimas“ 04.3.2-LVPA-V-111 priemonės „Katilų keitimas namų ūkiuose“ pasiūlymų dėl projektų atrankos kriterijų</w:t>
      </w:r>
    </w:p>
    <w:p w:rsidR="00495CA3" w:rsidRPr="00C24232" w:rsidRDefault="00495CA3" w:rsidP="009F6AD8">
      <w:pPr>
        <w:jc w:val="center"/>
        <w:rPr>
          <w:b/>
          <w:color w:val="000000" w:themeColor="text1"/>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770"/>
        <w:gridCol w:w="4320"/>
      </w:tblGrid>
      <w:tr w:rsidR="009F6AD8" w:rsidRPr="00BB12D5" w:rsidTr="00096D3F">
        <w:trPr>
          <w:tblHeader/>
        </w:trPr>
        <w:tc>
          <w:tcPr>
            <w:tcW w:w="625" w:type="dxa"/>
            <w:shd w:val="clear" w:color="auto" w:fill="auto"/>
          </w:tcPr>
          <w:p w:rsidR="00495CA3" w:rsidRPr="00C24232" w:rsidRDefault="00495CA3" w:rsidP="009F6AD8">
            <w:pPr>
              <w:spacing w:before="120" w:after="120"/>
              <w:jc w:val="center"/>
              <w:rPr>
                <w:color w:val="000000" w:themeColor="text1"/>
                <w:szCs w:val="24"/>
              </w:rPr>
            </w:pPr>
            <w:r w:rsidRPr="00C24232">
              <w:rPr>
                <w:color w:val="000000" w:themeColor="text1"/>
                <w:szCs w:val="24"/>
              </w:rPr>
              <w:t>Eil.</w:t>
            </w:r>
          </w:p>
          <w:p w:rsidR="00495CA3" w:rsidRPr="00C24232" w:rsidRDefault="00495CA3" w:rsidP="009F6AD8">
            <w:pPr>
              <w:spacing w:before="120" w:after="120"/>
              <w:jc w:val="center"/>
              <w:rPr>
                <w:color w:val="000000" w:themeColor="text1"/>
                <w:szCs w:val="24"/>
              </w:rPr>
            </w:pPr>
            <w:r w:rsidRPr="00C24232">
              <w:rPr>
                <w:color w:val="000000" w:themeColor="text1"/>
                <w:szCs w:val="24"/>
              </w:rPr>
              <w:t>Nr.</w:t>
            </w:r>
          </w:p>
        </w:tc>
        <w:tc>
          <w:tcPr>
            <w:tcW w:w="4770" w:type="dxa"/>
            <w:shd w:val="clear" w:color="auto" w:fill="auto"/>
            <w:vAlign w:val="center"/>
          </w:tcPr>
          <w:p w:rsidR="00495CA3" w:rsidRPr="00C24232" w:rsidRDefault="00495CA3" w:rsidP="009F6AD8">
            <w:pPr>
              <w:spacing w:before="120" w:after="120"/>
              <w:ind w:left="35"/>
              <w:jc w:val="center"/>
              <w:rPr>
                <w:b/>
                <w:color w:val="000000" w:themeColor="text1"/>
                <w:szCs w:val="24"/>
              </w:rPr>
            </w:pPr>
            <w:r w:rsidRPr="00C24232">
              <w:rPr>
                <w:b/>
                <w:color w:val="000000" w:themeColor="text1"/>
                <w:szCs w:val="24"/>
              </w:rPr>
              <w:t>Pastabos ir pasiūlymai</w:t>
            </w:r>
          </w:p>
        </w:tc>
        <w:tc>
          <w:tcPr>
            <w:tcW w:w="4320" w:type="dxa"/>
            <w:shd w:val="clear" w:color="auto" w:fill="auto"/>
            <w:vAlign w:val="center"/>
          </w:tcPr>
          <w:p w:rsidR="00495CA3" w:rsidRPr="00C24232" w:rsidRDefault="00495CA3" w:rsidP="009F6AD8">
            <w:pPr>
              <w:spacing w:before="120" w:after="120"/>
              <w:jc w:val="center"/>
              <w:rPr>
                <w:b/>
                <w:color w:val="000000" w:themeColor="text1"/>
                <w:szCs w:val="24"/>
              </w:rPr>
            </w:pPr>
            <w:r w:rsidRPr="00C24232">
              <w:rPr>
                <w:b/>
                <w:color w:val="000000" w:themeColor="text1"/>
                <w:szCs w:val="24"/>
              </w:rPr>
              <w:t>Žyma apie pastabas ir pasiūlymus, į kuriuos nebuvo atsižvelgta, atsižvelgta iš dalies arba atsižvelgta</w:t>
            </w:r>
          </w:p>
        </w:tc>
      </w:tr>
      <w:tr w:rsidR="009F6AD8" w:rsidRPr="00BB12D5" w:rsidTr="00096D3F">
        <w:tc>
          <w:tcPr>
            <w:tcW w:w="9715" w:type="dxa"/>
            <w:gridSpan w:val="3"/>
            <w:shd w:val="clear" w:color="auto" w:fill="F2F2F2"/>
          </w:tcPr>
          <w:p w:rsidR="00495CA3" w:rsidRPr="00C24232" w:rsidRDefault="00495CA3" w:rsidP="009F6AD8">
            <w:pPr>
              <w:spacing w:before="120" w:after="120"/>
              <w:jc w:val="center"/>
              <w:rPr>
                <w:color w:val="000000" w:themeColor="text1"/>
                <w:szCs w:val="24"/>
              </w:rPr>
            </w:pPr>
            <w:r w:rsidRPr="00C24232">
              <w:rPr>
                <w:rStyle w:val="FontStyle11"/>
                <w:color w:val="000000" w:themeColor="text1"/>
                <w:sz w:val="24"/>
                <w:szCs w:val="24"/>
              </w:rPr>
              <w:t>Viešosios įstaigos Lietuvos verslo paramos agentūra 201</w:t>
            </w:r>
            <w:r w:rsidR="002A3A80" w:rsidRPr="00C24232">
              <w:rPr>
                <w:rStyle w:val="FontStyle11"/>
                <w:color w:val="000000" w:themeColor="text1"/>
                <w:sz w:val="24"/>
                <w:szCs w:val="24"/>
              </w:rPr>
              <w:t>8</w:t>
            </w:r>
            <w:r w:rsidR="008F463E" w:rsidRPr="00C24232">
              <w:rPr>
                <w:rStyle w:val="FontStyle11"/>
                <w:color w:val="000000" w:themeColor="text1"/>
                <w:sz w:val="24"/>
                <w:szCs w:val="24"/>
              </w:rPr>
              <w:t xml:space="preserve"> m. </w:t>
            </w:r>
            <w:r w:rsidR="002A3A80" w:rsidRPr="00C24232">
              <w:rPr>
                <w:rStyle w:val="FontStyle11"/>
                <w:color w:val="000000" w:themeColor="text1"/>
                <w:sz w:val="24"/>
                <w:szCs w:val="24"/>
              </w:rPr>
              <w:t>sausio 31</w:t>
            </w:r>
            <w:r w:rsidRPr="00C24232">
              <w:rPr>
                <w:rStyle w:val="FontStyle11"/>
                <w:color w:val="000000" w:themeColor="text1"/>
                <w:sz w:val="24"/>
                <w:szCs w:val="24"/>
              </w:rPr>
              <w:t xml:space="preserve"> d. raštas Nr.</w:t>
            </w:r>
            <w:r w:rsidR="000B344C" w:rsidRPr="00C24232">
              <w:rPr>
                <w:rStyle w:val="FontStyle11"/>
                <w:color w:val="000000" w:themeColor="text1"/>
                <w:sz w:val="24"/>
                <w:szCs w:val="24"/>
              </w:rPr>
              <w:t xml:space="preserve"> R4-</w:t>
            </w:r>
            <w:r w:rsidR="00E77125" w:rsidRPr="00C24232">
              <w:rPr>
                <w:rStyle w:val="FontStyle11"/>
                <w:color w:val="000000" w:themeColor="text1"/>
                <w:sz w:val="24"/>
                <w:szCs w:val="24"/>
              </w:rPr>
              <w:t>420</w:t>
            </w:r>
            <w:r w:rsidR="000B344C" w:rsidRPr="00C24232">
              <w:rPr>
                <w:rStyle w:val="FontStyle11"/>
                <w:color w:val="000000" w:themeColor="text1"/>
                <w:sz w:val="24"/>
                <w:szCs w:val="24"/>
              </w:rPr>
              <w:t xml:space="preserve"> (</w:t>
            </w:r>
            <w:r w:rsidR="00E77125" w:rsidRPr="00C24232">
              <w:rPr>
                <w:rStyle w:val="FontStyle11"/>
                <w:color w:val="000000" w:themeColor="text1"/>
                <w:sz w:val="24"/>
                <w:szCs w:val="24"/>
              </w:rPr>
              <w:t>15</w:t>
            </w:r>
            <w:r w:rsidR="000B344C" w:rsidRPr="00C24232">
              <w:rPr>
                <w:rStyle w:val="FontStyle11"/>
                <w:color w:val="000000" w:themeColor="text1"/>
                <w:sz w:val="24"/>
                <w:szCs w:val="24"/>
              </w:rPr>
              <w:t>.</w:t>
            </w:r>
            <w:r w:rsidR="00E77125" w:rsidRPr="00C24232">
              <w:rPr>
                <w:rStyle w:val="FontStyle11"/>
                <w:color w:val="000000" w:themeColor="text1"/>
                <w:sz w:val="24"/>
                <w:szCs w:val="24"/>
              </w:rPr>
              <w:t>1.6</w:t>
            </w:r>
            <w:r w:rsidR="000B344C" w:rsidRPr="00C24232">
              <w:rPr>
                <w:rStyle w:val="FontStyle11"/>
                <w:color w:val="000000" w:themeColor="text1"/>
                <w:sz w:val="24"/>
                <w:szCs w:val="24"/>
              </w:rPr>
              <w:t>)</w:t>
            </w:r>
          </w:p>
        </w:tc>
      </w:tr>
      <w:tr w:rsidR="008F463E" w:rsidRPr="00BB12D5" w:rsidTr="00096D3F">
        <w:tc>
          <w:tcPr>
            <w:tcW w:w="625" w:type="dxa"/>
            <w:shd w:val="clear" w:color="auto" w:fill="auto"/>
          </w:tcPr>
          <w:p w:rsidR="008F463E" w:rsidRPr="00C24232" w:rsidRDefault="008F463E" w:rsidP="008F463E">
            <w:pPr>
              <w:pStyle w:val="ListParagraph"/>
              <w:numPr>
                <w:ilvl w:val="0"/>
                <w:numId w:val="1"/>
              </w:numPr>
              <w:ind w:left="0" w:right="-392" w:firstLine="0"/>
              <w:rPr>
                <w:color w:val="000000" w:themeColor="text1"/>
                <w:szCs w:val="24"/>
              </w:rPr>
            </w:pPr>
          </w:p>
        </w:tc>
        <w:tc>
          <w:tcPr>
            <w:tcW w:w="4770" w:type="dxa"/>
            <w:shd w:val="clear" w:color="auto" w:fill="auto"/>
          </w:tcPr>
          <w:p w:rsidR="008F463E" w:rsidRPr="00C24232" w:rsidRDefault="00103962" w:rsidP="008F463E">
            <w:pPr>
              <w:contextualSpacing/>
              <w:jc w:val="both"/>
              <w:rPr>
                <w:rStyle w:val="FontStyle15"/>
                <w:rFonts w:eastAsia="Times New Roman"/>
                <w:color w:val="000000" w:themeColor="text1"/>
                <w:sz w:val="24"/>
                <w:szCs w:val="24"/>
                <w:lang w:eastAsia="lt-LT"/>
              </w:rPr>
            </w:pPr>
            <w:r w:rsidRPr="00BB12D5">
              <w:rPr>
                <w:szCs w:val="24"/>
              </w:rPr>
              <w:t xml:space="preserve">Minėtuose kriterijuose nurodyta, kad jei namų ūkis patenka į 2018-01-09 Lietuvos Respublikos aplinkos ministro įsakymu Nr. D1-12 patvirtintą teritoriją, gali būti diegiamas </w:t>
            </w:r>
            <w:r w:rsidRPr="00C24232">
              <w:rPr>
                <w:i/>
                <w:szCs w:val="24"/>
              </w:rPr>
              <w:t>lokalios teršalų emisijos neturintis įrenginys, naudojantis atsinaujinančių išteklių energiją šilumos gamybai</w:t>
            </w:r>
            <w:r w:rsidRPr="00C24232">
              <w:rPr>
                <w:szCs w:val="24"/>
              </w:rPr>
              <w:t>. Jei teisingai suprantame, šiuo atveju gali būti diegiamas tik šilumos siurblys. Atkreipiame dėmesį, kad tokiu atveju būtų visiškai apribotas kitų įrenginių, naudojančių atsinaujinančių išteklių energiją šilumos gamybai, diegimas.</w:t>
            </w:r>
          </w:p>
        </w:tc>
        <w:tc>
          <w:tcPr>
            <w:tcW w:w="4320" w:type="dxa"/>
            <w:shd w:val="clear" w:color="auto" w:fill="auto"/>
          </w:tcPr>
          <w:p w:rsidR="005406A2" w:rsidRPr="00C24232" w:rsidRDefault="002B7F6A" w:rsidP="00167A60">
            <w:pPr>
              <w:autoSpaceDE w:val="0"/>
              <w:autoSpaceDN w:val="0"/>
              <w:adjustRightInd w:val="0"/>
              <w:jc w:val="both"/>
              <w:rPr>
                <w:rFonts w:eastAsiaTheme="minorHAnsi"/>
                <w:b/>
                <w:szCs w:val="24"/>
              </w:rPr>
            </w:pPr>
            <w:r w:rsidRPr="00C24232">
              <w:rPr>
                <w:rFonts w:eastAsiaTheme="minorHAnsi"/>
                <w:b/>
                <w:szCs w:val="24"/>
              </w:rPr>
              <w:t>Paaiškinimas.</w:t>
            </w:r>
            <w:r w:rsidR="002F2D26" w:rsidRPr="00C24232">
              <w:rPr>
                <w:rFonts w:eastAsiaTheme="minorHAnsi"/>
                <w:b/>
                <w:szCs w:val="24"/>
              </w:rPr>
              <w:t xml:space="preserve"> </w:t>
            </w:r>
          </w:p>
          <w:p w:rsidR="00170458" w:rsidRPr="00C24232" w:rsidRDefault="002A79C7" w:rsidP="00167A60">
            <w:pPr>
              <w:autoSpaceDE w:val="0"/>
              <w:autoSpaceDN w:val="0"/>
              <w:adjustRightInd w:val="0"/>
              <w:jc w:val="both"/>
              <w:rPr>
                <w:rFonts w:eastAsiaTheme="minorHAnsi"/>
                <w:szCs w:val="24"/>
              </w:rPr>
            </w:pPr>
            <w:r w:rsidRPr="00BB12D5">
              <w:rPr>
                <w:rFonts w:eastAsia="Times New Roman"/>
                <w:szCs w:val="24"/>
                <w:lang w:eastAsia="lt-LT"/>
              </w:rPr>
              <w:t>Ši</w:t>
            </w:r>
            <w:r w:rsidR="00BB12D5" w:rsidRPr="00BB12D5">
              <w:rPr>
                <w:rFonts w:eastAsia="Times New Roman"/>
                <w:szCs w:val="24"/>
                <w:lang w:eastAsia="lt-LT"/>
              </w:rPr>
              <w:t>uo</w:t>
            </w:r>
            <w:r w:rsidRPr="00BB12D5">
              <w:rPr>
                <w:rFonts w:eastAsia="Times New Roman"/>
                <w:szCs w:val="24"/>
                <w:lang w:eastAsia="lt-LT"/>
              </w:rPr>
              <w:t xml:space="preserve"> kriterij</w:t>
            </w:r>
            <w:r w:rsidR="00BB12D5" w:rsidRPr="00850DC1">
              <w:rPr>
                <w:rFonts w:eastAsia="Times New Roman"/>
                <w:szCs w:val="24"/>
                <w:lang w:eastAsia="lt-LT"/>
              </w:rPr>
              <w:t>umi</w:t>
            </w:r>
            <w:r w:rsidRPr="00850DC1">
              <w:rPr>
                <w:rFonts w:eastAsia="Times New Roman"/>
                <w:szCs w:val="24"/>
                <w:lang w:eastAsia="lt-LT"/>
              </w:rPr>
              <w:t xml:space="preserve"> stengiamasi sumažinti oro taršą kietosiomis dalelėmis </w:t>
            </w:r>
            <w:r w:rsidRPr="00BB12D5">
              <w:rPr>
                <w:i/>
                <w:szCs w:val="24"/>
              </w:rPr>
              <w:t>KD</w:t>
            </w:r>
            <w:r w:rsidRPr="00BB12D5">
              <w:rPr>
                <w:i/>
                <w:szCs w:val="24"/>
                <w:vertAlign w:val="subscript"/>
              </w:rPr>
              <w:t>10</w:t>
            </w:r>
            <w:proofErr w:type="gramStart"/>
            <w:r w:rsidRPr="00BB12D5">
              <w:rPr>
                <w:i/>
                <w:szCs w:val="24"/>
                <w:vertAlign w:val="subscript"/>
              </w:rPr>
              <w:t xml:space="preserve"> </w:t>
            </w:r>
            <w:r w:rsidR="0016168F" w:rsidRPr="00BB12D5">
              <w:rPr>
                <w:rFonts w:eastAsia="Times New Roman"/>
                <w:szCs w:val="24"/>
                <w:lang w:eastAsia="lt-LT"/>
              </w:rPr>
              <w:t xml:space="preserve"> </w:t>
            </w:r>
            <w:proofErr w:type="gramEnd"/>
            <w:r w:rsidRPr="00BB12D5">
              <w:rPr>
                <w:rFonts w:eastAsia="Times New Roman"/>
                <w:szCs w:val="24"/>
                <w:lang w:eastAsia="lt-LT"/>
              </w:rPr>
              <w:t>labiausiai užterštose vietose. Todėl</w:t>
            </w:r>
            <w:r w:rsidR="006F5E47" w:rsidRPr="00BB12D5">
              <w:rPr>
                <w:rFonts w:eastAsia="Times New Roman"/>
                <w:szCs w:val="24"/>
                <w:lang w:eastAsia="lt-LT"/>
              </w:rPr>
              <w:t xml:space="preserve"> </w:t>
            </w:r>
            <w:r w:rsidR="00BB12D5" w:rsidRPr="00BB12D5">
              <w:rPr>
                <w:rFonts w:eastAsia="Times New Roman"/>
                <w:szCs w:val="24"/>
                <w:lang w:eastAsia="lt-LT"/>
              </w:rPr>
              <w:t>siūloma būtent tok</w:t>
            </w:r>
            <w:r w:rsidRPr="00BB12D5">
              <w:rPr>
                <w:rFonts w:eastAsia="Times New Roman"/>
                <w:szCs w:val="24"/>
                <w:lang w:eastAsia="lt-LT"/>
              </w:rPr>
              <w:t xml:space="preserve">iose teritorijose </w:t>
            </w:r>
            <w:r w:rsidR="00BB12D5" w:rsidRPr="00BB12D5">
              <w:rPr>
                <w:rFonts w:eastAsia="Times New Roman"/>
                <w:szCs w:val="24"/>
                <w:lang w:eastAsia="lt-LT"/>
              </w:rPr>
              <w:t>finansuoti</w:t>
            </w:r>
            <w:r w:rsidRPr="00BB12D5">
              <w:rPr>
                <w:rFonts w:eastAsia="Times New Roman"/>
                <w:szCs w:val="24"/>
                <w:lang w:eastAsia="lt-LT"/>
              </w:rPr>
              <w:t xml:space="preserve"> tik </w:t>
            </w:r>
            <w:r w:rsidRPr="00C24232">
              <w:rPr>
                <w:i/>
                <w:szCs w:val="24"/>
              </w:rPr>
              <w:t>lokalios teršalų emisijos neturin</w:t>
            </w:r>
            <w:r w:rsidR="00BB12D5" w:rsidRPr="00C24232">
              <w:rPr>
                <w:i/>
                <w:szCs w:val="24"/>
              </w:rPr>
              <w:t>čius</w:t>
            </w:r>
            <w:r w:rsidRPr="00C24232">
              <w:rPr>
                <w:i/>
                <w:szCs w:val="24"/>
              </w:rPr>
              <w:t xml:space="preserve"> įrengin</w:t>
            </w:r>
            <w:r w:rsidR="00DB789F" w:rsidRPr="00C24232">
              <w:rPr>
                <w:i/>
                <w:szCs w:val="24"/>
              </w:rPr>
              <w:t>i</w:t>
            </w:r>
            <w:r w:rsidR="00BB12D5" w:rsidRPr="00C24232">
              <w:rPr>
                <w:i/>
                <w:szCs w:val="24"/>
              </w:rPr>
              <w:t>us</w:t>
            </w:r>
            <w:r w:rsidRPr="00C24232">
              <w:rPr>
                <w:i/>
                <w:szCs w:val="24"/>
              </w:rPr>
              <w:t>, naudojan</w:t>
            </w:r>
            <w:r w:rsidR="00BB12D5" w:rsidRPr="00C24232">
              <w:rPr>
                <w:i/>
                <w:szCs w:val="24"/>
              </w:rPr>
              <w:t>čius</w:t>
            </w:r>
            <w:r w:rsidRPr="00C24232">
              <w:rPr>
                <w:i/>
                <w:szCs w:val="24"/>
              </w:rPr>
              <w:t xml:space="preserve"> atsinaujinančių išteklių energiją šilumos gamybai</w:t>
            </w:r>
            <w:r w:rsidR="00BB12D5" w:rsidRPr="00C24232">
              <w:rPr>
                <w:i/>
                <w:szCs w:val="24"/>
              </w:rPr>
              <w:t xml:space="preserve"> (pvz.: šilumos siurblys)</w:t>
            </w:r>
            <w:r w:rsidR="006F5E47" w:rsidRPr="00C24232">
              <w:rPr>
                <w:i/>
                <w:szCs w:val="24"/>
              </w:rPr>
              <w:t xml:space="preserve">. </w:t>
            </w:r>
          </w:p>
        </w:tc>
      </w:tr>
      <w:tr w:rsidR="00103962" w:rsidRPr="00BB12D5" w:rsidTr="00096D3F">
        <w:tc>
          <w:tcPr>
            <w:tcW w:w="625" w:type="dxa"/>
            <w:shd w:val="clear" w:color="auto" w:fill="auto"/>
          </w:tcPr>
          <w:p w:rsidR="00103962" w:rsidRPr="00C24232" w:rsidRDefault="00103962" w:rsidP="00103962">
            <w:pPr>
              <w:pStyle w:val="ListParagraph"/>
              <w:numPr>
                <w:ilvl w:val="0"/>
                <w:numId w:val="1"/>
              </w:numPr>
              <w:ind w:left="0" w:right="-392" w:firstLine="0"/>
              <w:rPr>
                <w:color w:val="000000" w:themeColor="text1"/>
                <w:szCs w:val="24"/>
              </w:rPr>
            </w:pPr>
          </w:p>
        </w:tc>
        <w:tc>
          <w:tcPr>
            <w:tcW w:w="4770" w:type="dxa"/>
            <w:shd w:val="clear" w:color="auto" w:fill="auto"/>
          </w:tcPr>
          <w:p w:rsidR="00103962" w:rsidRPr="00C24232" w:rsidRDefault="00103962" w:rsidP="00103962">
            <w:pPr>
              <w:contextualSpacing/>
              <w:jc w:val="both"/>
              <w:rPr>
                <w:szCs w:val="24"/>
              </w:rPr>
            </w:pPr>
            <w:r w:rsidRPr="00BB12D5">
              <w:rPr>
                <w:szCs w:val="24"/>
              </w:rPr>
              <w:t>Kadangi formulėje gaunami dydžiai yra po kabelio (pvz. 0,095 0,101 0,143 ir pan.) siūlome įtraukti pastabą, kad „</w:t>
            </w:r>
            <w:r w:rsidRPr="00C24232">
              <w:rPr>
                <w:szCs w:val="24"/>
              </w:rPr>
              <w:t>Pirminio kuro ar energijos poreikis, išreikštas energijos ekvivalentiniu dydžiu (kgne)“ turėtų būti pateikiamas 2 ar 3 skaitmenų po kabelio tikslumu.</w:t>
            </w:r>
          </w:p>
        </w:tc>
        <w:tc>
          <w:tcPr>
            <w:tcW w:w="4320" w:type="dxa"/>
            <w:shd w:val="clear" w:color="auto" w:fill="auto"/>
          </w:tcPr>
          <w:p w:rsidR="00103962" w:rsidRPr="00C24232" w:rsidRDefault="003664F5" w:rsidP="00103962">
            <w:pPr>
              <w:jc w:val="both"/>
              <w:rPr>
                <w:b/>
                <w:color w:val="000000" w:themeColor="text1"/>
                <w:szCs w:val="24"/>
              </w:rPr>
            </w:pPr>
            <w:r w:rsidRPr="00C24232">
              <w:rPr>
                <w:b/>
                <w:color w:val="000000" w:themeColor="text1"/>
                <w:szCs w:val="24"/>
              </w:rPr>
              <w:t>Atsižvelgta.</w:t>
            </w:r>
          </w:p>
          <w:p w:rsidR="003664F5" w:rsidRPr="00BB12D5" w:rsidRDefault="002B5909" w:rsidP="002B5909">
            <w:pPr>
              <w:jc w:val="both"/>
              <w:rPr>
                <w:color w:val="000000" w:themeColor="text1"/>
                <w:szCs w:val="24"/>
              </w:rPr>
            </w:pPr>
            <w:r w:rsidRPr="00BB12D5">
              <w:rPr>
                <w:bCs/>
                <w:color w:val="000000" w:themeColor="text1"/>
                <w:szCs w:val="24"/>
              </w:rPr>
              <w:t xml:space="preserve">Projektų atrankos kriterijaus vertinimo aspektuose ir paaiškinimuose </w:t>
            </w:r>
            <w:r w:rsidRPr="00BB12D5">
              <w:rPr>
                <w:color w:val="000000" w:themeColor="text1"/>
                <w:szCs w:val="24"/>
              </w:rPr>
              <w:t>prie formulės pateikiamas patikslinimas: „</w:t>
            </w:r>
            <m:oMath>
              <m:sSub>
                <m:sSubPr>
                  <m:ctrlPr>
                    <w:rPr>
                      <w:rFonts w:ascii="Cambria Math" w:hAnsi="Cambria Math"/>
                      <w:i/>
                      <w:szCs w:val="24"/>
                    </w:rPr>
                  </m:ctrlPr>
                </m:sSubPr>
                <m:e>
                  <m:r>
                    <w:rPr>
                      <w:rFonts w:ascii="Cambria Math" w:hAnsi="Cambria Math"/>
                      <w:szCs w:val="24"/>
                    </w:rPr>
                    <m:t>PK</m:t>
                  </m:r>
                </m:e>
                <m:sub>
                  <m:r>
                    <w:rPr>
                      <w:rFonts w:ascii="Cambria Math" w:hAnsi="Cambria Math"/>
                      <w:szCs w:val="24"/>
                    </w:rPr>
                    <m:t>P</m:t>
                  </m:r>
                </m:sub>
              </m:sSub>
              <m:r>
                <w:rPr>
                  <w:rFonts w:ascii="Cambria Math" w:hAnsi="Cambria Math"/>
                  <w:szCs w:val="24"/>
                </w:rPr>
                <m:t xml:space="preserve"> </m:t>
              </m:r>
            </m:oMath>
            <w:r w:rsidRPr="00BB12D5">
              <w:rPr>
                <w:rFonts w:eastAsiaTheme="minorEastAsia"/>
                <w:szCs w:val="24"/>
              </w:rPr>
              <w:t xml:space="preserve">– Pirminio kuro ar energijos poreikis (kgne), </w:t>
            </w:r>
            <w:r w:rsidRPr="00BB12D5">
              <w:rPr>
                <w:rFonts w:eastAsiaTheme="minorEastAsia"/>
                <w:b/>
                <w:szCs w:val="24"/>
              </w:rPr>
              <w:t>apskaičiuojamas</w:t>
            </w:r>
            <w:r w:rsidRPr="00BB12D5">
              <w:rPr>
                <w:b/>
                <w:szCs w:val="24"/>
              </w:rPr>
              <w:t xml:space="preserve"> tūkstantųjų dalių tikslumu;“</w:t>
            </w:r>
          </w:p>
        </w:tc>
      </w:tr>
      <w:tr w:rsidR="00103962" w:rsidRPr="00BB12D5" w:rsidTr="00096D3F">
        <w:tc>
          <w:tcPr>
            <w:tcW w:w="625" w:type="dxa"/>
            <w:shd w:val="clear" w:color="auto" w:fill="auto"/>
          </w:tcPr>
          <w:p w:rsidR="00103962" w:rsidRPr="00C24232" w:rsidRDefault="00103962" w:rsidP="00103962">
            <w:pPr>
              <w:pStyle w:val="ListParagraph"/>
              <w:numPr>
                <w:ilvl w:val="0"/>
                <w:numId w:val="1"/>
              </w:numPr>
              <w:ind w:left="0" w:right="-392" w:firstLine="0"/>
              <w:rPr>
                <w:color w:val="000000" w:themeColor="text1"/>
                <w:szCs w:val="24"/>
              </w:rPr>
            </w:pPr>
          </w:p>
        </w:tc>
        <w:tc>
          <w:tcPr>
            <w:tcW w:w="4770" w:type="dxa"/>
            <w:shd w:val="clear" w:color="auto" w:fill="auto"/>
          </w:tcPr>
          <w:p w:rsidR="00103962" w:rsidRPr="00C24232" w:rsidRDefault="00103962" w:rsidP="00103962">
            <w:pPr>
              <w:contextualSpacing/>
              <w:jc w:val="both"/>
              <w:rPr>
                <w:szCs w:val="24"/>
              </w:rPr>
            </w:pPr>
            <w:r w:rsidRPr="00BB12D5">
              <w:rPr>
                <w:color w:val="000000" w:themeColor="text1"/>
                <w:szCs w:val="24"/>
              </w:rPr>
              <w:t xml:space="preserve">Prie Projektų atrankos būdas (2 lape) skliaustuose nurodyta „(finansavimo forma finansinių priemonių atveju):“. </w:t>
            </w:r>
            <w:r w:rsidRPr="00C24232">
              <w:rPr>
                <w:color w:val="000000" w:themeColor="text1"/>
                <w:szCs w:val="24"/>
              </w:rPr>
              <w:t>Kadangi šiai priemonei planuojama taikyti Valstybės projektų planavimą, neaišku, kaip skliaustuose nurodyta informacija, susijusi su Valstybės planavimo būdu.</w:t>
            </w:r>
          </w:p>
        </w:tc>
        <w:tc>
          <w:tcPr>
            <w:tcW w:w="4320" w:type="dxa"/>
            <w:shd w:val="clear" w:color="auto" w:fill="auto"/>
          </w:tcPr>
          <w:p w:rsidR="00103962" w:rsidRPr="00C24232" w:rsidRDefault="00103962" w:rsidP="00103962">
            <w:pPr>
              <w:jc w:val="both"/>
              <w:rPr>
                <w:b/>
                <w:color w:val="000000" w:themeColor="text1"/>
                <w:szCs w:val="24"/>
              </w:rPr>
            </w:pPr>
            <w:r w:rsidRPr="00C24232">
              <w:rPr>
                <w:b/>
                <w:color w:val="000000" w:themeColor="text1"/>
                <w:szCs w:val="24"/>
              </w:rPr>
              <w:t>Neatsižvelgta.</w:t>
            </w:r>
          </w:p>
          <w:p w:rsidR="00103962" w:rsidRPr="00850DC1" w:rsidRDefault="00850DC1" w:rsidP="00103962">
            <w:pPr>
              <w:jc w:val="both"/>
              <w:rPr>
                <w:color w:val="000000" w:themeColor="text1"/>
                <w:szCs w:val="24"/>
              </w:rPr>
            </w:pPr>
            <w:r w:rsidRPr="00850DC1">
              <w:rPr>
                <w:rFonts w:eastAsiaTheme="minorHAnsi"/>
                <w:szCs w:val="24"/>
              </w:rPr>
              <w:t>2014</w:t>
            </w:r>
            <w:proofErr w:type="gramStart"/>
            <w:r w:rsidRPr="00850DC1">
              <w:rPr>
                <w:rFonts w:eastAsiaTheme="minorHAnsi"/>
                <w:szCs w:val="24"/>
              </w:rPr>
              <w:t>-</w:t>
            </w:r>
            <w:proofErr w:type="gramEnd"/>
            <w:r w:rsidRPr="006A6FE7">
              <w:rPr>
                <w:rFonts w:eastAsiaTheme="minorHAnsi"/>
                <w:szCs w:val="24"/>
              </w:rPr>
              <w:t>2020 m. Europos Sąjungos struktūrinių fondų administravimo darbo grupė, sudaryt</w:t>
            </w:r>
            <w:r>
              <w:rPr>
                <w:rFonts w:eastAsiaTheme="minorHAnsi"/>
                <w:szCs w:val="24"/>
              </w:rPr>
              <w:t>a</w:t>
            </w:r>
            <w:r w:rsidRPr="006A6FE7">
              <w:rPr>
                <w:rFonts w:eastAsiaTheme="minorHAnsi"/>
                <w:szCs w:val="24"/>
              </w:rPr>
              <w:t xml:space="preserve"> Lietuvos Respublikos finansų ministro 2013 m. liepos 11 d. įsakymu Nr. 1K</w:t>
            </w:r>
            <w:r w:rsidRPr="00BB12D5">
              <w:rPr>
                <w:rFonts w:eastAsiaTheme="minorHAnsi"/>
                <w:szCs w:val="24"/>
              </w:rPr>
              <w:t>-</w:t>
            </w:r>
            <w:r w:rsidRPr="006A6FE7">
              <w:rPr>
                <w:rFonts w:eastAsiaTheme="minorHAnsi"/>
                <w:szCs w:val="24"/>
              </w:rPr>
              <w:t xml:space="preserve">243 „Dėl darbo grupės sudarymo“, </w:t>
            </w:r>
            <w:r>
              <w:rPr>
                <w:rFonts w:eastAsiaTheme="minorHAnsi"/>
                <w:szCs w:val="24"/>
              </w:rPr>
              <w:t xml:space="preserve">pritarė </w:t>
            </w:r>
            <w:r w:rsidRPr="00BB12D5">
              <w:rPr>
                <w:color w:val="000000" w:themeColor="text1"/>
                <w:szCs w:val="24"/>
              </w:rPr>
              <w:t>„Pasiūlymų dėl projektų atrankos kriterijų nustatymo ir keitimo</w:t>
            </w:r>
            <w:r w:rsidRPr="00850DC1">
              <w:rPr>
                <w:color w:val="000000" w:themeColor="text1"/>
                <w:szCs w:val="24"/>
              </w:rPr>
              <w:t xml:space="preserve">“ </w:t>
            </w:r>
            <w:r w:rsidRPr="00850DC1">
              <w:rPr>
                <w:rFonts w:eastAsiaTheme="minorHAnsi"/>
                <w:szCs w:val="24"/>
              </w:rPr>
              <w:t>formai</w:t>
            </w:r>
            <w:r>
              <w:rPr>
                <w:rFonts w:eastAsiaTheme="minorHAnsi"/>
                <w:szCs w:val="24"/>
              </w:rPr>
              <w:t xml:space="preserve"> (</w:t>
            </w:r>
            <w:r w:rsidRPr="00BB12D5">
              <w:rPr>
                <w:rFonts w:eastAsiaTheme="minorHAnsi"/>
                <w:szCs w:val="24"/>
              </w:rPr>
              <w:t>2017 m. liepos 21 d.</w:t>
            </w:r>
            <w:r w:rsidRPr="006A6FE7">
              <w:rPr>
                <w:rFonts w:eastAsiaTheme="minorHAnsi"/>
                <w:szCs w:val="24"/>
              </w:rPr>
              <w:t xml:space="preserve"> </w:t>
            </w:r>
            <w:r>
              <w:rPr>
                <w:rFonts w:eastAsiaTheme="minorHAnsi"/>
                <w:szCs w:val="24"/>
              </w:rPr>
              <w:t xml:space="preserve">darbo grupės </w:t>
            </w:r>
            <w:r w:rsidRPr="00BB12D5">
              <w:rPr>
                <w:rFonts w:eastAsiaTheme="minorHAnsi"/>
                <w:szCs w:val="24"/>
              </w:rPr>
              <w:t>protokol</w:t>
            </w:r>
            <w:r>
              <w:rPr>
                <w:rFonts w:eastAsiaTheme="minorHAnsi"/>
                <w:szCs w:val="24"/>
              </w:rPr>
              <w:t>as</w:t>
            </w:r>
            <w:r w:rsidRPr="00BB12D5">
              <w:rPr>
                <w:rFonts w:eastAsiaTheme="minorHAnsi"/>
                <w:szCs w:val="24"/>
              </w:rPr>
              <w:t xml:space="preserve"> Nr. 4 (37)</w:t>
            </w:r>
            <w:r>
              <w:rPr>
                <w:rFonts w:eastAsiaTheme="minorHAnsi"/>
                <w:szCs w:val="24"/>
              </w:rPr>
              <w:t>.</w:t>
            </w:r>
          </w:p>
          <w:p w:rsidR="00103962" w:rsidRPr="00C24232" w:rsidRDefault="00103962" w:rsidP="00103962">
            <w:pPr>
              <w:jc w:val="both"/>
              <w:rPr>
                <w:b/>
                <w:color w:val="000000" w:themeColor="text1"/>
                <w:szCs w:val="24"/>
              </w:rPr>
            </w:pPr>
          </w:p>
        </w:tc>
      </w:tr>
      <w:tr w:rsidR="006C3CD0" w:rsidRPr="00BB12D5" w:rsidTr="006C3CD0">
        <w:tc>
          <w:tcPr>
            <w:tcW w:w="9715" w:type="dxa"/>
            <w:gridSpan w:val="3"/>
            <w:shd w:val="clear" w:color="auto" w:fill="F2F2F2" w:themeFill="background1" w:themeFillShade="F2"/>
          </w:tcPr>
          <w:p w:rsidR="006C3CD0" w:rsidRPr="00C24232" w:rsidRDefault="006C3CD0" w:rsidP="006C3CD0">
            <w:pPr>
              <w:spacing w:before="120" w:after="120"/>
              <w:jc w:val="center"/>
              <w:rPr>
                <w:b/>
                <w:color w:val="000000" w:themeColor="text1"/>
                <w:szCs w:val="24"/>
              </w:rPr>
            </w:pPr>
            <w:r w:rsidRPr="00C24232">
              <w:rPr>
                <w:rStyle w:val="FontStyle11"/>
                <w:color w:val="000000" w:themeColor="text1"/>
                <w:sz w:val="24"/>
                <w:szCs w:val="24"/>
              </w:rPr>
              <w:t>Lietuvos energetikos institutas 2018 m. sausio 29 d. raštas Nr. D2-84</w:t>
            </w:r>
            <w:proofErr w:type="gramStart"/>
            <w:r w:rsidRPr="00C24232">
              <w:rPr>
                <w:rStyle w:val="FontStyle11"/>
                <w:color w:val="000000" w:themeColor="text1"/>
                <w:sz w:val="24"/>
                <w:szCs w:val="24"/>
              </w:rPr>
              <w:t>-</w:t>
            </w:r>
            <w:proofErr w:type="gramEnd"/>
            <w:r w:rsidRPr="00C24232">
              <w:rPr>
                <w:rStyle w:val="FontStyle11"/>
                <w:color w:val="000000" w:themeColor="text1"/>
                <w:sz w:val="24"/>
                <w:szCs w:val="24"/>
              </w:rPr>
              <w:t>20</w:t>
            </w:r>
          </w:p>
        </w:tc>
      </w:tr>
      <w:tr w:rsidR="00BE2002" w:rsidRPr="00BB12D5" w:rsidTr="00096D3F">
        <w:tc>
          <w:tcPr>
            <w:tcW w:w="625" w:type="dxa"/>
            <w:shd w:val="clear" w:color="auto" w:fill="auto"/>
          </w:tcPr>
          <w:p w:rsidR="00BE2002" w:rsidRPr="00C24232" w:rsidRDefault="00BE2002" w:rsidP="00665939">
            <w:pPr>
              <w:pStyle w:val="ListParagraph"/>
              <w:numPr>
                <w:ilvl w:val="0"/>
                <w:numId w:val="1"/>
              </w:numPr>
              <w:ind w:left="0" w:right="-392" w:firstLine="0"/>
              <w:rPr>
                <w:color w:val="000000" w:themeColor="text1"/>
                <w:szCs w:val="24"/>
              </w:rPr>
            </w:pPr>
          </w:p>
        </w:tc>
        <w:tc>
          <w:tcPr>
            <w:tcW w:w="4770" w:type="dxa"/>
            <w:shd w:val="clear" w:color="auto" w:fill="auto"/>
          </w:tcPr>
          <w:p w:rsidR="00BE2002" w:rsidRPr="00BB12D5" w:rsidRDefault="00BE2002" w:rsidP="009E2FA7">
            <w:pPr>
              <w:pStyle w:val="NoSpacing"/>
              <w:spacing w:line="276" w:lineRule="auto"/>
              <w:jc w:val="both"/>
              <w:rPr>
                <w:rFonts w:ascii="Times New Roman" w:hAnsi="Times New Roman" w:cs="Times New Roman"/>
                <w:sz w:val="24"/>
                <w:szCs w:val="24"/>
              </w:rPr>
            </w:pPr>
            <w:r w:rsidRPr="00BB12D5">
              <w:rPr>
                <w:rFonts w:ascii="Times New Roman" w:hAnsi="Times New Roman" w:cs="Times New Roman"/>
                <w:sz w:val="24"/>
                <w:szCs w:val="24"/>
              </w:rPr>
              <w:t>Nėra aišku, kodėl projekto atrankos kriterijai apima tik biomasę naudojančius katilus. Galbūt yra tikslinga įtraukti ir kitą kietą kurą (akmens anglį, durpių briketus) naudojančius katilus, kurių keliama tarša yra netgi didesnė, negu biomasės (daugiausiai medienos) katilų keliama tarša.</w:t>
            </w:r>
          </w:p>
        </w:tc>
        <w:tc>
          <w:tcPr>
            <w:tcW w:w="4320" w:type="dxa"/>
            <w:shd w:val="clear" w:color="auto" w:fill="auto"/>
          </w:tcPr>
          <w:p w:rsidR="00BE2002" w:rsidRPr="00C24232" w:rsidRDefault="00BE2002" w:rsidP="00BE2002">
            <w:pPr>
              <w:jc w:val="both"/>
              <w:rPr>
                <w:b/>
                <w:color w:val="000000" w:themeColor="text1"/>
                <w:szCs w:val="24"/>
              </w:rPr>
            </w:pPr>
            <w:r w:rsidRPr="00C24232">
              <w:rPr>
                <w:b/>
                <w:color w:val="000000" w:themeColor="text1"/>
                <w:szCs w:val="24"/>
              </w:rPr>
              <w:t>Neatsižvelgta.</w:t>
            </w:r>
          </w:p>
          <w:p w:rsidR="00BE2002" w:rsidRPr="00BB12D5" w:rsidRDefault="00BE2002" w:rsidP="00B93D1A">
            <w:pPr>
              <w:pStyle w:val="NoSpacing"/>
              <w:spacing w:line="276" w:lineRule="auto"/>
              <w:jc w:val="both"/>
              <w:rPr>
                <w:rFonts w:ascii="Times New Roman" w:hAnsi="Times New Roman" w:cs="Times New Roman"/>
                <w:sz w:val="24"/>
                <w:szCs w:val="24"/>
              </w:rPr>
            </w:pPr>
            <w:r w:rsidRPr="00BB12D5">
              <w:rPr>
                <w:rFonts w:ascii="Times New Roman" w:hAnsi="Times New Roman" w:cs="Times New Roman"/>
                <w:sz w:val="24"/>
                <w:szCs w:val="24"/>
              </w:rPr>
              <w:t>ES struktūrinių fondų lėšos skiriamos, vadovaujantis 2014</w:t>
            </w:r>
            <w:proofErr w:type="gramStart"/>
            <w:r w:rsidRPr="00BB12D5">
              <w:rPr>
                <w:rFonts w:ascii="Times New Roman" w:hAnsi="Times New Roman" w:cs="Times New Roman"/>
                <w:sz w:val="24"/>
                <w:szCs w:val="24"/>
              </w:rPr>
              <w:t>-</w:t>
            </w:r>
            <w:proofErr w:type="gramEnd"/>
            <w:r w:rsidRPr="00BB12D5">
              <w:rPr>
                <w:rFonts w:ascii="Times New Roman" w:hAnsi="Times New Roman" w:cs="Times New Roman"/>
                <w:sz w:val="24"/>
                <w:szCs w:val="24"/>
              </w:rPr>
              <w:t xml:space="preserve">2020 m. ES fondų investicijų veiksmų programa (toliau – Veiksmų programa). Veiksmų programoje (4.3. investiciniame prioritete) numatyta remti neefektyviai biomasę naudojančių katilų namų ūkiuose, kurie nėra prijungti </w:t>
            </w:r>
            <w:r w:rsidRPr="00BB12D5">
              <w:rPr>
                <w:rFonts w:ascii="Times New Roman" w:hAnsi="Times New Roman" w:cs="Times New Roman"/>
                <w:sz w:val="24"/>
                <w:szCs w:val="24"/>
              </w:rPr>
              <w:lastRenderedPageBreak/>
              <w:t>prie centralizuotai tiekiamos šilumos sistemos, keitim</w:t>
            </w:r>
            <w:r w:rsidR="00850DC1">
              <w:rPr>
                <w:rFonts w:ascii="Times New Roman" w:hAnsi="Times New Roman" w:cs="Times New Roman"/>
                <w:sz w:val="24"/>
                <w:szCs w:val="24"/>
              </w:rPr>
              <w:t>o</w:t>
            </w:r>
            <w:r w:rsidRPr="00850DC1">
              <w:rPr>
                <w:rFonts w:ascii="Times New Roman" w:hAnsi="Times New Roman" w:cs="Times New Roman"/>
                <w:sz w:val="24"/>
                <w:szCs w:val="24"/>
              </w:rPr>
              <w:t xml:space="preserve"> į efektyvesnes technologijas, naudojančias AIE šilumos gamybai</w:t>
            </w:r>
            <w:r w:rsidR="00850DC1">
              <w:rPr>
                <w:rFonts w:ascii="Times New Roman" w:hAnsi="Times New Roman" w:cs="Times New Roman"/>
                <w:sz w:val="24"/>
                <w:szCs w:val="24"/>
              </w:rPr>
              <w:t xml:space="preserve"> veiklą</w:t>
            </w:r>
            <w:r w:rsidRPr="00850DC1">
              <w:rPr>
                <w:rFonts w:ascii="Times New Roman" w:hAnsi="Times New Roman" w:cs="Times New Roman"/>
                <w:sz w:val="24"/>
                <w:szCs w:val="24"/>
              </w:rPr>
              <w:t xml:space="preserve">. Norint išplėsti remiamas veiklas, reikia pakeisti Veiksmų programą, prieš tai suderėjus pakeitimus su Europos Komisija. </w:t>
            </w:r>
          </w:p>
        </w:tc>
      </w:tr>
      <w:tr w:rsidR="00BE2002" w:rsidRPr="00BB12D5" w:rsidTr="00096D3F">
        <w:tc>
          <w:tcPr>
            <w:tcW w:w="625" w:type="dxa"/>
            <w:shd w:val="clear" w:color="auto" w:fill="auto"/>
          </w:tcPr>
          <w:p w:rsidR="00BE2002" w:rsidRPr="004B0A17" w:rsidRDefault="00BE2002" w:rsidP="00665939">
            <w:pPr>
              <w:pStyle w:val="ListParagraph"/>
              <w:numPr>
                <w:ilvl w:val="0"/>
                <w:numId w:val="1"/>
              </w:numPr>
              <w:ind w:left="0" w:right="-392" w:firstLine="0"/>
              <w:rPr>
                <w:color w:val="000000" w:themeColor="text1"/>
                <w:szCs w:val="24"/>
              </w:rPr>
            </w:pPr>
          </w:p>
        </w:tc>
        <w:tc>
          <w:tcPr>
            <w:tcW w:w="4770" w:type="dxa"/>
            <w:shd w:val="clear" w:color="auto" w:fill="auto"/>
          </w:tcPr>
          <w:p w:rsidR="00BE2002" w:rsidRPr="004B0A17" w:rsidRDefault="00BE2002" w:rsidP="009E2FA7">
            <w:pPr>
              <w:pStyle w:val="NoSpacing"/>
              <w:spacing w:line="276" w:lineRule="auto"/>
              <w:jc w:val="both"/>
              <w:rPr>
                <w:rFonts w:ascii="Times New Roman" w:hAnsi="Times New Roman" w:cs="Times New Roman"/>
                <w:sz w:val="24"/>
                <w:szCs w:val="24"/>
              </w:rPr>
            </w:pPr>
            <w:r w:rsidRPr="00BB12D5">
              <w:rPr>
                <w:rFonts w:ascii="Times New Roman" w:hAnsi="Times New Roman" w:cs="Times New Roman"/>
                <w:sz w:val="24"/>
                <w:szCs w:val="24"/>
              </w:rPr>
              <w:t>Tarša galėtų būti sumažinta ne tik naudojant efektyvesnius biomasės katilus, bet ir kitas technologijas, pavyzdžiui, šilumos siurblius ar biodujas</w:t>
            </w:r>
            <w:r w:rsidRPr="004B0A17">
              <w:rPr>
                <w:rFonts w:ascii="Times New Roman" w:hAnsi="Times New Roman" w:cs="Times New Roman"/>
                <w:sz w:val="24"/>
                <w:szCs w:val="24"/>
              </w:rPr>
              <w:t xml:space="preserve"> naudojančius įrenginius. Esantys vertinimo kriterijai galėtų būti papildyti tokiems atvejams.</w:t>
            </w:r>
          </w:p>
        </w:tc>
        <w:tc>
          <w:tcPr>
            <w:tcW w:w="4320" w:type="dxa"/>
            <w:shd w:val="clear" w:color="auto" w:fill="auto"/>
          </w:tcPr>
          <w:p w:rsidR="002E05E5" w:rsidRPr="004B0A17" w:rsidRDefault="002E05E5" w:rsidP="002E05E5">
            <w:pPr>
              <w:jc w:val="both"/>
              <w:rPr>
                <w:b/>
                <w:color w:val="000000" w:themeColor="text1"/>
                <w:szCs w:val="24"/>
              </w:rPr>
            </w:pPr>
            <w:r w:rsidRPr="004B0A17">
              <w:rPr>
                <w:b/>
                <w:color w:val="000000" w:themeColor="text1"/>
                <w:szCs w:val="24"/>
              </w:rPr>
              <w:t>Neatsižvelgta.</w:t>
            </w:r>
          </w:p>
          <w:p w:rsidR="001F0943" w:rsidRPr="00850DC1" w:rsidRDefault="001F0943" w:rsidP="001F0943">
            <w:pPr>
              <w:pStyle w:val="NoSpacing"/>
              <w:spacing w:line="276" w:lineRule="auto"/>
              <w:jc w:val="both"/>
              <w:rPr>
                <w:rFonts w:ascii="Times New Roman" w:hAnsi="Times New Roman" w:cs="Times New Roman"/>
                <w:sz w:val="24"/>
                <w:szCs w:val="24"/>
              </w:rPr>
            </w:pPr>
            <w:r w:rsidRPr="00BB12D5">
              <w:rPr>
                <w:rFonts w:ascii="Times New Roman" w:hAnsi="Times New Roman" w:cs="Times New Roman"/>
                <w:sz w:val="24"/>
                <w:szCs w:val="24"/>
              </w:rPr>
              <w:t>Projektų atrankos kriterijuose šildymo įrenginių technologija neribojama, tačiau</w:t>
            </w:r>
            <w:r w:rsidR="00D34DF9">
              <w:rPr>
                <w:rFonts w:ascii="Times New Roman" w:hAnsi="Times New Roman" w:cs="Times New Roman"/>
                <w:sz w:val="24"/>
                <w:szCs w:val="24"/>
              </w:rPr>
              <w:t xml:space="preserve"> išdėstoma prioriteto tvarka p</w:t>
            </w:r>
            <w:r w:rsidRPr="00BB12D5">
              <w:rPr>
                <w:rFonts w:ascii="Times New Roman" w:hAnsi="Times New Roman" w:cs="Times New Roman"/>
                <w:sz w:val="24"/>
                <w:szCs w:val="24"/>
              </w:rPr>
              <w:t xml:space="preserve">agal įrenginio efektyvumą ir </w:t>
            </w:r>
            <w:r w:rsidR="00850DC1">
              <w:rPr>
                <w:rFonts w:ascii="Times New Roman" w:hAnsi="Times New Roman" w:cs="Times New Roman"/>
                <w:sz w:val="24"/>
                <w:szCs w:val="24"/>
              </w:rPr>
              <w:t xml:space="preserve">1 kW </w:t>
            </w:r>
            <w:r w:rsidRPr="00BB12D5">
              <w:rPr>
                <w:rFonts w:ascii="Times New Roman" w:hAnsi="Times New Roman" w:cs="Times New Roman"/>
                <w:sz w:val="24"/>
                <w:szCs w:val="24"/>
              </w:rPr>
              <w:t>kainą.</w:t>
            </w:r>
          </w:p>
          <w:p w:rsidR="00BE2002" w:rsidRPr="004B0A17" w:rsidRDefault="00BE2002" w:rsidP="00BE2002">
            <w:pPr>
              <w:jc w:val="both"/>
              <w:rPr>
                <w:b/>
                <w:color w:val="000000" w:themeColor="text1"/>
                <w:szCs w:val="24"/>
              </w:rPr>
            </w:pPr>
          </w:p>
        </w:tc>
      </w:tr>
      <w:tr w:rsidR="00BE2002" w:rsidRPr="00BB12D5" w:rsidTr="00096D3F">
        <w:tc>
          <w:tcPr>
            <w:tcW w:w="625" w:type="dxa"/>
            <w:shd w:val="clear" w:color="auto" w:fill="auto"/>
          </w:tcPr>
          <w:p w:rsidR="00BE2002" w:rsidRPr="004B0A17" w:rsidRDefault="00BE2002" w:rsidP="00665939">
            <w:pPr>
              <w:pStyle w:val="ListParagraph"/>
              <w:numPr>
                <w:ilvl w:val="0"/>
                <w:numId w:val="1"/>
              </w:numPr>
              <w:ind w:left="0" w:right="-392" w:firstLine="0"/>
              <w:rPr>
                <w:color w:val="000000" w:themeColor="text1"/>
                <w:szCs w:val="24"/>
              </w:rPr>
            </w:pPr>
          </w:p>
        </w:tc>
        <w:tc>
          <w:tcPr>
            <w:tcW w:w="4770" w:type="dxa"/>
            <w:shd w:val="clear" w:color="auto" w:fill="auto"/>
          </w:tcPr>
          <w:p w:rsidR="00BE2002" w:rsidRPr="004B0A17" w:rsidRDefault="00BE2002" w:rsidP="009E2FA7">
            <w:pPr>
              <w:pStyle w:val="NoSpacing"/>
              <w:spacing w:line="276" w:lineRule="auto"/>
              <w:jc w:val="both"/>
              <w:rPr>
                <w:rFonts w:ascii="Times New Roman" w:hAnsi="Times New Roman" w:cs="Times New Roman"/>
                <w:sz w:val="24"/>
                <w:szCs w:val="24"/>
              </w:rPr>
            </w:pPr>
            <w:r w:rsidRPr="00BB12D5">
              <w:rPr>
                <w:rFonts w:ascii="Times New Roman" w:hAnsi="Times New Roman" w:cs="Times New Roman"/>
                <w:sz w:val="24"/>
                <w:szCs w:val="24"/>
              </w:rPr>
              <w:t xml:space="preserve">Taikant nustatytus kriterijus praktikoje bus sunku </w:t>
            </w:r>
            <w:r w:rsidRPr="004B0A17">
              <w:rPr>
                <w:rFonts w:ascii="Times New Roman" w:hAnsi="Times New Roman" w:cs="Times New Roman"/>
                <w:sz w:val="24"/>
                <w:szCs w:val="24"/>
              </w:rPr>
              <w:t xml:space="preserve">nustatyti keičiamų katilų taršą ir energinį efektyvumą, kadangi namų ūkiuose įrengti katilai, </w:t>
            </w:r>
            <w:proofErr w:type="gramStart"/>
            <w:r w:rsidRPr="004B0A17">
              <w:rPr>
                <w:rFonts w:ascii="Times New Roman" w:hAnsi="Times New Roman" w:cs="Times New Roman"/>
                <w:sz w:val="24"/>
                <w:szCs w:val="24"/>
              </w:rPr>
              <w:t>kaip taisyklė</w:t>
            </w:r>
            <w:proofErr w:type="gramEnd"/>
            <w:r w:rsidRPr="004B0A17">
              <w:rPr>
                <w:rFonts w:ascii="Times New Roman" w:hAnsi="Times New Roman" w:cs="Times New Roman"/>
                <w:sz w:val="24"/>
                <w:szCs w:val="24"/>
              </w:rPr>
              <w:t xml:space="preserve">, neturi nei sunaudoto kuro, nei pagamintos energijos (šilumos) apskaitos. </w:t>
            </w:r>
          </w:p>
        </w:tc>
        <w:tc>
          <w:tcPr>
            <w:tcW w:w="4320" w:type="dxa"/>
            <w:shd w:val="clear" w:color="auto" w:fill="auto"/>
          </w:tcPr>
          <w:p w:rsidR="00DC086F" w:rsidRPr="004B0A17" w:rsidRDefault="00DC086F" w:rsidP="00DC086F">
            <w:pPr>
              <w:jc w:val="both"/>
              <w:rPr>
                <w:b/>
                <w:color w:val="000000" w:themeColor="text1"/>
                <w:szCs w:val="24"/>
              </w:rPr>
            </w:pPr>
            <w:r w:rsidRPr="004B0A17">
              <w:rPr>
                <w:b/>
                <w:color w:val="000000" w:themeColor="text1"/>
                <w:szCs w:val="24"/>
              </w:rPr>
              <w:t>Neatsižvelgta.</w:t>
            </w:r>
          </w:p>
          <w:p w:rsidR="00BE2002" w:rsidRPr="004B0A17" w:rsidRDefault="00CD63A8" w:rsidP="004B0A17">
            <w:pPr>
              <w:pStyle w:val="NoSpacing"/>
              <w:spacing w:line="276" w:lineRule="auto"/>
              <w:jc w:val="both"/>
              <w:rPr>
                <w:rFonts w:ascii="Times New Roman" w:hAnsi="Times New Roman" w:cs="Times New Roman"/>
                <w:b/>
                <w:color w:val="000000" w:themeColor="text1"/>
                <w:sz w:val="24"/>
                <w:szCs w:val="24"/>
              </w:rPr>
            </w:pPr>
            <w:r w:rsidRPr="00BB12D5">
              <w:rPr>
                <w:rFonts w:ascii="Times New Roman" w:hAnsi="Times New Roman" w:cs="Times New Roman"/>
                <w:sz w:val="24"/>
                <w:szCs w:val="24"/>
              </w:rPr>
              <w:t>Projektų atrankos kriterij</w:t>
            </w:r>
            <w:r w:rsidR="00C31B74" w:rsidRPr="00BB12D5">
              <w:rPr>
                <w:rFonts w:ascii="Times New Roman" w:hAnsi="Times New Roman" w:cs="Times New Roman"/>
                <w:sz w:val="24"/>
                <w:szCs w:val="24"/>
              </w:rPr>
              <w:t>ai</w:t>
            </w:r>
            <w:r w:rsidRPr="00BB12D5">
              <w:rPr>
                <w:rFonts w:ascii="Times New Roman" w:hAnsi="Times New Roman" w:cs="Times New Roman"/>
                <w:sz w:val="24"/>
                <w:szCs w:val="24"/>
              </w:rPr>
              <w:t xml:space="preserve"> taikomi naujai diegiamiems šil</w:t>
            </w:r>
            <w:r w:rsidR="00D34DF9">
              <w:rPr>
                <w:rFonts w:ascii="Times New Roman" w:hAnsi="Times New Roman" w:cs="Times New Roman"/>
                <w:sz w:val="24"/>
                <w:szCs w:val="24"/>
              </w:rPr>
              <w:t xml:space="preserve">umos gamybos </w:t>
            </w:r>
            <w:r w:rsidRPr="00BB12D5">
              <w:rPr>
                <w:rFonts w:ascii="Times New Roman" w:hAnsi="Times New Roman" w:cs="Times New Roman"/>
                <w:sz w:val="24"/>
                <w:szCs w:val="24"/>
              </w:rPr>
              <w:t>įrenginiams</w:t>
            </w:r>
            <w:r w:rsidR="00D34DF9">
              <w:rPr>
                <w:rFonts w:ascii="Times New Roman" w:hAnsi="Times New Roman" w:cs="Times New Roman"/>
                <w:sz w:val="24"/>
                <w:szCs w:val="24"/>
              </w:rPr>
              <w:t>, tad tik jų techniniai duomenys bus vertinami ir tarpusavyje lyginami</w:t>
            </w:r>
            <w:r w:rsidRPr="00BB12D5">
              <w:rPr>
                <w:rFonts w:ascii="Times New Roman" w:hAnsi="Times New Roman" w:cs="Times New Roman"/>
                <w:sz w:val="24"/>
                <w:szCs w:val="24"/>
              </w:rPr>
              <w:t xml:space="preserve">. </w:t>
            </w:r>
          </w:p>
        </w:tc>
      </w:tr>
      <w:tr w:rsidR="00BE2002" w:rsidRPr="00BB12D5" w:rsidTr="00096D3F">
        <w:tc>
          <w:tcPr>
            <w:tcW w:w="625" w:type="dxa"/>
            <w:shd w:val="clear" w:color="auto" w:fill="auto"/>
          </w:tcPr>
          <w:p w:rsidR="00BE2002" w:rsidRPr="004B0A17" w:rsidRDefault="00BE2002" w:rsidP="00665939">
            <w:pPr>
              <w:pStyle w:val="ListParagraph"/>
              <w:numPr>
                <w:ilvl w:val="0"/>
                <w:numId w:val="1"/>
              </w:numPr>
              <w:ind w:left="0" w:right="-392" w:firstLine="0"/>
              <w:rPr>
                <w:color w:val="000000" w:themeColor="text1"/>
                <w:szCs w:val="24"/>
              </w:rPr>
            </w:pPr>
          </w:p>
        </w:tc>
        <w:tc>
          <w:tcPr>
            <w:tcW w:w="4770" w:type="dxa"/>
            <w:shd w:val="clear" w:color="auto" w:fill="auto"/>
          </w:tcPr>
          <w:p w:rsidR="00BE2002" w:rsidRPr="004B0A17" w:rsidRDefault="00BE2002" w:rsidP="00BE2002">
            <w:pPr>
              <w:pStyle w:val="NoSpacing"/>
              <w:spacing w:line="276" w:lineRule="auto"/>
              <w:jc w:val="both"/>
              <w:rPr>
                <w:rFonts w:ascii="Times New Roman" w:hAnsi="Times New Roman" w:cs="Times New Roman"/>
                <w:sz w:val="24"/>
                <w:szCs w:val="24"/>
              </w:rPr>
            </w:pPr>
            <w:r w:rsidRPr="00BB12D5">
              <w:rPr>
                <w:rFonts w:ascii="Times New Roman" w:hAnsi="Times New Roman" w:cs="Times New Roman"/>
                <w:sz w:val="24"/>
                <w:szCs w:val="24"/>
              </w:rPr>
              <w:t>Dėl 4 kriterijaus „Energetiškai efektyvesnių te</w:t>
            </w:r>
            <w:r w:rsidRPr="004B0A17">
              <w:rPr>
                <w:rFonts w:ascii="Times New Roman" w:hAnsi="Times New Roman" w:cs="Times New Roman"/>
                <w:sz w:val="24"/>
                <w:szCs w:val="24"/>
              </w:rPr>
              <w:t xml:space="preserve">chnologijų diegimas”. Neaišku kuo vadovaujantis palikta galimybė finansuoti projektus, kuriuose diegiamas įrenginys yra mažesnio efektyvumo negu keičiamas: </w:t>
            </w:r>
            <w:r w:rsidRPr="004B0A17">
              <w:rPr>
                <w:rFonts w:ascii="Times New Roman" w:hAnsi="Times New Roman" w:cs="Times New Roman"/>
                <w:i/>
                <w:sz w:val="24"/>
                <w:szCs w:val="24"/>
              </w:rPr>
              <w:t xml:space="preserve">„-Žemesnis balas bus skiriamas projektams, kuriais neefektyvūs biomasę naudojantys katilai namų ūkiuose bus keičiami į įrenginius, kurie 1 kWh šilumos kiekio pagaminti naudoja daugiau pirminio kuro ar energijos, perskaičiuoto </w:t>
            </w:r>
            <w:proofErr w:type="gramStart"/>
            <w:r w:rsidRPr="004B0A17">
              <w:rPr>
                <w:rFonts w:ascii="Times New Roman" w:hAnsi="Times New Roman" w:cs="Times New Roman"/>
                <w:i/>
                <w:sz w:val="24"/>
                <w:szCs w:val="24"/>
              </w:rPr>
              <w:t>(</w:t>
            </w:r>
            <w:proofErr w:type="gramEnd"/>
            <w:r w:rsidRPr="004B0A17">
              <w:rPr>
                <w:rFonts w:ascii="Times New Roman" w:hAnsi="Times New Roman" w:cs="Times New Roman"/>
                <w:i/>
                <w:sz w:val="24"/>
                <w:szCs w:val="24"/>
              </w:rPr>
              <w:t>-s) į energijos ekvivalentą (kgne).“</w:t>
            </w:r>
            <w:r w:rsidRPr="004B0A17">
              <w:rPr>
                <w:rFonts w:ascii="Times New Roman" w:hAnsi="Times New Roman" w:cs="Times New Roman"/>
                <w:sz w:val="24"/>
                <w:szCs w:val="24"/>
              </w:rPr>
              <w:t xml:space="preserve"> </w:t>
            </w:r>
          </w:p>
          <w:p w:rsidR="00BE2002" w:rsidRPr="004B0A17" w:rsidRDefault="00BE2002" w:rsidP="00BE2002">
            <w:pPr>
              <w:pStyle w:val="NoSpacing"/>
              <w:spacing w:line="276" w:lineRule="auto"/>
              <w:jc w:val="both"/>
              <w:rPr>
                <w:rFonts w:ascii="Times New Roman" w:hAnsi="Times New Roman" w:cs="Times New Roman"/>
                <w:sz w:val="24"/>
                <w:szCs w:val="24"/>
              </w:rPr>
            </w:pPr>
            <w:r w:rsidRPr="004B0A17">
              <w:rPr>
                <w:rFonts w:ascii="Times New Roman" w:hAnsi="Times New Roman" w:cs="Times New Roman"/>
                <w:sz w:val="24"/>
                <w:szCs w:val="24"/>
              </w:rPr>
              <w:t xml:space="preserve">Mūsų nuomone, tokių įrenginių instaliavimui parama neturėtų būti teikiama, kadangi projektas neatitinka paramos tikslų – nepadidina energijos vartojimo efektyvumo ir (jei nekeičiama kuro rūšis) nesumažina taršos. </w:t>
            </w:r>
          </w:p>
        </w:tc>
        <w:tc>
          <w:tcPr>
            <w:tcW w:w="4320" w:type="dxa"/>
            <w:shd w:val="clear" w:color="auto" w:fill="auto"/>
          </w:tcPr>
          <w:p w:rsidR="0068492F" w:rsidRPr="004B0A17" w:rsidRDefault="0068492F" w:rsidP="0068492F">
            <w:pPr>
              <w:jc w:val="both"/>
              <w:rPr>
                <w:b/>
                <w:color w:val="000000" w:themeColor="text1"/>
                <w:szCs w:val="24"/>
              </w:rPr>
            </w:pPr>
            <w:r w:rsidRPr="004B0A17">
              <w:rPr>
                <w:b/>
                <w:color w:val="000000" w:themeColor="text1"/>
                <w:szCs w:val="24"/>
              </w:rPr>
              <w:t>Neatsižvelgta.</w:t>
            </w:r>
          </w:p>
          <w:p w:rsidR="00BE2002" w:rsidRPr="004B0A17" w:rsidRDefault="00CD63A8" w:rsidP="00F750D0">
            <w:pPr>
              <w:jc w:val="both"/>
              <w:rPr>
                <w:b/>
                <w:color w:val="000000" w:themeColor="text1"/>
                <w:szCs w:val="24"/>
              </w:rPr>
            </w:pPr>
            <w:r w:rsidRPr="00BB12D5">
              <w:rPr>
                <w:szCs w:val="24"/>
              </w:rPr>
              <w:t xml:space="preserve">4-tas projektų atrankos kriterijus „Energetiškai efektyvesnių technologijų diegimas” diferencijuoja </w:t>
            </w:r>
            <w:r w:rsidR="00D34DF9">
              <w:rPr>
                <w:szCs w:val="24"/>
              </w:rPr>
              <w:t xml:space="preserve">naujai diegiamas </w:t>
            </w:r>
            <w:r w:rsidRPr="00BB12D5">
              <w:rPr>
                <w:szCs w:val="24"/>
              </w:rPr>
              <w:t>efektyv</w:t>
            </w:r>
            <w:r w:rsidR="004B0A17">
              <w:rPr>
                <w:szCs w:val="24"/>
              </w:rPr>
              <w:t>esnes</w:t>
            </w:r>
            <w:r w:rsidRPr="00D34DF9">
              <w:rPr>
                <w:szCs w:val="24"/>
              </w:rPr>
              <w:t xml:space="preserve"> technologijas, lygindamas jas tarpusavyje, o ne lygindamas naujai diegiamo įrenginio techninius duomenis su neefektyvaus keičiamo įrenginio techniniais duomenimis</w:t>
            </w:r>
            <w:r w:rsidR="00D34DF9">
              <w:rPr>
                <w:szCs w:val="24"/>
              </w:rPr>
              <w:t xml:space="preserve"> (p</w:t>
            </w:r>
            <w:r w:rsidRPr="00D34DF9">
              <w:rPr>
                <w:szCs w:val="24"/>
              </w:rPr>
              <w:t>aaiškinimas yra pateiktas kriterijaus aprašyme</w:t>
            </w:r>
            <w:r w:rsidR="00D34DF9">
              <w:rPr>
                <w:szCs w:val="24"/>
              </w:rPr>
              <w:t>)</w:t>
            </w:r>
            <w:r w:rsidRPr="00D34DF9">
              <w:rPr>
                <w:szCs w:val="24"/>
              </w:rPr>
              <w:t xml:space="preserve">. </w:t>
            </w:r>
            <w:r w:rsidRPr="00D34DF9">
              <w:rPr>
                <w:bCs/>
                <w:szCs w:val="24"/>
              </w:rPr>
              <w:t>Todėl nebus sudarytos galimybės</w:t>
            </w:r>
            <w:r w:rsidRPr="00D34DF9" w:rsidDel="00EA7209">
              <w:rPr>
                <w:bCs/>
                <w:szCs w:val="24"/>
              </w:rPr>
              <w:t xml:space="preserve"> </w:t>
            </w:r>
            <w:r w:rsidRPr="00D34DF9">
              <w:rPr>
                <w:bCs/>
                <w:szCs w:val="24"/>
              </w:rPr>
              <w:t xml:space="preserve">keičiant įrenginį, </w:t>
            </w:r>
            <w:r w:rsidR="00D34DF9">
              <w:rPr>
                <w:bCs/>
                <w:szCs w:val="24"/>
              </w:rPr>
              <w:t xml:space="preserve">finansuoti </w:t>
            </w:r>
            <w:r w:rsidRPr="00D34DF9">
              <w:rPr>
                <w:bCs/>
                <w:szCs w:val="24"/>
              </w:rPr>
              <w:t>mažesnio efektyvumo nei esamas. Be to</w:t>
            </w:r>
            <w:r w:rsidR="00207316" w:rsidRPr="00D34DF9">
              <w:rPr>
                <w:bCs/>
                <w:szCs w:val="24"/>
              </w:rPr>
              <w:t>,</w:t>
            </w:r>
            <w:r w:rsidRPr="00D34DF9">
              <w:rPr>
                <w:bCs/>
                <w:szCs w:val="24"/>
              </w:rPr>
              <w:t xml:space="preserve"> projekto finansavimo sąlygų apraše bus nurodyta kokio efektyvumo įrenginiams bus teikiama parama.</w:t>
            </w:r>
          </w:p>
        </w:tc>
      </w:tr>
      <w:tr w:rsidR="00665939" w:rsidRPr="004B0A17" w:rsidTr="00096D3F">
        <w:trPr>
          <w:trHeight w:val="70"/>
        </w:trPr>
        <w:tc>
          <w:tcPr>
            <w:tcW w:w="9715" w:type="dxa"/>
            <w:gridSpan w:val="3"/>
            <w:shd w:val="clear" w:color="auto" w:fill="F2F2F2"/>
          </w:tcPr>
          <w:p w:rsidR="00665939" w:rsidRPr="004B0A17" w:rsidRDefault="00665939" w:rsidP="00665939">
            <w:pPr>
              <w:tabs>
                <w:tab w:val="left" w:pos="465"/>
              </w:tabs>
              <w:spacing w:line="360" w:lineRule="auto"/>
              <w:ind w:left="40"/>
              <w:jc w:val="center"/>
              <w:rPr>
                <w:b/>
                <w:color w:val="000000" w:themeColor="text1"/>
                <w:szCs w:val="24"/>
              </w:rPr>
            </w:pPr>
            <w:r w:rsidRPr="004B0A17">
              <w:rPr>
                <w:b/>
                <w:color w:val="000000" w:themeColor="text1"/>
                <w:szCs w:val="24"/>
              </w:rPr>
              <w:t>Aplinkos ministerija 201</w:t>
            </w:r>
            <w:r w:rsidR="007172CC" w:rsidRPr="004B0A17">
              <w:rPr>
                <w:b/>
                <w:color w:val="000000" w:themeColor="text1"/>
                <w:szCs w:val="24"/>
              </w:rPr>
              <w:t>8</w:t>
            </w:r>
            <w:r w:rsidRPr="004B0A17">
              <w:rPr>
                <w:b/>
                <w:color w:val="000000" w:themeColor="text1"/>
                <w:szCs w:val="24"/>
              </w:rPr>
              <w:t>-</w:t>
            </w:r>
            <w:r w:rsidR="007172CC" w:rsidRPr="004B0A17">
              <w:rPr>
                <w:b/>
                <w:color w:val="000000" w:themeColor="text1"/>
                <w:szCs w:val="24"/>
              </w:rPr>
              <w:t>01</w:t>
            </w:r>
            <w:r w:rsidRPr="004B0A17">
              <w:rPr>
                <w:b/>
                <w:color w:val="000000" w:themeColor="text1"/>
                <w:szCs w:val="24"/>
              </w:rPr>
              <w:t>-</w:t>
            </w:r>
            <w:r w:rsidR="00ED0043" w:rsidRPr="004B0A17">
              <w:rPr>
                <w:b/>
                <w:color w:val="000000" w:themeColor="text1"/>
                <w:szCs w:val="24"/>
              </w:rPr>
              <w:t>30</w:t>
            </w:r>
            <w:r w:rsidRPr="004B0A17">
              <w:rPr>
                <w:b/>
                <w:color w:val="000000" w:themeColor="text1"/>
                <w:szCs w:val="24"/>
              </w:rPr>
              <w:t xml:space="preserve"> raštas Nr. (10-4)-D8-</w:t>
            </w:r>
            <w:r w:rsidR="003D3265" w:rsidRPr="004B0A17">
              <w:rPr>
                <w:b/>
                <w:color w:val="000000" w:themeColor="text1"/>
                <w:szCs w:val="24"/>
              </w:rPr>
              <w:t>608</w:t>
            </w:r>
          </w:p>
        </w:tc>
      </w:tr>
      <w:tr w:rsidR="00665939" w:rsidRPr="004B0A17" w:rsidTr="004F65A2">
        <w:trPr>
          <w:trHeight w:val="1448"/>
        </w:trPr>
        <w:tc>
          <w:tcPr>
            <w:tcW w:w="625" w:type="dxa"/>
            <w:shd w:val="clear" w:color="auto" w:fill="auto"/>
          </w:tcPr>
          <w:p w:rsidR="00665939" w:rsidRPr="004B0A17" w:rsidRDefault="00665939" w:rsidP="00665939">
            <w:pPr>
              <w:pStyle w:val="ListParagraph"/>
              <w:numPr>
                <w:ilvl w:val="0"/>
                <w:numId w:val="1"/>
              </w:numPr>
              <w:ind w:left="0" w:right="-392" w:firstLine="0"/>
              <w:rPr>
                <w:color w:val="000000" w:themeColor="text1"/>
                <w:szCs w:val="24"/>
              </w:rPr>
            </w:pPr>
          </w:p>
        </w:tc>
        <w:tc>
          <w:tcPr>
            <w:tcW w:w="4770" w:type="dxa"/>
            <w:shd w:val="clear" w:color="auto" w:fill="auto"/>
          </w:tcPr>
          <w:p w:rsidR="004B0A17" w:rsidRPr="00BB12D5" w:rsidRDefault="00AB14D5" w:rsidP="004B0A17">
            <w:pPr>
              <w:pStyle w:val="BodyText"/>
              <w:spacing w:line="276" w:lineRule="auto"/>
              <w:rPr>
                <w:rStyle w:val="FontStyle15"/>
                <w:rFonts w:eastAsia="Calibri" w:cs="Times New Roman"/>
                <w:sz w:val="24"/>
                <w:lang w:bidi="ar-SA"/>
              </w:rPr>
            </w:pPr>
            <w:r w:rsidRPr="004B0A17">
              <w:rPr>
                <w:rFonts w:cs="Times New Roman"/>
              </w:rPr>
              <w:t>Įvertinę pateiktus atnaujintus pasiūlymus dėl priemonės Nr.</w:t>
            </w:r>
            <w:r w:rsidRPr="004B0A17">
              <w:rPr>
                <w:rFonts w:cs="Times New Roman"/>
                <w:bCs/>
                <w:caps/>
              </w:rPr>
              <w:t xml:space="preserve"> 04.3.2-lvpa</w:t>
            </w:r>
            <w:proofErr w:type="gramStart"/>
            <w:r w:rsidRPr="004B0A17">
              <w:rPr>
                <w:rFonts w:cs="Times New Roman"/>
                <w:bCs/>
                <w:caps/>
              </w:rPr>
              <w:t>-</w:t>
            </w:r>
            <w:proofErr w:type="gramEnd"/>
            <w:r w:rsidRPr="004B0A17">
              <w:rPr>
                <w:rFonts w:cs="Times New Roman"/>
                <w:bCs/>
                <w:caps/>
              </w:rPr>
              <w:t xml:space="preserve">k-111 </w:t>
            </w:r>
            <w:r w:rsidRPr="004B0A17">
              <w:rPr>
                <w:rFonts w:cs="Times New Roman"/>
              </w:rPr>
              <w:t xml:space="preserve">„Katilų keitimas namų ūkiuose“ (toliau – priemonė) projektų atrankos kriterijų (toliau – PAK) nustatymo, </w:t>
            </w:r>
            <w:r w:rsidRPr="004B0A17">
              <w:rPr>
                <w:rFonts w:cs="Times New Roman"/>
                <w:b/>
                <w:i/>
              </w:rPr>
              <w:t>pakartotinai atkreipiame dėmesį</w:t>
            </w:r>
            <w:r w:rsidRPr="004B0A17">
              <w:rPr>
                <w:rFonts w:cs="Times New Roman"/>
              </w:rPr>
              <w:t xml:space="preserve">, kad atnaujinti PAK neatspindi Vyriausybės kanceliarijoje vykusiuose tarpinstituciniuose </w:t>
            </w:r>
            <w:r w:rsidRPr="004B0A17">
              <w:rPr>
                <w:rFonts w:cs="Times New Roman"/>
              </w:rPr>
              <w:lastRenderedPageBreak/>
              <w:t>susitikimuose Vyriausybės kanceliarijos ir Aplinkos ministerijos atstovų pateiktų siūlymų teikti paramą ne tik biomasę, bet ir kitą kietąjį kurą (pvz. anglį) neefektyviai naudojančių individualių katilų keitimui į efektyvesnes technologijas, naudojančias AIE šilumos gamybai namų ūkiuose, kurie nėra prijungti prie CŠT sistemos, nors, mūsų nuomone, 2018 m. sausio 4 d. Vyriausybės kanceliarijoje vykusiame pasitarime Finansų ministerijos atstovė dėl tokių pasiūlymų neprieštaravo.</w:t>
            </w:r>
          </w:p>
        </w:tc>
        <w:tc>
          <w:tcPr>
            <w:tcW w:w="4320" w:type="dxa"/>
            <w:shd w:val="clear" w:color="auto" w:fill="auto"/>
          </w:tcPr>
          <w:p w:rsidR="00665939" w:rsidRPr="004B0A17" w:rsidRDefault="003614A3" w:rsidP="00665939">
            <w:pPr>
              <w:jc w:val="both"/>
              <w:rPr>
                <w:b/>
                <w:color w:val="000000" w:themeColor="text1"/>
                <w:szCs w:val="24"/>
              </w:rPr>
            </w:pPr>
            <w:r w:rsidRPr="004B0A17">
              <w:rPr>
                <w:b/>
                <w:color w:val="000000" w:themeColor="text1"/>
                <w:szCs w:val="24"/>
              </w:rPr>
              <w:lastRenderedPageBreak/>
              <w:t>Neatsižvelgta.</w:t>
            </w:r>
          </w:p>
          <w:p w:rsidR="00D17ECE" w:rsidRPr="004B0A17" w:rsidRDefault="00D17ECE" w:rsidP="0043057A">
            <w:pPr>
              <w:pStyle w:val="NoSpacing"/>
              <w:spacing w:line="276" w:lineRule="auto"/>
              <w:ind w:left="25"/>
              <w:jc w:val="both"/>
              <w:rPr>
                <w:rFonts w:ascii="Times New Roman" w:hAnsi="Times New Roman" w:cs="Times New Roman"/>
                <w:sz w:val="24"/>
                <w:szCs w:val="24"/>
              </w:rPr>
            </w:pPr>
            <w:r w:rsidRPr="00BB12D5">
              <w:rPr>
                <w:rFonts w:ascii="Times New Roman" w:hAnsi="Times New Roman" w:cs="Times New Roman"/>
                <w:sz w:val="24"/>
                <w:szCs w:val="24"/>
              </w:rPr>
              <w:t xml:space="preserve">Vadovaujantis </w:t>
            </w:r>
            <w:r w:rsidR="005166B8" w:rsidRPr="00BB12D5">
              <w:rPr>
                <w:rFonts w:ascii="Times New Roman" w:hAnsi="Times New Roman" w:cs="Times New Roman"/>
                <w:sz w:val="24"/>
                <w:szCs w:val="24"/>
              </w:rPr>
              <w:t>2014</w:t>
            </w:r>
            <w:proofErr w:type="gramStart"/>
            <w:r w:rsidR="005166B8" w:rsidRPr="00BB12D5">
              <w:rPr>
                <w:rFonts w:ascii="Times New Roman" w:hAnsi="Times New Roman" w:cs="Times New Roman"/>
                <w:sz w:val="24"/>
                <w:szCs w:val="24"/>
              </w:rPr>
              <w:t>-</w:t>
            </w:r>
            <w:proofErr w:type="gramEnd"/>
            <w:r w:rsidR="005166B8" w:rsidRPr="00BB12D5">
              <w:rPr>
                <w:rFonts w:ascii="Times New Roman" w:hAnsi="Times New Roman" w:cs="Times New Roman"/>
                <w:sz w:val="24"/>
                <w:szCs w:val="24"/>
              </w:rPr>
              <w:t>2020 m. ES fondų investicijų veiksm</w:t>
            </w:r>
            <w:r w:rsidRPr="004B0A17">
              <w:rPr>
                <w:rFonts w:ascii="Times New Roman" w:hAnsi="Times New Roman" w:cs="Times New Roman"/>
                <w:sz w:val="24"/>
                <w:szCs w:val="24"/>
              </w:rPr>
              <w:t>ų</w:t>
            </w:r>
            <w:r w:rsidR="005166B8" w:rsidRPr="004B0A17">
              <w:rPr>
                <w:rFonts w:ascii="Times New Roman" w:hAnsi="Times New Roman" w:cs="Times New Roman"/>
                <w:sz w:val="24"/>
                <w:szCs w:val="24"/>
              </w:rPr>
              <w:t xml:space="preserve"> program</w:t>
            </w:r>
            <w:r w:rsidRPr="004B0A17">
              <w:rPr>
                <w:rFonts w:ascii="Times New Roman" w:hAnsi="Times New Roman" w:cs="Times New Roman"/>
                <w:sz w:val="24"/>
                <w:szCs w:val="24"/>
              </w:rPr>
              <w:t xml:space="preserve">a, kurios 4.3. investicinio prioriteto įgyvendinimo veiklose numatyta remti </w:t>
            </w:r>
            <w:r w:rsidR="005166B8" w:rsidRPr="004B0A17">
              <w:rPr>
                <w:rFonts w:ascii="Times New Roman" w:hAnsi="Times New Roman" w:cs="Times New Roman"/>
                <w:sz w:val="24"/>
                <w:szCs w:val="24"/>
              </w:rPr>
              <w:t>neefektyviai biomasę naudojančių katilų namų ūkiuose, kurie nėra prijungti prie centralizuotai tiekiamos šilumos sistemos, keitim</w:t>
            </w:r>
            <w:r w:rsidRPr="004B0A17">
              <w:rPr>
                <w:rFonts w:ascii="Times New Roman" w:hAnsi="Times New Roman" w:cs="Times New Roman"/>
                <w:sz w:val="24"/>
                <w:szCs w:val="24"/>
              </w:rPr>
              <w:t>ą</w:t>
            </w:r>
            <w:r w:rsidR="005166B8" w:rsidRPr="004B0A17">
              <w:rPr>
                <w:rFonts w:ascii="Times New Roman" w:hAnsi="Times New Roman" w:cs="Times New Roman"/>
                <w:sz w:val="24"/>
                <w:szCs w:val="24"/>
              </w:rPr>
              <w:t xml:space="preserve"> į </w:t>
            </w:r>
            <w:r w:rsidR="005166B8" w:rsidRPr="004B0A17">
              <w:rPr>
                <w:rFonts w:ascii="Times New Roman" w:hAnsi="Times New Roman" w:cs="Times New Roman"/>
                <w:sz w:val="24"/>
                <w:szCs w:val="24"/>
              </w:rPr>
              <w:lastRenderedPageBreak/>
              <w:t>efektyvesnes technologijas, naudojančias AIE šilumos gamybai</w:t>
            </w:r>
            <w:r w:rsidRPr="004B0A17">
              <w:rPr>
                <w:rFonts w:ascii="Times New Roman" w:hAnsi="Times New Roman" w:cs="Times New Roman"/>
                <w:sz w:val="24"/>
                <w:szCs w:val="24"/>
              </w:rPr>
              <w:t>, nėra galimybių nepakeitus Veiksmų programos remti kitas joje nenumatytas veiklas.</w:t>
            </w:r>
          </w:p>
          <w:p w:rsidR="00665939" w:rsidRPr="004B0A17" w:rsidRDefault="00665939" w:rsidP="00665939">
            <w:pPr>
              <w:pStyle w:val="Default"/>
              <w:jc w:val="both"/>
              <w:rPr>
                <w:color w:val="000000" w:themeColor="text1"/>
              </w:rPr>
            </w:pPr>
          </w:p>
        </w:tc>
      </w:tr>
    </w:tbl>
    <w:p w:rsidR="00495CA3" w:rsidRPr="004B0A17" w:rsidRDefault="00495CA3" w:rsidP="009F6AD8">
      <w:pPr>
        <w:rPr>
          <w:color w:val="000000" w:themeColor="text1"/>
          <w:szCs w:val="24"/>
          <w:lang w:val="en-US"/>
        </w:rPr>
      </w:pPr>
    </w:p>
    <w:p w:rsidR="00794454" w:rsidRPr="004B0A17" w:rsidRDefault="00495CA3" w:rsidP="008B00CC">
      <w:pPr>
        <w:jc w:val="center"/>
        <w:rPr>
          <w:color w:val="000000" w:themeColor="text1"/>
          <w:szCs w:val="24"/>
        </w:rPr>
      </w:pPr>
      <w:r w:rsidRPr="004B0A17">
        <w:rPr>
          <w:color w:val="000000" w:themeColor="text1"/>
          <w:szCs w:val="24"/>
        </w:rPr>
        <w:t>______________________________</w:t>
      </w:r>
    </w:p>
    <w:sectPr w:rsidR="00794454" w:rsidRPr="004B0A17" w:rsidSect="00096D3F">
      <w:headerReference w:type="default" r:id="rId8"/>
      <w:footerReference w:type="default" r:id="rId9"/>
      <w:pgSz w:w="11906" w:h="16838"/>
      <w:pgMar w:top="1106" w:right="709"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91D" w:rsidRDefault="0013791D">
      <w:r>
        <w:separator/>
      </w:r>
    </w:p>
  </w:endnote>
  <w:endnote w:type="continuationSeparator" w:id="0">
    <w:p w:rsidR="0013791D" w:rsidRDefault="0013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ndale Sans UI">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4F6" w:rsidRDefault="008544F6" w:rsidP="00096D3F">
    <w:pPr>
      <w:pStyle w:val="Footer"/>
      <w:ind w:right="-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91D" w:rsidRDefault="0013791D">
      <w:r>
        <w:separator/>
      </w:r>
    </w:p>
  </w:footnote>
  <w:footnote w:type="continuationSeparator" w:id="0">
    <w:p w:rsidR="0013791D" w:rsidRDefault="00137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4F6" w:rsidRDefault="008544F6">
    <w:pPr>
      <w:pStyle w:val="Header"/>
      <w:jc w:val="center"/>
    </w:pPr>
    <w:r>
      <w:fldChar w:fldCharType="begin"/>
    </w:r>
    <w:r>
      <w:instrText>PAGE   \* MERGEFORMAT</w:instrText>
    </w:r>
    <w:r>
      <w:fldChar w:fldCharType="separate"/>
    </w:r>
    <w:r w:rsidR="00C24232">
      <w:rPr>
        <w:noProof/>
      </w:rPr>
      <w:t>3</w:t>
    </w:r>
    <w:r>
      <w:fldChar w:fldCharType="end"/>
    </w:r>
  </w:p>
  <w:p w:rsidR="008544F6" w:rsidRDefault="00854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65E8B"/>
    <w:multiLevelType w:val="hybridMultilevel"/>
    <w:tmpl w:val="F6EED2F6"/>
    <w:lvl w:ilvl="0" w:tplc="976A3314">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15:restartNumberingAfterBreak="0">
    <w:nsid w:val="407C2194"/>
    <w:multiLevelType w:val="hybridMultilevel"/>
    <w:tmpl w:val="B25CE136"/>
    <w:lvl w:ilvl="0" w:tplc="8ADCAA7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AD6E56"/>
    <w:multiLevelType w:val="hybridMultilevel"/>
    <w:tmpl w:val="48380CD2"/>
    <w:lvl w:ilvl="0" w:tplc="DA06B64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9D82D39"/>
    <w:multiLevelType w:val="hybridMultilevel"/>
    <w:tmpl w:val="23E80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A97E07"/>
    <w:multiLevelType w:val="hybridMultilevel"/>
    <w:tmpl w:val="48380CD2"/>
    <w:lvl w:ilvl="0" w:tplc="DA06B64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B2A68A7"/>
    <w:multiLevelType w:val="multilevel"/>
    <w:tmpl w:val="87E854AA"/>
    <w:lvl w:ilvl="0">
      <w:start w:val="1"/>
      <w:numFmt w:val="decimal"/>
      <w:lvlText w:val="%1."/>
      <w:lvlJc w:val="left"/>
      <w:pPr>
        <w:ind w:left="644" w:hanging="360"/>
      </w:pPr>
      <w:rPr>
        <w:b w:val="0"/>
      </w:rPr>
    </w:lvl>
    <w:lvl w:ilvl="1">
      <w:start w:val="3"/>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7AFA1D3B"/>
    <w:multiLevelType w:val="hybridMultilevel"/>
    <w:tmpl w:val="B6DA3A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CA3"/>
    <w:rsid w:val="00006CE3"/>
    <w:rsid w:val="00007894"/>
    <w:rsid w:val="000152C4"/>
    <w:rsid w:val="00027B7F"/>
    <w:rsid w:val="00030907"/>
    <w:rsid w:val="000314D3"/>
    <w:rsid w:val="0003262C"/>
    <w:rsid w:val="00033D6E"/>
    <w:rsid w:val="00060958"/>
    <w:rsid w:val="00062A21"/>
    <w:rsid w:val="00073C5D"/>
    <w:rsid w:val="000805A4"/>
    <w:rsid w:val="0008095F"/>
    <w:rsid w:val="00096D3F"/>
    <w:rsid w:val="000A5808"/>
    <w:rsid w:val="000B3134"/>
    <w:rsid w:val="000B344C"/>
    <w:rsid w:val="000B6485"/>
    <w:rsid w:val="000C2E8E"/>
    <w:rsid w:val="000E209C"/>
    <w:rsid w:val="000F6059"/>
    <w:rsid w:val="000F780B"/>
    <w:rsid w:val="00103962"/>
    <w:rsid w:val="0010465D"/>
    <w:rsid w:val="00117F10"/>
    <w:rsid w:val="00132D21"/>
    <w:rsid w:val="0013791D"/>
    <w:rsid w:val="001437DE"/>
    <w:rsid w:val="0016168F"/>
    <w:rsid w:val="00167A60"/>
    <w:rsid w:val="00170458"/>
    <w:rsid w:val="00180F94"/>
    <w:rsid w:val="001928B7"/>
    <w:rsid w:val="001952AE"/>
    <w:rsid w:val="001A4878"/>
    <w:rsid w:val="001A6E02"/>
    <w:rsid w:val="001B1412"/>
    <w:rsid w:val="001B2574"/>
    <w:rsid w:val="001C6FF3"/>
    <w:rsid w:val="001E5995"/>
    <w:rsid w:val="001E5CD1"/>
    <w:rsid w:val="001F0943"/>
    <w:rsid w:val="00207316"/>
    <w:rsid w:val="002208FA"/>
    <w:rsid w:val="00236646"/>
    <w:rsid w:val="00252A1E"/>
    <w:rsid w:val="00252E9F"/>
    <w:rsid w:val="00265933"/>
    <w:rsid w:val="0027076A"/>
    <w:rsid w:val="002748ED"/>
    <w:rsid w:val="00282279"/>
    <w:rsid w:val="00292D30"/>
    <w:rsid w:val="00295E3E"/>
    <w:rsid w:val="002A3A80"/>
    <w:rsid w:val="002A45FF"/>
    <w:rsid w:val="002A4C22"/>
    <w:rsid w:val="002A79C7"/>
    <w:rsid w:val="002B0DA9"/>
    <w:rsid w:val="002B3E46"/>
    <w:rsid w:val="002B5909"/>
    <w:rsid w:val="002B7F6A"/>
    <w:rsid w:val="002D3115"/>
    <w:rsid w:val="002D6AE3"/>
    <w:rsid w:val="002E05E5"/>
    <w:rsid w:val="002E5822"/>
    <w:rsid w:val="002F21F2"/>
    <w:rsid w:val="002F2D26"/>
    <w:rsid w:val="002F6C15"/>
    <w:rsid w:val="002F73B6"/>
    <w:rsid w:val="0032379A"/>
    <w:rsid w:val="00336609"/>
    <w:rsid w:val="00344915"/>
    <w:rsid w:val="00347790"/>
    <w:rsid w:val="0035149A"/>
    <w:rsid w:val="003600AB"/>
    <w:rsid w:val="003614A3"/>
    <w:rsid w:val="003664F5"/>
    <w:rsid w:val="003C67E4"/>
    <w:rsid w:val="003D3265"/>
    <w:rsid w:val="004018BC"/>
    <w:rsid w:val="00401986"/>
    <w:rsid w:val="00412C33"/>
    <w:rsid w:val="004173A6"/>
    <w:rsid w:val="00425671"/>
    <w:rsid w:val="00426066"/>
    <w:rsid w:val="0043057A"/>
    <w:rsid w:val="004414EB"/>
    <w:rsid w:val="00444D45"/>
    <w:rsid w:val="00447C59"/>
    <w:rsid w:val="0045335F"/>
    <w:rsid w:val="004541A2"/>
    <w:rsid w:val="00464E10"/>
    <w:rsid w:val="004740B8"/>
    <w:rsid w:val="00481687"/>
    <w:rsid w:val="0048668E"/>
    <w:rsid w:val="00492397"/>
    <w:rsid w:val="00495CA3"/>
    <w:rsid w:val="004A0306"/>
    <w:rsid w:val="004A103F"/>
    <w:rsid w:val="004A3E33"/>
    <w:rsid w:val="004B0A17"/>
    <w:rsid w:val="004D677D"/>
    <w:rsid w:val="004E6BA8"/>
    <w:rsid w:val="004F65A2"/>
    <w:rsid w:val="005166B8"/>
    <w:rsid w:val="005406A2"/>
    <w:rsid w:val="00550899"/>
    <w:rsid w:val="005529EA"/>
    <w:rsid w:val="00581B6D"/>
    <w:rsid w:val="005970C0"/>
    <w:rsid w:val="005A2332"/>
    <w:rsid w:val="005A48E5"/>
    <w:rsid w:val="005B0285"/>
    <w:rsid w:val="005C5515"/>
    <w:rsid w:val="005C7C35"/>
    <w:rsid w:val="005E6E6A"/>
    <w:rsid w:val="00610212"/>
    <w:rsid w:val="00613BFC"/>
    <w:rsid w:val="006317E2"/>
    <w:rsid w:val="0064192B"/>
    <w:rsid w:val="006502DB"/>
    <w:rsid w:val="006530C0"/>
    <w:rsid w:val="006570FA"/>
    <w:rsid w:val="00665939"/>
    <w:rsid w:val="00671BB9"/>
    <w:rsid w:val="00676D66"/>
    <w:rsid w:val="0068492F"/>
    <w:rsid w:val="006912AD"/>
    <w:rsid w:val="00697BC1"/>
    <w:rsid w:val="006C3CD0"/>
    <w:rsid w:val="006C7DF3"/>
    <w:rsid w:val="006D1549"/>
    <w:rsid w:val="006E1489"/>
    <w:rsid w:val="006E6091"/>
    <w:rsid w:val="006F5E47"/>
    <w:rsid w:val="007030C4"/>
    <w:rsid w:val="00703FF4"/>
    <w:rsid w:val="00714F87"/>
    <w:rsid w:val="007172CC"/>
    <w:rsid w:val="007345EA"/>
    <w:rsid w:val="00745501"/>
    <w:rsid w:val="00762161"/>
    <w:rsid w:val="007726E3"/>
    <w:rsid w:val="00783984"/>
    <w:rsid w:val="00794454"/>
    <w:rsid w:val="00795247"/>
    <w:rsid w:val="007A2C12"/>
    <w:rsid w:val="007B00D2"/>
    <w:rsid w:val="007C04DA"/>
    <w:rsid w:val="007C2C68"/>
    <w:rsid w:val="007D4163"/>
    <w:rsid w:val="007F385D"/>
    <w:rsid w:val="00825ECB"/>
    <w:rsid w:val="00841154"/>
    <w:rsid w:val="00850DC1"/>
    <w:rsid w:val="008544F6"/>
    <w:rsid w:val="00855253"/>
    <w:rsid w:val="00864E54"/>
    <w:rsid w:val="008815A6"/>
    <w:rsid w:val="00893446"/>
    <w:rsid w:val="008B00CC"/>
    <w:rsid w:val="008B5EBE"/>
    <w:rsid w:val="008C4C3C"/>
    <w:rsid w:val="008D6D62"/>
    <w:rsid w:val="008E46C6"/>
    <w:rsid w:val="008E6D32"/>
    <w:rsid w:val="008F1347"/>
    <w:rsid w:val="008F463E"/>
    <w:rsid w:val="00906559"/>
    <w:rsid w:val="009113EE"/>
    <w:rsid w:val="0091391E"/>
    <w:rsid w:val="009249D6"/>
    <w:rsid w:val="00962A4D"/>
    <w:rsid w:val="009657CC"/>
    <w:rsid w:val="009808C2"/>
    <w:rsid w:val="0099722E"/>
    <w:rsid w:val="009A62BE"/>
    <w:rsid w:val="009B6504"/>
    <w:rsid w:val="009B7620"/>
    <w:rsid w:val="009E2FA7"/>
    <w:rsid w:val="009F6AD8"/>
    <w:rsid w:val="00A16984"/>
    <w:rsid w:val="00A24970"/>
    <w:rsid w:val="00A25060"/>
    <w:rsid w:val="00A332AC"/>
    <w:rsid w:val="00A53EC3"/>
    <w:rsid w:val="00A66759"/>
    <w:rsid w:val="00A751F6"/>
    <w:rsid w:val="00A82109"/>
    <w:rsid w:val="00A871B0"/>
    <w:rsid w:val="00A91128"/>
    <w:rsid w:val="00A92285"/>
    <w:rsid w:val="00AA419B"/>
    <w:rsid w:val="00AA618E"/>
    <w:rsid w:val="00AB14D5"/>
    <w:rsid w:val="00AB4ECE"/>
    <w:rsid w:val="00AC3DB9"/>
    <w:rsid w:val="00AE40C9"/>
    <w:rsid w:val="00B02B24"/>
    <w:rsid w:val="00B07F1B"/>
    <w:rsid w:val="00B10844"/>
    <w:rsid w:val="00B154E4"/>
    <w:rsid w:val="00B251F3"/>
    <w:rsid w:val="00B40AF5"/>
    <w:rsid w:val="00B46960"/>
    <w:rsid w:val="00B513E5"/>
    <w:rsid w:val="00B5763C"/>
    <w:rsid w:val="00B66956"/>
    <w:rsid w:val="00B855B9"/>
    <w:rsid w:val="00B926AF"/>
    <w:rsid w:val="00B93D1A"/>
    <w:rsid w:val="00BA13AB"/>
    <w:rsid w:val="00BA1CE5"/>
    <w:rsid w:val="00BB068A"/>
    <w:rsid w:val="00BB12D5"/>
    <w:rsid w:val="00BB1782"/>
    <w:rsid w:val="00BC0C3E"/>
    <w:rsid w:val="00BC6645"/>
    <w:rsid w:val="00BD277A"/>
    <w:rsid w:val="00BE2002"/>
    <w:rsid w:val="00BF3476"/>
    <w:rsid w:val="00BF3835"/>
    <w:rsid w:val="00BF6792"/>
    <w:rsid w:val="00BF7E2B"/>
    <w:rsid w:val="00C123A3"/>
    <w:rsid w:val="00C14D0F"/>
    <w:rsid w:val="00C2233C"/>
    <w:rsid w:val="00C24232"/>
    <w:rsid w:val="00C31B74"/>
    <w:rsid w:val="00C32D7E"/>
    <w:rsid w:val="00C417DA"/>
    <w:rsid w:val="00C43141"/>
    <w:rsid w:val="00C47B4A"/>
    <w:rsid w:val="00C53D07"/>
    <w:rsid w:val="00C65F36"/>
    <w:rsid w:val="00C662FC"/>
    <w:rsid w:val="00C66C3F"/>
    <w:rsid w:val="00C774B4"/>
    <w:rsid w:val="00C83F54"/>
    <w:rsid w:val="00CA1FC1"/>
    <w:rsid w:val="00CB028B"/>
    <w:rsid w:val="00CB1EBC"/>
    <w:rsid w:val="00CB33C9"/>
    <w:rsid w:val="00CB6042"/>
    <w:rsid w:val="00CD63A8"/>
    <w:rsid w:val="00CE06FD"/>
    <w:rsid w:val="00CE4610"/>
    <w:rsid w:val="00CF03F8"/>
    <w:rsid w:val="00CF0BB9"/>
    <w:rsid w:val="00D10BA9"/>
    <w:rsid w:val="00D17ECE"/>
    <w:rsid w:val="00D268FF"/>
    <w:rsid w:val="00D31F22"/>
    <w:rsid w:val="00D34DF9"/>
    <w:rsid w:val="00D3631F"/>
    <w:rsid w:val="00D51611"/>
    <w:rsid w:val="00D7198F"/>
    <w:rsid w:val="00D72FF9"/>
    <w:rsid w:val="00D7417B"/>
    <w:rsid w:val="00D82372"/>
    <w:rsid w:val="00D84464"/>
    <w:rsid w:val="00D90D08"/>
    <w:rsid w:val="00D977DA"/>
    <w:rsid w:val="00DA16A9"/>
    <w:rsid w:val="00DA42B6"/>
    <w:rsid w:val="00DB037D"/>
    <w:rsid w:val="00DB789F"/>
    <w:rsid w:val="00DC086F"/>
    <w:rsid w:val="00DD001E"/>
    <w:rsid w:val="00DD48AC"/>
    <w:rsid w:val="00DD64CC"/>
    <w:rsid w:val="00DE178C"/>
    <w:rsid w:val="00E0612D"/>
    <w:rsid w:val="00E10085"/>
    <w:rsid w:val="00E2672F"/>
    <w:rsid w:val="00E416CA"/>
    <w:rsid w:val="00E53FF4"/>
    <w:rsid w:val="00E731B3"/>
    <w:rsid w:val="00E77125"/>
    <w:rsid w:val="00E84518"/>
    <w:rsid w:val="00EA7209"/>
    <w:rsid w:val="00EB2CAF"/>
    <w:rsid w:val="00EB31EB"/>
    <w:rsid w:val="00EB31F2"/>
    <w:rsid w:val="00EC3C45"/>
    <w:rsid w:val="00EC5903"/>
    <w:rsid w:val="00ED0043"/>
    <w:rsid w:val="00EE6B0D"/>
    <w:rsid w:val="00EF1876"/>
    <w:rsid w:val="00EF209D"/>
    <w:rsid w:val="00F22122"/>
    <w:rsid w:val="00F23E08"/>
    <w:rsid w:val="00F262A7"/>
    <w:rsid w:val="00F30742"/>
    <w:rsid w:val="00F31DC8"/>
    <w:rsid w:val="00F327A6"/>
    <w:rsid w:val="00F53A27"/>
    <w:rsid w:val="00F554D7"/>
    <w:rsid w:val="00F56C66"/>
    <w:rsid w:val="00F750D0"/>
    <w:rsid w:val="00F82FEB"/>
    <w:rsid w:val="00F87839"/>
    <w:rsid w:val="00F966DE"/>
    <w:rsid w:val="00FC2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E6671-A882-436F-A9CF-3E31F67B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CA3"/>
    <w:pPr>
      <w:spacing w:after="0" w:line="240" w:lineRule="auto"/>
    </w:pPr>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rsid w:val="00495CA3"/>
    <w:rPr>
      <w:rFonts w:ascii="Times New Roman" w:hAnsi="Times New Roman" w:cs="Times New Roman"/>
      <w:b/>
      <w:bCs/>
      <w:sz w:val="26"/>
      <w:szCs w:val="26"/>
    </w:rPr>
  </w:style>
  <w:style w:type="character" w:customStyle="1" w:styleId="FontStyle15">
    <w:name w:val="Font Style15"/>
    <w:rsid w:val="00495CA3"/>
    <w:rPr>
      <w:rFonts w:ascii="Times New Roman" w:hAnsi="Times New Roman"/>
      <w:sz w:val="20"/>
    </w:rPr>
  </w:style>
  <w:style w:type="paragraph" w:styleId="ListParagraph">
    <w:name w:val="List Paragraph"/>
    <w:basedOn w:val="Normal"/>
    <w:uiPriority w:val="34"/>
    <w:qFormat/>
    <w:rsid w:val="00495CA3"/>
    <w:pPr>
      <w:ind w:left="720"/>
      <w:contextualSpacing/>
    </w:pPr>
  </w:style>
  <w:style w:type="paragraph" w:styleId="Header">
    <w:name w:val="header"/>
    <w:basedOn w:val="Normal"/>
    <w:link w:val="HeaderChar"/>
    <w:uiPriority w:val="99"/>
    <w:unhideWhenUsed/>
    <w:rsid w:val="00495CA3"/>
    <w:pPr>
      <w:tabs>
        <w:tab w:val="center" w:pos="4819"/>
        <w:tab w:val="right" w:pos="9638"/>
      </w:tabs>
    </w:pPr>
  </w:style>
  <w:style w:type="character" w:customStyle="1" w:styleId="HeaderChar">
    <w:name w:val="Header Char"/>
    <w:basedOn w:val="DefaultParagraphFont"/>
    <w:link w:val="Header"/>
    <w:uiPriority w:val="99"/>
    <w:rsid w:val="00495CA3"/>
    <w:rPr>
      <w:rFonts w:ascii="Times New Roman" w:eastAsia="Calibri" w:hAnsi="Times New Roman" w:cs="Times New Roman"/>
      <w:sz w:val="24"/>
      <w:szCs w:val="20"/>
    </w:rPr>
  </w:style>
  <w:style w:type="paragraph" w:styleId="Footer">
    <w:name w:val="footer"/>
    <w:basedOn w:val="Normal"/>
    <w:link w:val="FooterChar"/>
    <w:uiPriority w:val="99"/>
    <w:unhideWhenUsed/>
    <w:rsid w:val="00495CA3"/>
    <w:pPr>
      <w:tabs>
        <w:tab w:val="center" w:pos="4819"/>
        <w:tab w:val="right" w:pos="9638"/>
      </w:tabs>
    </w:pPr>
  </w:style>
  <w:style w:type="character" w:customStyle="1" w:styleId="FooterChar">
    <w:name w:val="Footer Char"/>
    <w:basedOn w:val="DefaultParagraphFont"/>
    <w:link w:val="Footer"/>
    <w:uiPriority w:val="99"/>
    <w:rsid w:val="00495CA3"/>
    <w:rPr>
      <w:rFonts w:ascii="Times New Roman" w:eastAsia="Calibri" w:hAnsi="Times New Roman" w:cs="Times New Roman"/>
      <w:sz w:val="24"/>
      <w:szCs w:val="20"/>
    </w:rPr>
  </w:style>
  <w:style w:type="character" w:styleId="Hyperlink">
    <w:name w:val="Hyperlink"/>
    <w:basedOn w:val="DefaultParagraphFont"/>
    <w:uiPriority w:val="99"/>
    <w:semiHidden/>
    <w:unhideWhenUsed/>
    <w:rsid w:val="00A91128"/>
    <w:rPr>
      <w:color w:val="0000FF"/>
      <w:u w:val="single"/>
    </w:rPr>
  </w:style>
  <w:style w:type="paragraph" w:styleId="NormalWeb">
    <w:name w:val="Normal (Web)"/>
    <w:basedOn w:val="Normal"/>
    <w:uiPriority w:val="99"/>
    <w:unhideWhenUsed/>
    <w:rsid w:val="00A91128"/>
    <w:pPr>
      <w:spacing w:before="100" w:beforeAutospacing="1" w:after="100" w:afterAutospacing="1"/>
    </w:pPr>
    <w:rPr>
      <w:rFonts w:ascii="Calibri" w:eastAsiaTheme="minorHAnsi" w:hAnsi="Calibri" w:cs="Calibri"/>
      <w:color w:val="003300"/>
      <w:sz w:val="22"/>
      <w:szCs w:val="22"/>
      <w:lang w:eastAsia="lt-LT"/>
    </w:rPr>
  </w:style>
  <w:style w:type="paragraph" w:styleId="BodyText">
    <w:name w:val="Body Text"/>
    <w:basedOn w:val="Normal"/>
    <w:link w:val="BodyTextChar"/>
    <w:unhideWhenUsed/>
    <w:rsid w:val="0008095F"/>
    <w:pPr>
      <w:widowControl w:val="0"/>
      <w:suppressAutoHyphens/>
      <w:ind w:firstLine="567"/>
      <w:jc w:val="both"/>
    </w:pPr>
    <w:rPr>
      <w:rFonts w:eastAsia="Andale Sans UI" w:cs="Tahoma"/>
      <w:szCs w:val="24"/>
      <w:lang w:bidi="en-US"/>
    </w:rPr>
  </w:style>
  <w:style w:type="character" w:customStyle="1" w:styleId="BodyTextChar">
    <w:name w:val="Body Text Char"/>
    <w:basedOn w:val="DefaultParagraphFont"/>
    <w:link w:val="BodyText"/>
    <w:rsid w:val="0008095F"/>
    <w:rPr>
      <w:rFonts w:ascii="Times New Roman" w:eastAsia="Andale Sans UI" w:hAnsi="Times New Roman" w:cs="Tahoma"/>
      <w:sz w:val="24"/>
      <w:szCs w:val="24"/>
      <w:lang w:bidi="en-US"/>
    </w:rPr>
  </w:style>
  <w:style w:type="character" w:styleId="CommentReference">
    <w:name w:val="annotation reference"/>
    <w:uiPriority w:val="99"/>
    <w:semiHidden/>
    <w:unhideWhenUsed/>
    <w:rsid w:val="000B344C"/>
    <w:rPr>
      <w:sz w:val="16"/>
      <w:szCs w:val="16"/>
    </w:rPr>
  </w:style>
  <w:style w:type="paragraph" w:styleId="CommentText">
    <w:name w:val="annotation text"/>
    <w:basedOn w:val="Normal"/>
    <w:link w:val="CommentTextChar"/>
    <w:uiPriority w:val="99"/>
    <w:semiHidden/>
    <w:unhideWhenUsed/>
    <w:rsid w:val="000B344C"/>
    <w:pPr>
      <w:widowControl w:val="0"/>
      <w:adjustRightInd w:val="0"/>
      <w:spacing w:line="360" w:lineRule="atLeast"/>
      <w:jc w:val="both"/>
      <w:textAlignment w:val="baseline"/>
    </w:pPr>
    <w:rPr>
      <w:rFonts w:eastAsia="Times New Roman"/>
      <w:sz w:val="20"/>
      <w:lang w:eastAsia="lt-LT"/>
    </w:rPr>
  </w:style>
  <w:style w:type="character" w:customStyle="1" w:styleId="CommentTextChar">
    <w:name w:val="Comment Text Char"/>
    <w:basedOn w:val="DefaultParagraphFont"/>
    <w:link w:val="CommentText"/>
    <w:uiPriority w:val="99"/>
    <w:semiHidden/>
    <w:rsid w:val="000B344C"/>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0B3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44C"/>
    <w:rPr>
      <w:rFonts w:ascii="Segoe UI" w:eastAsia="Calibri" w:hAnsi="Segoe UI" w:cs="Segoe UI"/>
      <w:sz w:val="18"/>
      <w:szCs w:val="18"/>
    </w:rPr>
  </w:style>
  <w:style w:type="paragraph" w:customStyle="1" w:styleId="Default">
    <w:name w:val="Default"/>
    <w:rsid w:val="004740B8"/>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C3CD0"/>
    <w:pPr>
      <w:spacing w:after="0" w:line="240" w:lineRule="auto"/>
    </w:pPr>
  </w:style>
  <w:style w:type="paragraph" w:styleId="CommentSubject">
    <w:name w:val="annotation subject"/>
    <w:basedOn w:val="CommentText"/>
    <w:next w:val="CommentText"/>
    <w:link w:val="CommentSubjectChar"/>
    <w:uiPriority w:val="99"/>
    <w:semiHidden/>
    <w:unhideWhenUsed/>
    <w:rsid w:val="009657CC"/>
    <w:pPr>
      <w:widowControl/>
      <w:adjustRightInd/>
      <w:spacing w:line="240" w:lineRule="auto"/>
      <w:jc w:val="left"/>
      <w:textAlignment w:val="auto"/>
    </w:pPr>
    <w:rPr>
      <w:rFonts w:eastAsia="Calibri"/>
      <w:b/>
      <w:bCs/>
      <w:lang w:eastAsia="en-US"/>
    </w:rPr>
  </w:style>
  <w:style w:type="character" w:customStyle="1" w:styleId="CommentSubjectChar">
    <w:name w:val="Comment Subject Char"/>
    <w:basedOn w:val="CommentTextChar"/>
    <w:link w:val="CommentSubject"/>
    <w:uiPriority w:val="99"/>
    <w:semiHidden/>
    <w:rsid w:val="009657CC"/>
    <w:rPr>
      <w:rFonts w:ascii="Times New Roman" w:eastAsia="Calibri"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984623">
      <w:bodyDiv w:val="1"/>
      <w:marLeft w:val="0"/>
      <w:marRight w:val="0"/>
      <w:marTop w:val="0"/>
      <w:marBottom w:val="0"/>
      <w:divBdr>
        <w:top w:val="none" w:sz="0" w:space="0" w:color="auto"/>
        <w:left w:val="none" w:sz="0" w:space="0" w:color="auto"/>
        <w:bottom w:val="none" w:sz="0" w:space="0" w:color="auto"/>
        <w:right w:val="none" w:sz="0" w:space="0" w:color="auto"/>
      </w:divBdr>
    </w:div>
    <w:div w:id="15677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8550F-A187-40BB-B559-0FDAA419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4287</Words>
  <Characters>2445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Rimsaite</dc:creator>
  <cp:keywords/>
  <dc:description/>
  <cp:lastModifiedBy>Paulius Stasiūnas</cp:lastModifiedBy>
  <cp:revision>2</cp:revision>
  <cp:lastPrinted>2018-02-01T14:09:00Z</cp:lastPrinted>
  <dcterms:created xsi:type="dcterms:W3CDTF">2018-02-02T11:42:00Z</dcterms:created>
  <dcterms:modified xsi:type="dcterms:W3CDTF">2018-02-02T11:42:00Z</dcterms:modified>
</cp:coreProperties>
</file>