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37" w:rsidRPr="00D331C9" w:rsidRDefault="00FB6137" w:rsidP="00BC2651">
      <w:pPr>
        <w:spacing w:line="240" w:lineRule="auto"/>
        <w:jc w:val="center"/>
        <w:rPr>
          <w:rFonts w:ascii="Times New Roman" w:hAnsi="Times New Roman"/>
          <w:b/>
          <w:sz w:val="24"/>
          <w:szCs w:val="24"/>
        </w:rPr>
      </w:pPr>
      <w:r w:rsidRPr="00CE7621">
        <w:rPr>
          <w:rFonts w:ascii="Times New Roman" w:hAnsi="Times New Roman"/>
          <w:b/>
          <w:bCs/>
          <w:sz w:val="24"/>
          <w:szCs w:val="24"/>
        </w:rPr>
        <w:t xml:space="preserve">2014–2020 METŲ EUROPOS SĄJUNGOS FONDŲ INVESTICIJŲ VEIKSMŲ </w:t>
      </w:r>
      <w:bookmarkStart w:id="0" w:name="_GoBack"/>
      <w:bookmarkEnd w:id="0"/>
      <w:r w:rsidRPr="00CE7621">
        <w:rPr>
          <w:rFonts w:ascii="Times New Roman" w:hAnsi="Times New Roman"/>
          <w:b/>
          <w:bCs/>
          <w:sz w:val="24"/>
          <w:szCs w:val="24"/>
        </w:rPr>
        <w:t xml:space="preserve">PROGRAMOS </w:t>
      </w:r>
      <w:r w:rsidRPr="00D331C9">
        <w:rPr>
          <w:rFonts w:ascii="Times New Roman" w:hAnsi="Times New Roman"/>
          <w:b/>
          <w:sz w:val="24"/>
          <w:szCs w:val="24"/>
        </w:rPr>
        <w:t xml:space="preserve">PRIORITETŲ ĮGYVENDINIMO </w:t>
      </w:r>
    </w:p>
    <w:p w:rsidR="00813B21" w:rsidRPr="00D331C9" w:rsidRDefault="00FB6137" w:rsidP="0062477B">
      <w:pPr>
        <w:tabs>
          <w:tab w:val="left" w:pos="0"/>
          <w:tab w:val="left" w:pos="567"/>
        </w:tabs>
        <w:spacing w:after="0" w:line="240" w:lineRule="auto"/>
        <w:jc w:val="center"/>
        <w:rPr>
          <w:rFonts w:ascii="Times New Roman" w:eastAsia="Times New Roman" w:hAnsi="Times New Roman"/>
          <w:sz w:val="24"/>
          <w:szCs w:val="24"/>
          <w:lang w:eastAsia="lt-LT"/>
        </w:rPr>
      </w:pPr>
      <w:r w:rsidRPr="00D331C9">
        <w:rPr>
          <w:rFonts w:ascii="Times New Roman" w:hAnsi="Times New Roman"/>
          <w:b/>
          <w:bCs/>
          <w:sz w:val="24"/>
          <w:szCs w:val="24"/>
          <w:lang w:eastAsia="lt-LT"/>
        </w:rPr>
        <w:t xml:space="preserve">PRIEMONĖS </w:t>
      </w:r>
      <w:r w:rsidR="00672109" w:rsidRPr="00672109">
        <w:rPr>
          <w:rFonts w:ascii="Times New Roman" w:eastAsia="Times New Roman" w:hAnsi="Times New Roman"/>
          <w:b/>
          <w:sz w:val="24"/>
          <w:szCs w:val="24"/>
          <w:lang w:eastAsia="lt-LT"/>
        </w:rPr>
        <w:t>NR. 0</w:t>
      </w:r>
      <w:r w:rsidR="007F28B0">
        <w:rPr>
          <w:rFonts w:ascii="Times New Roman" w:eastAsia="Times New Roman" w:hAnsi="Times New Roman"/>
          <w:b/>
          <w:sz w:val="24"/>
          <w:szCs w:val="24"/>
          <w:lang w:eastAsia="lt-LT"/>
        </w:rPr>
        <w:t>4</w:t>
      </w:r>
      <w:r w:rsidR="00672109" w:rsidRPr="00672109">
        <w:rPr>
          <w:rFonts w:ascii="Times New Roman" w:eastAsia="Times New Roman" w:hAnsi="Times New Roman"/>
          <w:b/>
          <w:sz w:val="24"/>
          <w:szCs w:val="24"/>
          <w:lang w:eastAsia="lt-LT"/>
        </w:rPr>
        <w:t>.</w:t>
      </w:r>
      <w:r w:rsidR="007F28B0">
        <w:rPr>
          <w:rFonts w:ascii="Times New Roman" w:eastAsia="Times New Roman" w:hAnsi="Times New Roman"/>
          <w:b/>
          <w:sz w:val="24"/>
          <w:szCs w:val="24"/>
          <w:lang w:eastAsia="lt-LT"/>
        </w:rPr>
        <w:t>4</w:t>
      </w:r>
      <w:r w:rsidR="00672109" w:rsidRPr="00672109">
        <w:rPr>
          <w:rFonts w:ascii="Times New Roman" w:eastAsia="Times New Roman" w:hAnsi="Times New Roman"/>
          <w:b/>
          <w:sz w:val="24"/>
          <w:szCs w:val="24"/>
          <w:lang w:eastAsia="lt-LT"/>
        </w:rPr>
        <w:t>.1-LVPA-</w:t>
      </w:r>
      <w:r w:rsidR="00672109" w:rsidRPr="00F12BDF">
        <w:rPr>
          <w:rFonts w:ascii="Times New Roman" w:eastAsia="Times New Roman" w:hAnsi="Times New Roman"/>
          <w:b/>
          <w:sz w:val="24"/>
          <w:szCs w:val="24"/>
          <w:lang w:eastAsia="lt-LT"/>
        </w:rPr>
        <w:t>V-10x</w:t>
      </w:r>
      <w:r w:rsidR="00672109" w:rsidRPr="00672109">
        <w:rPr>
          <w:rFonts w:ascii="Times New Roman" w:eastAsia="Times New Roman" w:hAnsi="Times New Roman"/>
          <w:b/>
          <w:sz w:val="24"/>
          <w:szCs w:val="24"/>
          <w:lang w:eastAsia="lt-LT"/>
        </w:rPr>
        <w:t xml:space="preserve"> „ELEKTROS </w:t>
      </w:r>
      <w:r w:rsidR="0067385F">
        <w:rPr>
          <w:rFonts w:ascii="Times New Roman" w:eastAsia="Times New Roman" w:hAnsi="Times New Roman"/>
          <w:b/>
          <w:sz w:val="24"/>
          <w:szCs w:val="24"/>
          <w:lang w:eastAsia="lt-LT"/>
        </w:rPr>
        <w:t>SKIRSTOMŲJŲ TINKLŲ</w:t>
      </w:r>
      <w:r w:rsidR="00672109" w:rsidRPr="00672109">
        <w:rPr>
          <w:rFonts w:ascii="Times New Roman" w:eastAsia="Times New Roman" w:hAnsi="Times New Roman"/>
          <w:b/>
          <w:sz w:val="24"/>
          <w:szCs w:val="24"/>
          <w:lang w:eastAsia="lt-LT"/>
        </w:rPr>
        <w:t xml:space="preserve"> MODERNIZAVIMAS IR PLĖTRA“</w:t>
      </w:r>
    </w:p>
    <w:p w:rsidR="00813B21" w:rsidRDefault="00813B21" w:rsidP="00BC2651">
      <w:pPr>
        <w:spacing w:line="240" w:lineRule="auto"/>
        <w:jc w:val="center"/>
        <w:rPr>
          <w:rFonts w:ascii="Times New Roman" w:hAnsi="Times New Roman"/>
          <w:b/>
          <w:bCs/>
          <w:sz w:val="24"/>
          <w:szCs w:val="24"/>
          <w:lang w:eastAsia="lt-LT"/>
        </w:rPr>
      </w:pPr>
      <w:r w:rsidRPr="00D331C9">
        <w:rPr>
          <w:rFonts w:ascii="Times New Roman" w:hAnsi="Times New Roman"/>
          <w:b/>
          <w:bCs/>
          <w:sz w:val="24"/>
          <w:szCs w:val="24"/>
          <w:lang w:eastAsia="lt-LT"/>
        </w:rPr>
        <w:t>PAGRINDIMAS</w:t>
      </w:r>
    </w:p>
    <w:p w:rsidR="0062477B" w:rsidRPr="00D331C9" w:rsidRDefault="0062477B" w:rsidP="00BC2651">
      <w:pPr>
        <w:spacing w:line="240" w:lineRule="auto"/>
        <w:jc w:val="center"/>
        <w:rPr>
          <w:rFonts w:ascii="Times New Roman" w:hAnsi="Times New Roman"/>
          <w:b/>
          <w:bCs/>
          <w:sz w:val="24"/>
          <w:szCs w:val="24"/>
          <w:lang w:eastAsia="lt-LT"/>
        </w:rPr>
      </w:pPr>
    </w:p>
    <w:tbl>
      <w:tblPr>
        <w:tblStyle w:val="TableGrid"/>
        <w:tblW w:w="10348" w:type="dxa"/>
        <w:tblInd w:w="-743" w:type="dxa"/>
        <w:tblLayout w:type="fixed"/>
        <w:tblLook w:val="04A0" w:firstRow="1" w:lastRow="0" w:firstColumn="1" w:lastColumn="0" w:noHBand="0" w:noVBand="1"/>
      </w:tblPr>
      <w:tblGrid>
        <w:gridCol w:w="567"/>
        <w:gridCol w:w="2836"/>
        <w:gridCol w:w="6945"/>
      </w:tblGrid>
      <w:tr w:rsidR="00FB6137" w:rsidRPr="0062477B" w:rsidTr="00D80DEB">
        <w:tc>
          <w:tcPr>
            <w:tcW w:w="567" w:type="dxa"/>
            <w:shd w:val="clear" w:color="auto" w:fill="F2F2F2" w:themeFill="background1" w:themeFillShade="F2"/>
          </w:tcPr>
          <w:p w:rsidR="00FB6137" w:rsidRPr="0062477B" w:rsidRDefault="00FB6137" w:rsidP="0062477B">
            <w:pPr>
              <w:tabs>
                <w:tab w:val="left" w:pos="567"/>
              </w:tabs>
              <w:rPr>
                <w:rFonts w:ascii="Times New Roman" w:hAnsi="Times New Roman"/>
                <w:b/>
                <w:sz w:val="24"/>
                <w:szCs w:val="24"/>
              </w:rPr>
            </w:pPr>
            <w:r w:rsidRPr="0062477B">
              <w:rPr>
                <w:rFonts w:ascii="Times New Roman" w:hAnsi="Times New Roman"/>
                <w:b/>
                <w:sz w:val="24"/>
                <w:szCs w:val="24"/>
              </w:rPr>
              <w:t xml:space="preserve">Nr. </w:t>
            </w:r>
          </w:p>
        </w:tc>
        <w:tc>
          <w:tcPr>
            <w:tcW w:w="2836" w:type="dxa"/>
            <w:shd w:val="clear" w:color="auto" w:fill="F2F2F2" w:themeFill="background1" w:themeFillShade="F2"/>
          </w:tcPr>
          <w:p w:rsidR="00FB6137" w:rsidRPr="0062477B" w:rsidRDefault="00FB6137" w:rsidP="0062477B">
            <w:pPr>
              <w:tabs>
                <w:tab w:val="left" w:pos="567"/>
              </w:tabs>
              <w:jc w:val="center"/>
              <w:rPr>
                <w:rFonts w:ascii="Times New Roman" w:hAnsi="Times New Roman"/>
                <w:b/>
                <w:sz w:val="24"/>
                <w:szCs w:val="24"/>
              </w:rPr>
            </w:pPr>
            <w:r w:rsidRPr="0062477B">
              <w:rPr>
                <w:rFonts w:ascii="Times New Roman" w:hAnsi="Times New Roman"/>
                <w:b/>
                <w:sz w:val="24"/>
                <w:szCs w:val="24"/>
              </w:rPr>
              <w:t>Klausimas</w:t>
            </w:r>
          </w:p>
        </w:tc>
        <w:tc>
          <w:tcPr>
            <w:tcW w:w="6945" w:type="dxa"/>
            <w:shd w:val="clear" w:color="auto" w:fill="F2F2F2" w:themeFill="background1" w:themeFillShade="F2"/>
          </w:tcPr>
          <w:p w:rsidR="00FB6137" w:rsidRPr="008D4951" w:rsidRDefault="00FB6137" w:rsidP="008D4951">
            <w:pPr>
              <w:tabs>
                <w:tab w:val="left" w:pos="567"/>
              </w:tabs>
              <w:jc w:val="center"/>
              <w:rPr>
                <w:rFonts w:ascii="Times New Roman" w:hAnsi="Times New Roman"/>
                <w:b/>
                <w:sz w:val="24"/>
                <w:szCs w:val="24"/>
              </w:rPr>
            </w:pPr>
            <w:r w:rsidRPr="008D4951">
              <w:rPr>
                <w:rFonts w:ascii="Times New Roman" w:hAnsi="Times New Roman"/>
                <w:b/>
                <w:sz w:val="24"/>
                <w:szCs w:val="24"/>
              </w:rPr>
              <w:t>Ministerijos pateikta informacija</w:t>
            </w:r>
          </w:p>
          <w:p w:rsidR="00FB6137" w:rsidRPr="0062477B" w:rsidRDefault="00FB6137" w:rsidP="008D4951">
            <w:pPr>
              <w:tabs>
                <w:tab w:val="left" w:pos="567"/>
              </w:tabs>
              <w:spacing w:after="200" w:line="276" w:lineRule="auto"/>
              <w:jc w:val="center"/>
              <w:rPr>
                <w:rFonts w:ascii="Times New Roman" w:hAnsi="Times New Roman"/>
                <w:b/>
                <w:sz w:val="24"/>
                <w:szCs w:val="24"/>
              </w:rPr>
            </w:pPr>
            <w:r w:rsidRPr="008D4951">
              <w:rPr>
                <w:rFonts w:ascii="Times New Roman" w:hAnsi="Times New Roman"/>
                <w:b/>
                <w:sz w:val="24"/>
                <w:szCs w:val="24"/>
              </w:rPr>
              <w:t>(pildymo instrukcija)</w:t>
            </w:r>
          </w:p>
        </w:tc>
      </w:tr>
      <w:tr w:rsidR="00FB6137" w:rsidRPr="0062477B" w:rsidTr="00D80DEB">
        <w:tc>
          <w:tcPr>
            <w:tcW w:w="10348" w:type="dxa"/>
            <w:gridSpan w:val="3"/>
            <w:shd w:val="clear" w:color="auto" w:fill="F2F2F2" w:themeFill="background1" w:themeFillShade="F2"/>
          </w:tcPr>
          <w:p w:rsidR="00FB6137" w:rsidRPr="0062477B" w:rsidRDefault="00FB6137" w:rsidP="0062477B">
            <w:pPr>
              <w:pStyle w:val="ListParagraph"/>
              <w:numPr>
                <w:ilvl w:val="0"/>
                <w:numId w:val="3"/>
              </w:numPr>
              <w:tabs>
                <w:tab w:val="left" w:pos="567"/>
              </w:tabs>
              <w:jc w:val="center"/>
              <w:rPr>
                <w:rFonts w:ascii="Times New Roman" w:hAnsi="Times New Roman"/>
                <w:b/>
                <w:sz w:val="24"/>
                <w:szCs w:val="24"/>
              </w:rPr>
            </w:pPr>
            <w:r w:rsidRPr="0062477B">
              <w:rPr>
                <w:rFonts w:ascii="Times New Roman" w:hAnsi="Times New Roman"/>
                <w:b/>
                <w:sz w:val="24"/>
                <w:szCs w:val="24"/>
              </w:rPr>
              <w:t>Priemonės aprašymas</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Priemonės atitiktis </w:t>
            </w:r>
            <w:r w:rsidRPr="0062477B">
              <w:rPr>
                <w:rFonts w:ascii="Times New Roman" w:hAnsi="Times New Roman"/>
                <w:bCs/>
                <w:sz w:val="24"/>
                <w:szCs w:val="24"/>
              </w:rPr>
              <w:t>2014–2020 metų Europos Sąjungos fondų investicijų</w:t>
            </w:r>
            <w:r w:rsidRPr="008D4951">
              <w:rPr>
                <w:rFonts w:ascii="Times New Roman" w:hAnsi="Times New Roman"/>
                <w:bCs/>
                <w:sz w:val="24"/>
                <w:szCs w:val="24"/>
              </w:rPr>
              <w:t xml:space="preserve"> </w:t>
            </w:r>
            <w:r w:rsidRPr="008D4951">
              <w:rPr>
                <w:rFonts w:ascii="Times New Roman" w:hAnsi="Times New Roman"/>
                <w:sz w:val="24"/>
                <w:szCs w:val="24"/>
              </w:rPr>
              <w:t>veiksmų programos (toliau – veiksmų programa) nuostatoms</w:t>
            </w:r>
          </w:p>
        </w:tc>
        <w:tc>
          <w:tcPr>
            <w:tcW w:w="6945" w:type="dxa"/>
          </w:tcPr>
          <w:p w:rsidR="00D17D26" w:rsidRPr="0062477B" w:rsidRDefault="00C441D4" w:rsidP="001B6350">
            <w:pPr>
              <w:tabs>
                <w:tab w:val="left" w:pos="567"/>
              </w:tabs>
              <w:spacing w:after="200"/>
              <w:jc w:val="both"/>
              <w:rPr>
                <w:rFonts w:ascii="Times New Roman" w:hAnsi="Times New Roman"/>
                <w:sz w:val="24"/>
                <w:szCs w:val="24"/>
              </w:rPr>
            </w:pPr>
            <w:r w:rsidRPr="0062477B">
              <w:rPr>
                <w:rFonts w:ascii="Times New Roman" w:hAnsi="Times New Roman"/>
                <w:sz w:val="24"/>
                <w:szCs w:val="24"/>
              </w:rPr>
              <w:t xml:space="preserve">Priemonė prisideda prie veiksmų programos </w:t>
            </w:r>
            <w:r w:rsidR="00594780">
              <w:rPr>
                <w:rFonts w:ascii="Times New Roman" w:hAnsi="Times New Roman"/>
                <w:sz w:val="24"/>
                <w:szCs w:val="24"/>
              </w:rPr>
              <w:t>4</w:t>
            </w:r>
            <w:r w:rsidR="008E6C1C" w:rsidRPr="00672109">
              <w:rPr>
                <w:rFonts w:ascii="Times New Roman" w:hAnsi="Times New Roman"/>
                <w:sz w:val="24"/>
                <w:szCs w:val="24"/>
              </w:rPr>
              <w:t xml:space="preserve"> </w:t>
            </w:r>
            <w:r w:rsidRPr="0062477B">
              <w:rPr>
                <w:rFonts w:ascii="Times New Roman" w:hAnsi="Times New Roman"/>
                <w:sz w:val="24"/>
                <w:szCs w:val="24"/>
              </w:rPr>
              <w:t>prioriteto „</w:t>
            </w:r>
            <w:r w:rsidR="00594780">
              <w:rPr>
                <w:rFonts w:ascii="Times New Roman" w:hAnsi="Times New Roman"/>
                <w:sz w:val="24"/>
                <w:szCs w:val="24"/>
              </w:rPr>
              <w:t>Energijos efektyvumo ir atsinaujinančių išteklių energijos gamybos ir naudojimo skatinimas</w:t>
            </w:r>
            <w:r w:rsidRPr="0062477B">
              <w:rPr>
                <w:rFonts w:ascii="Times New Roman" w:hAnsi="Times New Roman"/>
                <w:sz w:val="24"/>
                <w:szCs w:val="24"/>
              </w:rPr>
              <w:t xml:space="preserve">“ </w:t>
            </w:r>
            <w:r w:rsidR="007F28B0">
              <w:rPr>
                <w:rFonts w:ascii="Times New Roman" w:hAnsi="Times New Roman"/>
                <w:sz w:val="24"/>
                <w:szCs w:val="24"/>
              </w:rPr>
              <w:t>4</w:t>
            </w:r>
            <w:r w:rsidRPr="0062477B">
              <w:rPr>
                <w:rFonts w:ascii="Times New Roman" w:hAnsi="Times New Roman"/>
                <w:sz w:val="24"/>
                <w:szCs w:val="24"/>
              </w:rPr>
              <w:t>.</w:t>
            </w:r>
            <w:r w:rsidR="007F28B0">
              <w:rPr>
                <w:rFonts w:ascii="Times New Roman" w:hAnsi="Times New Roman"/>
                <w:sz w:val="24"/>
                <w:szCs w:val="24"/>
              </w:rPr>
              <w:t>4</w:t>
            </w:r>
            <w:r w:rsidRPr="0062477B">
              <w:rPr>
                <w:rFonts w:ascii="Times New Roman" w:hAnsi="Times New Roman"/>
                <w:sz w:val="24"/>
                <w:szCs w:val="24"/>
              </w:rPr>
              <w:t xml:space="preserve"> investicinio prioriteto „</w:t>
            </w:r>
            <w:r w:rsidR="007F28B0">
              <w:rPr>
                <w:rFonts w:ascii="Times New Roman" w:hAnsi="Times New Roman"/>
                <w:sz w:val="24"/>
                <w:szCs w:val="24"/>
              </w:rPr>
              <w:t>Pažangiųjų žemos ir vidutinės įtampos paskirstymo sistemų diegimas ir plėtojimas“ 4</w:t>
            </w:r>
            <w:r w:rsidR="008E6C1C" w:rsidRPr="0062477B">
              <w:rPr>
                <w:rFonts w:ascii="Times New Roman" w:hAnsi="Times New Roman"/>
                <w:sz w:val="24"/>
                <w:szCs w:val="24"/>
              </w:rPr>
              <w:t>.</w:t>
            </w:r>
            <w:r w:rsidR="007F28B0">
              <w:rPr>
                <w:rFonts w:ascii="Times New Roman" w:hAnsi="Times New Roman"/>
                <w:sz w:val="24"/>
                <w:szCs w:val="24"/>
              </w:rPr>
              <w:t>4</w:t>
            </w:r>
            <w:r w:rsidR="008E6C1C" w:rsidRPr="0062477B">
              <w:rPr>
                <w:rFonts w:ascii="Times New Roman" w:hAnsi="Times New Roman"/>
                <w:sz w:val="24"/>
                <w:szCs w:val="24"/>
              </w:rPr>
              <w:t>.1</w:t>
            </w:r>
            <w:r w:rsidRPr="0062477B">
              <w:rPr>
                <w:rFonts w:ascii="Times New Roman" w:hAnsi="Times New Roman"/>
                <w:sz w:val="24"/>
                <w:szCs w:val="24"/>
              </w:rPr>
              <w:t xml:space="preserve"> konkretaus uždavinio „</w:t>
            </w:r>
            <w:r w:rsidR="007F28B0">
              <w:rPr>
                <w:rFonts w:ascii="Times New Roman" w:hAnsi="Times New Roman"/>
                <w:sz w:val="24"/>
                <w:szCs w:val="24"/>
              </w:rPr>
              <w:t>Išbandyti pažangiojo tinklo technologijų diegimo perspektyvas</w:t>
            </w:r>
            <w:r w:rsidRPr="0062477B">
              <w:rPr>
                <w:rFonts w:ascii="Times New Roman" w:hAnsi="Times New Roman"/>
                <w:sz w:val="24"/>
                <w:szCs w:val="24"/>
              </w:rPr>
              <w:t>“ įgyvendinimo.</w:t>
            </w:r>
          </w:p>
          <w:p w:rsidR="00D17D26" w:rsidRPr="0062477B" w:rsidRDefault="0003290A" w:rsidP="00F2540C">
            <w:pPr>
              <w:pStyle w:val="Default"/>
              <w:jc w:val="both"/>
            </w:pPr>
            <w:r w:rsidRPr="0062477B">
              <w:t>Priemonė užtikrina 2007</w:t>
            </w:r>
            <w:r w:rsidR="007C052F" w:rsidRPr="0062477B">
              <w:t>–</w:t>
            </w:r>
            <w:r w:rsidRPr="0062477B">
              <w:t xml:space="preserve">2013 m. finansavimo laikotarpio </w:t>
            </w:r>
            <w:r w:rsidR="00B452A3" w:rsidRPr="0062477B">
              <w:t xml:space="preserve">veiklų </w:t>
            </w:r>
            <w:r w:rsidRPr="0062477B">
              <w:t xml:space="preserve">tęstinumą finansuodama veiklas, kuriomis </w:t>
            </w:r>
            <w:r w:rsidR="00F2540C">
              <w:t xml:space="preserve">investuojama į pažangias elektros </w:t>
            </w:r>
            <w:r w:rsidR="0067385F">
              <w:t xml:space="preserve">skirstomųjų </w:t>
            </w:r>
            <w:r w:rsidR="00F2540C">
              <w:t>tinkl</w:t>
            </w:r>
            <w:r w:rsidR="0067385F">
              <w:t>ų</w:t>
            </w:r>
            <w:r w:rsidR="00F2540C">
              <w:t xml:space="preserve"> valdymo technologijas, leidžia</w:t>
            </w:r>
            <w:r w:rsidR="00594780">
              <w:t>nčias</w:t>
            </w:r>
            <w:r w:rsidR="00F2540C">
              <w:t xml:space="preserve"> tinklą valdyti efektyviau ir operatyviau (tokiu būdu mažės tinklo priežiūros išlaidos bei </w:t>
            </w:r>
            <w:r w:rsidR="00FB2194">
              <w:t xml:space="preserve"> </w:t>
            </w:r>
            <w:r w:rsidR="00F2540C">
              <w:t>pakils elektros tiekimo patikimumo rodikliai).</w:t>
            </w:r>
            <w:r w:rsidR="002119A3">
              <w:t xml:space="preserve"> </w:t>
            </w:r>
            <w:r w:rsidR="00F2540C">
              <w:t xml:space="preserve">Minėtos veiklos prisidės įgyvendinant ES Baltijos jūros regiono strategijos prioritetinę sritį „Energetika“. </w:t>
            </w:r>
          </w:p>
          <w:p w:rsidR="00D3692C" w:rsidRPr="0062477B" w:rsidRDefault="00D3692C" w:rsidP="00BC2651">
            <w:pPr>
              <w:tabs>
                <w:tab w:val="left" w:pos="567"/>
              </w:tabs>
              <w:jc w:val="both"/>
              <w:rPr>
                <w:rFonts w:ascii="Times New Roman" w:hAnsi="Times New Roman"/>
                <w:sz w:val="24"/>
                <w:szCs w:val="24"/>
              </w:rPr>
            </w:pPr>
          </w:p>
          <w:p w:rsidR="00FB6137" w:rsidRPr="0062477B" w:rsidRDefault="00F03C16" w:rsidP="0067385F">
            <w:pPr>
              <w:jc w:val="both"/>
              <w:rPr>
                <w:rFonts w:ascii="Times New Roman" w:eastAsia="Times New Roman" w:hAnsi="Times New Roman"/>
                <w:sz w:val="24"/>
                <w:szCs w:val="24"/>
                <w:lang w:eastAsia="lt-LT"/>
              </w:rPr>
            </w:pPr>
            <w:r w:rsidRPr="00F03C16">
              <w:rPr>
                <w:rFonts w:ascii="Times New Roman" w:hAnsi="Times New Roman"/>
                <w:sz w:val="24"/>
                <w:szCs w:val="24"/>
              </w:rPr>
              <w:t xml:space="preserve">Įgyvendinus </w:t>
            </w:r>
            <w:r>
              <w:rPr>
                <w:rFonts w:ascii="Times New Roman" w:hAnsi="Times New Roman"/>
                <w:sz w:val="24"/>
                <w:szCs w:val="24"/>
              </w:rPr>
              <w:t>priemonės</w:t>
            </w:r>
            <w:r w:rsidRPr="00F03C16">
              <w:rPr>
                <w:rFonts w:ascii="Times New Roman" w:hAnsi="Times New Roman"/>
                <w:sz w:val="24"/>
                <w:szCs w:val="24"/>
              </w:rPr>
              <w:t xml:space="preserve"> projektus, elektros </w:t>
            </w:r>
            <w:r w:rsidR="0067385F">
              <w:rPr>
                <w:rFonts w:ascii="Times New Roman" w:hAnsi="Times New Roman"/>
                <w:sz w:val="24"/>
                <w:szCs w:val="24"/>
              </w:rPr>
              <w:t>skir</w:t>
            </w:r>
            <w:r w:rsidR="001C382A">
              <w:rPr>
                <w:rFonts w:ascii="Times New Roman" w:hAnsi="Times New Roman"/>
                <w:sz w:val="24"/>
                <w:szCs w:val="24"/>
              </w:rPr>
              <w:t>s</w:t>
            </w:r>
            <w:r w:rsidR="0067385F">
              <w:rPr>
                <w:rFonts w:ascii="Times New Roman" w:hAnsi="Times New Roman"/>
                <w:sz w:val="24"/>
                <w:szCs w:val="24"/>
              </w:rPr>
              <w:t>tomieji</w:t>
            </w:r>
            <w:r w:rsidR="0067385F" w:rsidRPr="00F03C16">
              <w:rPr>
                <w:rFonts w:ascii="Times New Roman" w:hAnsi="Times New Roman"/>
                <w:sz w:val="24"/>
                <w:szCs w:val="24"/>
              </w:rPr>
              <w:t xml:space="preserve"> </w:t>
            </w:r>
            <w:r w:rsidRPr="00F03C16">
              <w:rPr>
                <w:rFonts w:ascii="Times New Roman" w:hAnsi="Times New Roman"/>
                <w:sz w:val="24"/>
                <w:szCs w:val="24"/>
              </w:rPr>
              <w:t>tinklai atitiks E</w:t>
            </w:r>
            <w:r>
              <w:rPr>
                <w:rFonts w:ascii="Times New Roman" w:hAnsi="Times New Roman"/>
                <w:sz w:val="24"/>
                <w:szCs w:val="24"/>
              </w:rPr>
              <w:t>S</w:t>
            </w:r>
            <w:r w:rsidRPr="00F03C16">
              <w:rPr>
                <w:rFonts w:ascii="Times New Roman" w:hAnsi="Times New Roman"/>
                <w:sz w:val="24"/>
                <w:szCs w:val="24"/>
              </w:rPr>
              <w:t xml:space="preserve"> </w:t>
            </w:r>
            <w:proofErr w:type="spellStart"/>
            <w:r w:rsidRPr="00F03C16">
              <w:rPr>
                <w:rFonts w:ascii="Times New Roman" w:hAnsi="Times New Roman"/>
                <w:sz w:val="24"/>
                <w:szCs w:val="24"/>
              </w:rPr>
              <w:t>transeuropinės</w:t>
            </w:r>
            <w:proofErr w:type="spellEnd"/>
            <w:r w:rsidRPr="00F03C16">
              <w:rPr>
                <w:rFonts w:ascii="Times New Roman" w:hAnsi="Times New Roman"/>
                <w:sz w:val="24"/>
                <w:szCs w:val="24"/>
              </w:rPr>
              <w:t xml:space="preserve"> energetikos infrastruktūros pažangiojo tinklo standartus (tinklas, kuris gali ekonominiu požiūriu veiksmingai padėti integruoti visų prie tinklo prisijungusių naudotojų, įskaitant gamintojus, vartotojus ir abu šias veiklas vykdančius subjektus, elgesį ir veiksmus, siekiant užtikrinti ekonominiu požiūriu veiksmingą ir tvarią elektros energijos sistemą, kuriai būdingi nedideli nuostoliai, aukšta kokybė, didelis tiekimo saugumas ir sauga).</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atitiktis strategini</w:t>
            </w:r>
            <w:r w:rsidRPr="008D4951">
              <w:rPr>
                <w:rFonts w:ascii="Times New Roman" w:hAnsi="Times New Roman"/>
                <w:sz w:val="24"/>
                <w:szCs w:val="24"/>
              </w:rPr>
              <w:t>o planavimo dokumentų nuostatoms</w:t>
            </w:r>
          </w:p>
        </w:tc>
        <w:tc>
          <w:tcPr>
            <w:tcW w:w="6945" w:type="dxa"/>
          </w:tcPr>
          <w:p w:rsidR="00AB4F54" w:rsidRPr="0062477B" w:rsidRDefault="00AB4F54" w:rsidP="00546EA6">
            <w:pPr>
              <w:spacing w:after="200"/>
              <w:jc w:val="both"/>
              <w:rPr>
                <w:rStyle w:val="datametai"/>
                <w:rFonts w:ascii="Times New Roman" w:hAnsi="Times New Roman"/>
                <w:color w:val="000000"/>
                <w:sz w:val="24"/>
                <w:szCs w:val="24"/>
                <w:shd w:val="clear" w:color="auto" w:fill="FFFFFF"/>
              </w:rPr>
            </w:pPr>
            <w:r w:rsidRPr="008D4951">
              <w:rPr>
                <w:rStyle w:val="datametai"/>
                <w:rFonts w:ascii="Times New Roman" w:hAnsi="Times New Roman"/>
                <w:color w:val="000000"/>
                <w:sz w:val="24"/>
                <w:szCs w:val="24"/>
                <w:shd w:val="clear" w:color="auto" w:fill="FFFFFF"/>
              </w:rPr>
              <w:t>Prie</w:t>
            </w:r>
            <w:r w:rsidR="007C052F" w:rsidRPr="0062477B">
              <w:rPr>
                <w:rStyle w:val="datametai"/>
                <w:rFonts w:ascii="Times New Roman" w:hAnsi="Times New Roman"/>
                <w:color w:val="000000"/>
                <w:sz w:val="24"/>
                <w:szCs w:val="24"/>
                <w:shd w:val="clear" w:color="auto" w:fill="FFFFFF"/>
              </w:rPr>
              <w:t>monės įgyvendinimas atitinka ES</w:t>
            </w:r>
            <w:r w:rsidRPr="0062477B">
              <w:rPr>
                <w:rStyle w:val="datametai"/>
                <w:rFonts w:ascii="Times New Roman" w:hAnsi="Times New Roman"/>
                <w:color w:val="000000"/>
                <w:sz w:val="24"/>
                <w:szCs w:val="24"/>
                <w:shd w:val="clear" w:color="auto" w:fill="FFFFFF"/>
              </w:rPr>
              <w:t xml:space="preserve"> strateginiuose dokum</w:t>
            </w:r>
            <w:r w:rsidR="007C052F" w:rsidRPr="0062477B">
              <w:rPr>
                <w:rStyle w:val="datametai"/>
                <w:rFonts w:ascii="Times New Roman" w:hAnsi="Times New Roman"/>
                <w:color w:val="000000"/>
                <w:sz w:val="24"/>
                <w:szCs w:val="24"/>
                <w:shd w:val="clear" w:color="auto" w:fill="FFFFFF"/>
              </w:rPr>
              <w:t xml:space="preserve">entuose įtvirtintus siekius ir </w:t>
            </w:r>
            <w:r w:rsidRPr="0062477B">
              <w:rPr>
                <w:rStyle w:val="datametai"/>
                <w:rFonts w:ascii="Times New Roman" w:hAnsi="Times New Roman"/>
                <w:color w:val="000000"/>
                <w:sz w:val="24"/>
                <w:szCs w:val="24"/>
                <w:shd w:val="clear" w:color="auto" w:fill="FFFFFF"/>
              </w:rPr>
              <w:t>tiesiogiai susijęs su Lietuvos trumpojo ir ilgojo laikotarpio strateginiais tikslais</w:t>
            </w:r>
            <w:r w:rsidR="00C157CB" w:rsidRPr="0062477B">
              <w:rPr>
                <w:rStyle w:val="datametai"/>
                <w:rFonts w:ascii="Times New Roman" w:hAnsi="Times New Roman"/>
                <w:color w:val="000000"/>
                <w:sz w:val="24"/>
                <w:szCs w:val="24"/>
                <w:shd w:val="clear" w:color="auto" w:fill="FFFFFF"/>
              </w:rPr>
              <w:t>:</w:t>
            </w:r>
          </w:p>
          <w:p w:rsidR="009D13CC" w:rsidRPr="0062477B" w:rsidRDefault="00EB7CC2" w:rsidP="00546EA6">
            <w:pPr>
              <w:pStyle w:val="Titreobjet"/>
              <w:spacing w:before="0" w:after="0"/>
              <w:jc w:val="both"/>
              <w:rPr>
                <w:b w:val="0"/>
                <w:noProof/>
                <w:szCs w:val="24"/>
              </w:rPr>
            </w:pPr>
            <w:r w:rsidRPr="00BC2651">
              <w:rPr>
                <w:b w:val="0"/>
                <w:szCs w:val="24"/>
              </w:rPr>
              <w:t xml:space="preserve">Įgyvendinant priemonę prisidedama prie </w:t>
            </w:r>
            <w:r w:rsidRPr="001C382A">
              <w:rPr>
                <w:b w:val="0"/>
                <w:szCs w:val="24"/>
              </w:rPr>
              <w:t>ES</w:t>
            </w:r>
            <w:r w:rsidRPr="001C382A">
              <w:rPr>
                <w:szCs w:val="24"/>
              </w:rPr>
              <w:t xml:space="preserve"> </w:t>
            </w:r>
            <w:r w:rsidRPr="001C382A">
              <w:rPr>
                <w:b w:val="0"/>
                <w:noProof/>
                <w:szCs w:val="24"/>
              </w:rPr>
              <w:t>2020–2030 m. klimato ir energetikos politikos strategij</w:t>
            </w:r>
            <w:r w:rsidR="006619AC" w:rsidRPr="001C382A">
              <w:rPr>
                <w:b w:val="0"/>
                <w:noProof/>
                <w:szCs w:val="24"/>
              </w:rPr>
              <w:t>os pagrindinių elementų</w:t>
            </w:r>
            <w:r w:rsidR="00DC3D5D" w:rsidRPr="00BC2651">
              <w:rPr>
                <w:b w:val="0"/>
                <w:noProof/>
                <w:szCs w:val="24"/>
              </w:rPr>
              <w:t>, t</w:t>
            </w:r>
            <w:r w:rsidR="00B47C4A" w:rsidRPr="00BC2651">
              <w:rPr>
                <w:b w:val="0"/>
                <w:noProof/>
                <w:szCs w:val="24"/>
              </w:rPr>
              <w:t>.</w:t>
            </w:r>
            <w:r w:rsidR="00B75515">
              <w:rPr>
                <w:b w:val="0"/>
                <w:noProof/>
                <w:szCs w:val="24"/>
              </w:rPr>
              <w:t> </w:t>
            </w:r>
            <w:r w:rsidR="00B47C4A" w:rsidRPr="00BC2651">
              <w:rPr>
                <w:b w:val="0"/>
                <w:noProof/>
                <w:szCs w:val="24"/>
              </w:rPr>
              <w:t>y.</w:t>
            </w:r>
            <w:r w:rsidR="00DC3D5D" w:rsidRPr="00BC2651">
              <w:rPr>
                <w:b w:val="0"/>
                <w:noProof/>
                <w:szCs w:val="24"/>
              </w:rPr>
              <w:t xml:space="preserve"> konkurencingos, saugios ir tvarios energetikos rodiklių ir tikslų pasiekimo</w:t>
            </w:r>
            <w:r w:rsidR="00B47C4A" w:rsidRPr="00BC2651">
              <w:rPr>
                <w:b w:val="0"/>
                <w:noProof/>
                <w:szCs w:val="24"/>
              </w:rPr>
              <w:t>:</w:t>
            </w:r>
            <w:r w:rsidR="00DC3D5D" w:rsidRPr="00BC2651">
              <w:rPr>
                <w:b w:val="0"/>
                <w:noProof/>
                <w:szCs w:val="24"/>
              </w:rPr>
              <w:t xml:space="preserve"> </w:t>
            </w:r>
            <w:r w:rsidR="00C14237" w:rsidRPr="00BC2651">
              <w:rPr>
                <w:b w:val="0"/>
                <w:noProof/>
                <w:szCs w:val="24"/>
              </w:rPr>
              <w:t>e</w:t>
            </w:r>
            <w:r w:rsidR="009D13CC" w:rsidRPr="00BC2651">
              <w:rPr>
                <w:b w:val="0"/>
                <w:noProof/>
                <w:szCs w:val="24"/>
              </w:rPr>
              <w:t xml:space="preserve">nergijos vartojimo efektyvumo, </w:t>
            </w:r>
            <w:r w:rsidRPr="00BC2651">
              <w:rPr>
                <w:b w:val="0"/>
                <w:noProof/>
                <w:szCs w:val="24"/>
              </w:rPr>
              <w:t xml:space="preserve">ES </w:t>
            </w:r>
            <w:r w:rsidR="006619AC" w:rsidRPr="00BC2651">
              <w:rPr>
                <w:b w:val="0"/>
                <w:noProof/>
                <w:szCs w:val="24"/>
              </w:rPr>
              <w:t>e</w:t>
            </w:r>
            <w:r w:rsidRPr="00BC2651">
              <w:rPr>
                <w:b w:val="0"/>
                <w:noProof/>
                <w:szCs w:val="24"/>
              </w:rPr>
              <w:t>nergijos tiekimo saugumo didinim</w:t>
            </w:r>
            <w:r w:rsidR="009D13CC" w:rsidRPr="00BC2651">
              <w:rPr>
                <w:b w:val="0"/>
                <w:noProof/>
                <w:szCs w:val="24"/>
              </w:rPr>
              <w:t>o</w:t>
            </w:r>
            <w:r w:rsidR="006619AC" w:rsidRPr="00BC2651">
              <w:rPr>
                <w:b w:val="0"/>
                <w:noProof/>
                <w:szCs w:val="24"/>
              </w:rPr>
              <w:t xml:space="preserve"> </w:t>
            </w:r>
            <w:r w:rsidR="006619AC" w:rsidRPr="00BC2651">
              <w:rPr>
                <w:rFonts w:eastAsiaTheme="minorHAnsi"/>
                <w:b w:val="0"/>
                <w:szCs w:val="24"/>
              </w:rPr>
              <w:t xml:space="preserve">ir </w:t>
            </w:r>
            <w:r w:rsidR="000F103E" w:rsidRPr="00BC2651">
              <w:rPr>
                <w:rFonts w:eastAsiaTheme="minorHAnsi"/>
                <w:b w:val="0"/>
                <w:szCs w:val="24"/>
              </w:rPr>
              <w:t>ES energetinės priklausomybės nuo išorės tiekėjų maž</w:t>
            </w:r>
            <w:r w:rsidR="006619AC" w:rsidRPr="00BC2651">
              <w:rPr>
                <w:rFonts w:eastAsiaTheme="minorHAnsi"/>
                <w:b w:val="0"/>
                <w:szCs w:val="24"/>
              </w:rPr>
              <w:t>inim</w:t>
            </w:r>
            <w:r w:rsidR="009D13CC" w:rsidRPr="00BC2651">
              <w:rPr>
                <w:rFonts w:eastAsiaTheme="minorHAnsi"/>
                <w:b w:val="0"/>
                <w:szCs w:val="24"/>
              </w:rPr>
              <w:t xml:space="preserve">o. </w:t>
            </w:r>
          </w:p>
          <w:p w:rsidR="00AB4F54" w:rsidRPr="0062477B" w:rsidRDefault="00AB4F54" w:rsidP="00546EA6">
            <w:pPr>
              <w:jc w:val="both"/>
              <w:rPr>
                <w:rStyle w:val="datametai"/>
                <w:rFonts w:ascii="Times New Roman" w:hAnsi="Times New Roman"/>
                <w:b/>
                <w:color w:val="000000"/>
                <w:sz w:val="24"/>
                <w:szCs w:val="24"/>
                <w:shd w:val="clear" w:color="auto" w:fill="FFFFFF"/>
                <w:lang w:eastAsia="en-GB"/>
              </w:rPr>
            </w:pPr>
          </w:p>
          <w:p w:rsidR="00C04A50" w:rsidRPr="00DD0727" w:rsidRDefault="00C04A50" w:rsidP="00546EA6">
            <w:pPr>
              <w:jc w:val="both"/>
              <w:rPr>
                <w:rFonts w:ascii="Times New Roman" w:hAnsi="Times New Roman"/>
                <w:sz w:val="24"/>
                <w:szCs w:val="24"/>
              </w:rPr>
            </w:pPr>
            <w:r w:rsidRPr="00DD0727">
              <w:rPr>
                <w:rFonts w:ascii="Times New Roman" w:hAnsi="Times New Roman"/>
                <w:sz w:val="24"/>
                <w:szCs w:val="24"/>
              </w:rPr>
              <w:t>Lietuvos pažangos strategijoje „Lietuva 2030“</w:t>
            </w:r>
            <w:r w:rsidR="00723FE6" w:rsidRPr="00DD0727">
              <w:rPr>
                <w:rFonts w:ascii="Times New Roman" w:hAnsi="Times New Roman"/>
                <w:sz w:val="24"/>
                <w:szCs w:val="24"/>
              </w:rPr>
              <w:t xml:space="preserve">, </w:t>
            </w:r>
            <w:r w:rsidR="00723FE6" w:rsidRPr="00DD0727">
              <w:rPr>
                <w:rStyle w:val="statymonr"/>
                <w:rFonts w:ascii="Times New Roman" w:hAnsi="Times New Roman"/>
                <w:sz w:val="24"/>
                <w:szCs w:val="24"/>
                <w:shd w:val="clear" w:color="auto" w:fill="FFFFFF"/>
              </w:rPr>
              <w:t>patvirtintoje</w:t>
            </w:r>
            <w:r w:rsidRPr="00DD0727">
              <w:rPr>
                <w:rFonts w:ascii="Times New Roman" w:hAnsi="Times New Roman"/>
                <w:sz w:val="24"/>
                <w:szCs w:val="24"/>
              </w:rPr>
              <w:t xml:space="preserve"> </w:t>
            </w:r>
            <w:r w:rsidR="00723FE6" w:rsidRPr="00DD0727">
              <w:rPr>
                <w:rFonts w:ascii="Times New Roman" w:hAnsi="Times New Roman"/>
                <w:sz w:val="24"/>
                <w:szCs w:val="24"/>
                <w:shd w:val="clear" w:color="auto" w:fill="FFFFFF"/>
              </w:rPr>
              <w:t xml:space="preserve">Lietuvos Respublikos </w:t>
            </w:r>
            <w:r w:rsidR="00BA51EB">
              <w:rPr>
                <w:rFonts w:ascii="Times New Roman" w:hAnsi="Times New Roman"/>
                <w:sz w:val="24"/>
                <w:szCs w:val="24"/>
                <w:shd w:val="clear" w:color="auto" w:fill="FFFFFF"/>
              </w:rPr>
              <w:t xml:space="preserve">(toliau – LR) </w:t>
            </w:r>
            <w:r w:rsidR="00723FE6" w:rsidRPr="00DD0727">
              <w:rPr>
                <w:rFonts w:ascii="Times New Roman" w:hAnsi="Times New Roman"/>
                <w:sz w:val="24"/>
                <w:szCs w:val="24"/>
                <w:shd w:val="clear" w:color="auto" w:fill="FFFFFF"/>
              </w:rPr>
              <w:t xml:space="preserve">Seimo </w:t>
            </w:r>
            <w:r w:rsidR="00723FE6" w:rsidRPr="00DD0727">
              <w:rPr>
                <w:rStyle w:val="datametai"/>
                <w:rFonts w:ascii="Times New Roman" w:hAnsi="Times New Roman"/>
                <w:sz w:val="24"/>
                <w:szCs w:val="24"/>
                <w:shd w:val="clear" w:color="auto" w:fill="FFFFFF"/>
              </w:rPr>
              <w:t>2012</w:t>
            </w:r>
            <w:r w:rsidR="00723FE6" w:rsidRPr="00DD0727">
              <w:rPr>
                <w:rStyle w:val="apple-converted-space"/>
                <w:rFonts w:ascii="Times New Roman" w:hAnsi="Times New Roman"/>
                <w:sz w:val="24"/>
                <w:szCs w:val="24"/>
                <w:shd w:val="clear" w:color="auto" w:fill="FFFFFF"/>
              </w:rPr>
              <w:t> </w:t>
            </w:r>
            <w:r w:rsidR="00723FE6" w:rsidRPr="00DD0727">
              <w:rPr>
                <w:rFonts w:ascii="Times New Roman" w:hAnsi="Times New Roman"/>
                <w:sz w:val="24"/>
                <w:szCs w:val="24"/>
                <w:shd w:val="clear" w:color="auto" w:fill="FFFFFF"/>
              </w:rPr>
              <w:t>m.</w:t>
            </w:r>
            <w:r w:rsidR="00723FE6" w:rsidRPr="00DD0727">
              <w:rPr>
                <w:rStyle w:val="apple-converted-space"/>
                <w:rFonts w:ascii="Times New Roman" w:hAnsi="Times New Roman"/>
                <w:sz w:val="24"/>
                <w:szCs w:val="24"/>
                <w:shd w:val="clear" w:color="auto" w:fill="FFFFFF"/>
              </w:rPr>
              <w:t> </w:t>
            </w:r>
            <w:r w:rsidR="00723FE6" w:rsidRPr="00DD0727">
              <w:rPr>
                <w:rStyle w:val="datamnuo"/>
                <w:rFonts w:ascii="Times New Roman" w:hAnsi="Times New Roman"/>
                <w:sz w:val="24"/>
                <w:szCs w:val="24"/>
                <w:shd w:val="clear" w:color="auto" w:fill="FFFFFF"/>
              </w:rPr>
              <w:t>gegužės</w:t>
            </w:r>
            <w:r w:rsidR="00723FE6" w:rsidRPr="00DD0727">
              <w:rPr>
                <w:rStyle w:val="apple-converted-space"/>
                <w:rFonts w:ascii="Times New Roman" w:hAnsi="Times New Roman"/>
                <w:sz w:val="24"/>
                <w:szCs w:val="24"/>
                <w:shd w:val="clear" w:color="auto" w:fill="FFFFFF"/>
              </w:rPr>
              <w:t> </w:t>
            </w:r>
            <w:r w:rsidR="00723FE6" w:rsidRPr="00DD0727">
              <w:rPr>
                <w:rStyle w:val="datadiena"/>
                <w:rFonts w:ascii="Times New Roman" w:hAnsi="Times New Roman"/>
                <w:sz w:val="24"/>
                <w:szCs w:val="24"/>
                <w:shd w:val="clear" w:color="auto" w:fill="FFFFFF"/>
              </w:rPr>
              <w:t>15</w:t>
            </w:r>
            <w:r w:rsidR="00723FE6" w:rsidRPr="00DD0727">
              <w:rPr>
                <w:rStyle w:val="apple-converted-space"/>
                <w:rFonts w:ascii="Times New Roman" w:hAnsi="Times New Roman"/>
                <w:sz w:val="24"/>
                <w:szCs w:val="24"/>
                <w:shd w:val="clear" w:color="auto" w:fill="FFFFFF"/>
              </w:rPr>
              <w:t> </w:t>
            </w:r>
            <w:r w:rsidR="00723FE6" w:rsidRPr="00DD0727">
              <w:rPr>
                <w:rFonts w:ascii="Times New Roman" w:hAnsi="Times New Roman"/>
                <w:sz w:val="24"/>
                <w:szCs w:val="24"/>
                <w:shd w:val="clear" w:color="auto" w:fill="FFFFFF"/>
              </w:rPr>
              <w:t>d. nutarimu Nr.</w:t>
            </w:r>
            <w:r w:rsidR="00723FE6" w:rsidRPr="00DD0727">
              <w:rPr>
                <w:rStyle w:val="apple-converted-space"/>
                <w:rFonts w:ascii="Times New Roman" w:hAnsi="Times New Roman"/>
                <w:sz w:val="24"/>
                <w:szCs w:val="24"/>
                <w:shd w:val="clear" w:color="auto" w:fill="FFFFFF"/>
              </w:rPr>
              <w:t> </w:t>
            </w:r>
            <w:r w:rsidR="00723FE6" w:rsidRPr="00DD0727">
              <w:rPr>
                <w:rStyle w:val="statymonr"/>
                <w:rFonts w:ascii="Times New Roman" w:hAnsi="Times New Roman"/>
                <w:sz w:val="24"/>
                <w:szCs w:val="24"/>
                <w:shd w:val="clear" w:color="auto" w:fill="FFFFFF"/>
              </w:rPr>
              <w:t>XI-2015</w:t>
            </w:r>
            <w:r w:rsidR="000F2B34" w:rsidRPr="00DD0727">
              <w:rPr>
                <w:rStyle w:val="statymonr"/>
                <w:rFonts w:ascii="Times New Roman" w:hAnsi="Times New Roman"/>
                <w:sz w:val="24"/>
                <w:szCs w:val="24"/>
                <w:shd w:val="clear" w:color="auto" w:fill="FFFFFF"/>
              </w:rPr>
              <w:t xml:space="preserve"> </w:t>
            </w:r>
            <w:r w:rsidRPr="00DD0727">
              <w:rPr>
                <w:rFonts w:ascii="Times New Roman" w:hAnsi="Times New Roman"/>
                <w:sz w:val="24"/>
                <w:szCs w:val="24"/>
              </w:rPr>
              <w:t xml:space="preserve">nurodoma, kad didelę reikšmę šalies ekonomikai turės konkurencingas ir aplinką tausojantis energetikos sektorius – būtina pasiekti energetinę nepriklausomybę ir nuosekliai plėtoti aplinką </w:t>
            </w:r>
            <w:r w:rsidRPr="00DD0727">
              <w:rPr>
                <w:rFonts w:ascii="Times New Roman" w:hAnsi="Times New Roman"/>
                <w:sz w:val="24"/>
                <w:szCs w:val="24"/>
              </w:rPr>
              <w:lastRenderedPageBreak/>
              <w:t>tausojančių išteklių panaudojimą. Kadangi strategijoje energetikos sektorius nėra detaliau išskirtas,</w:t>
            </w:r>
            <w:r w:rsidR="005B76BD" w:rsidRPr="00DD0727">
              <w:rPr>
                <w:rFonts w:ascii="Times New Roman" w:hAnsi="Times New Roman"/>
                <w:sz w:val="24"/>
                <w:szCs w:val="24"/>
              </w:rPr>
              <w:t xml:space="preserve"> galima</w:t>
            </w:r>
            <w:r w:rsidRPr="00DD0727">
              <w:rPr>
                <w:rFonts w:ascii="Times New Roman" w:hAnsi="Times New Roman"/>
                <w:sz w:val="24"/>
                <w:szCs w:val="24"/>
              </w:rPr>
              <w:t xml:space="preserve"> daryti išvadą, kad svarbiausios ilgalaikės kryptys energetikos srityje yra šios dvi: energetinės nepriklausomybė ir aplinką tausojančių išteklių panaudojimas energijos gam</w:t>
            </w:r>
            <w:r w:rsidR="007C052F" w:rsidRPr="00DD0727">
              <w:rPr>
                <w:rFonts w:ascii="Times New Roman" w:hAnsi="Times New Roman"/>
                <w:sz w:val="24"/>
                <w:szCs w:val="24"/>
              </w:rPr>
              <w:t>yboje</w:t>
            </w:r>
            <w:r w:rsidR="00E4761C" w:rsidRPr="00DD0727">
              <w:rPr>
                <w:rFonts w:ascii="Times New Roman" w:hAnsi="Times New Roman"/>
                <w:sz w:val="24"/>
                <w:szCs w:val="24"/>
              </w:rPr>
              <w:t>,</w:t>
            </w:r>
            <w:r w:rsidR="007C052F" w:rsidRPr="00DD0727">
              <w:rPr>
                <w:rFonts w:ascii="Times New Roman" w:hAnsi="Times New Roman"/>
                <w:sz w:val="24"/>
                <w:szCs w:val="24"/>
              </w:rPr>
              <w:t xml:space="preserve"> perdavime ir skirstyme</w:t>
            </w:r>
            <w:r w:rsidR="00E4761C" w:rsidRPr="00DD0727">
              <w:rPr>
                <w:rFonts w:ascii="Times New Roman" w:hAnsi="Times New Roman"/>
                <w:sz w:val="24"/>
                <w:szCs w:val="24"/>
              </w:rPr>
              <w:t>.</w:t>
            </w:r>
            <w:r w:rsidR="007C052F" w:rsidRPr="00DD0727">
              <w:rPr>
                <w:rFonts w:ascii="Times New Roman" w:hAnsi="Times New Roman"/>
                <w:sz w:val="24"/>
                <w:szCs w:val="24"/>
              </w:rPr>
              <w:t xml:space="preserve"> </w:t>
            </w:r>
            <w:r w:rsidR="00E4761C" w:rsidRPr="00DD0727">
              <w:rPr>
                <w:rFonts w:ascii="Times New Roman" w:hAnsi="Times New Roman"/>
                <w:sz w:val="24"/>
                <w:szCs w:val="24"/>
              </w:rPr>
              <w:t xml:space="preserve">Elektros </w:t>
            </w:r>
            <w:r w:rsidR="0067385F">
              <w:rPr>
                <w:rFonts w:ascii="Times New Roman" w:hAnsi="Times New Roman"/>
                <w:sz w:val="24"/>
                <w:szCs w:val="24"/>
              </w:rPr>
              <w:t xml:space="preserve"> skirstomųjų tinklų</w:t>
            </w:r>
            <w:r w:rsidR="00937E2C" w:rsidRPr="00DD0727">
              <w:rPr>
                <w:rFonts w:ascii="Times New Roman" w:hAnsi="Times New Roman"/>
                <w:sz w:val="24"/>
                <w:szCs w:val="24"/>
              </w:rPr>
              <w:t xml:space="preserve"> </w:t>
            </w:r>
            <w:r w:rsidR="00E4761C" w:rsidRPr="00DD0727">
              <w:rPr>
                <w:rFonts w:ascii="Times New Roman" w:hAnsi="Times New Roman"/>
                <w:sz w:val="24"/>
                <w:szCs w:val="24"/>
              </w:rPr>
              <w:t xml:space="preserve">modernizavimas </w:t>
            </w:r>
            <w:r w:rsidR="0067385F">
              <w:rPr>
                <w:rFonts w:ascii="Times New Roman" w:hAnsi="Times New Roman"/>
                <w:sz w:val="24"/>
                <w:szCs w:val="24"/>
              </w:rPr>
              <w:t xml:space="preserve">ir plėtra </w:t>
            </w:r>
            <w:r w:rsidR="00E4761C" w:rsidRPr="00DD0727">
              <w:rPr>
                <w:rFonts w:ascii="Times New Roman" w:hAnsi="Times New Roman"/>
                <w:sz w:val="24"/>
                <w:szCs w:val="24"/>
              </w:rPr>
              <w:t xml:space="preserve">diegiant </w:t>
            </w:r>
            <w:r w:rsidR="00937E2C" w:rsidRPr="00DD0727">
              <w:rPr>
                <w:rFonts w:ascii="Times New Roman" w:hAnsi="Times New Roman"/>
                <w:sz w:val="24"/>
                <w:szCs w:val="24"/>
              </w:rPr>
              <w:t>išmaniąsias sistemas</w:t>
            </w:r>
            <w:r w:rsidR="00E4761C" w:rsidRPr="00DD0727">
              <w:rPr>
                <w:rFonts w:ascii="Times New Roman" w:hAnsi="Times New Roman"/>
                <w:sz w:val="24"/>
                <w:szCs w:val="24"/>
              </w:rPr>
              <w:t xml:space="preserve">, pažangiosios infrastruktūros elementus, naujus pažangiam tinklui valdyti skirtus elementus </w:t>
            </w:r>
            <w:r w:rsidR="00937E2C" w:rsidRPr="00DD0727">
              <w:rPr>
                <w:rFonts w:ascii="Times New Roman" w:hAnsi="Times New Roman"/>
                <w:sz w:val="24"/>
                <w:szCs w:val="24"/>
              </w:rPr>
              <w:t xml:space="preserve">tiesiogiai </w:t>
            </w:r>
            <w:r w:rsidR="00AB4F54" w:rsidRPr="00DD0727">
              <w:rPr>
                <w:rFonts w:ascii="Times New Roman" w:hAnsi="Times New Roman"/>
                <w:sz w:val="24"/>
                <w:szCs w:val="24"/>
              </w:rPr>
              <w:t>pr</w:t>
            </w:r>
            <w:r w:rsidR="00937E2C" w:rsidRPr="00DD0727">
              <w:rPr>
                <w:rFonts w:ascii="Times New Roman" w:hAnsi="Times New Roman"/>
                <w:sz w:val="24"/>
                <w:szCs w:val="24"/>
              </w:rPr>
              <w:t>isideda prie abiejų krypčių</w:t>
            </w:r>
            <w:r w:rsidR="000D41A4">
              <w:rPr>
                <w:rFonts w:ascii="Times New Roman" w:hAnsi="Times New Roman"/>
                <w:sz w:val="24"/>
                <w:szCs w:val="24"/>
              </w:rPr>
              <w:t xml:space="preserve"> </w:t>
            </w:r>
            <w:r w:rsidR="00BA51EB">
              <w:rPr>
                <w:rFonts w:ascii="Times New Roman" w:hAnsi="Times New Roman"/>
                <w:sz w:val="24"/>
                <w:szCs w:val="24"/>
              </w:rPr>
              <w:t>įgyvendinimo</w:t>
            </w:r>
            <w:r w:rsidR="00FF35F6" w:rsidRPr="00DD0727">
              <w:rPr>
                <w:rFonts w:ascii="Times New Roman" w:hAnsi="Times New Roman"/>
                <w:sz w:val="24"/>
                <w:szCs w:val="24"/>
              </w:rPr>
              <w:t>.</w:t>
            </w:r>
          </w:p>
          <w:p w:rsidR="00C04A50" w:rsidRPr="00DD0727" w:rsidRDefault="00C04A50" w:rsidP="00546EA6">
            <w:pPr>
              <w:tabs>
                <w:tab w:val="left" w:pos="567"/>
              </w:tabs>
              <w:jc w:val="both"/>
              <w:rPr>
                <w:rFonts w:ascii="Times New Roman" w:hAnsi="Times New Roman"/>
                <w:sz w:val="24"/>
                <w:szCs w:val="24"/>
              </w:rPr>
            </w:pPr>
          </w:p>
          <w:p w:rsidR="005E4121" w:rsidRPr="0062477B" w:rsidRDefault="005E4121" w:rsidP="00546EA6">
            <w:pPr>
              <w:tabs>
                <w:tab w:val="left" w:pos="567"/>
              </w:tabs>
              <w:jc w:val="both"/>
              <w:rPr>
                <w:rFonts w:ascii="Times New Roman" w:hAnsi="Times New Roman"/>
                <w:sz w:val="24"/>
                <w:szCs w:val="24"/>
              </w:rPr>
            </w:pPr>
            <w:r w:rsidRPr="0062477B">
              <w:rPr>
                <w:rFonts w:ascii="Times New Roman" w:hAnsi="Times New Roman"/>
                <w:sz w:val="24"/>
                <w:szCs w:val="24"/>
              </w:rPr>
              <w:t>Įgyvendinant priemonę prisidedama prie</w:t>
            </w:r>
            <w:r w:rsidR="00F63DFD" w:rsidRPr="00BC2651">
              <w:rPr>
                <w:rFonts w:ascii="Times New Roman" w:hAnsi="Times New Roman"/>
                <w:sz w:val="24"/>
                <w:szCs w:val="24"/>
              </w:rPr>
              <w:t xml:space="preserve"> </w:t>
            </w:r>
            <w:bookmarkStart w:id="1" w:name="data_menuo"/>
            <w:bookmarkStart w:id="2" w:name="data_diena"/>
            <w:bookmarkStart w:id="3" w:name="dok_nr"/>
            <w:bookmarkEnd w:id="1"/>
            <w:bookmarkEnd w:id="2"/>
            <w:bookmarkEnd w:id="3"/>
            <w:r w:rsidRPr="0062477B">
              <w:rPr>
                <w:rFonts w:ascii="Times New Roman" w:hAnsi="Times New Roman"/>
                <w:sz w:val="24"/>
                <w:szCs w:val="24"/>
              </w:rPr>
              <w:t>Nacionalinės energetinės nepriklausomybės strategijos</w:t>
            </w:r>
            <w:r w:rsidR="00723FE6">
              <w:rPr>
                <w:rFonts w:ascii="Times New Roman" w:hAnsi="Times New Roman"/>
                <w:sz w:val="24"/>
                <w:szCs w:val="24"/>
              </w:rPr>
              <w:t xml:space="preserve">, </w:t>
            </w:r>
            <w:r w:rsidR="00723FE6" w:rsidRPr="0062477B">
              <w:rPr>
                <w:rFonts w:ascii="Times New Roman" w:hAnsi="Times New Roman"/>
                <w:sz w:val="24"/>
                <w:szCs w:val="24"/>
              </w:rPr>
              <w:t xml:space="preserve">patvirtintos </w:t>
            </w:r>
            <w:r w:rsidR="00BA51EB">
              <w:rPr>
                <w:rFonts w:ascii="Times New Roman" w:hAnsi="Times New Roman"/>
                <w:sz w:val="24"/>
                <w:szCs w:val="24"/>
              </w:rPr>
              <w:t xml:space="preserve">LR </w:t>
            </w:r>
            <w:r w:rsidR="00723FE6" w:rsidRPr="0062477B">
              <w:rPr>
                <w:rFonts w:ascii="Times New Roman" w:hAnsi="Times New Roman"/>
                <w:sz w:val="24"/>
                <w:szCs w:val="24"/>
              </w:rPr>
              <w:t xml:space="preserve">Seimo </w:t>
            </w:r>
            <w:r w:rsidR="00723FE6" w:rsidRPr="0062477B">
              <w:rPr>
                <w:rStyle w:val="datametai"/>
                <w:rFonts w:ascii="Times New Roman" w:hAnsi="Times New Roman"/>
                <w:sz w:val="24"/>
                <w:szCs w:val="24"/>
              </w:rPr>
              <w:t>2012</w:t>
            </w:r>
            <w:r w:rsidR="00723FE6" w:rsidRPr="0062477B">
              <w:rPr>
                <w:rFonts w:ascii="Times New Roman" w:hAnsi="Times New Roman"/>
                <w:sz w:val="24"/>
                <w:szCs w:val="24"/>
              </w:rPr>
              <w:t xml:space="preserve"> m. </w:t>
            </w:r>
            <w:r w:rsidR="00723FE6" w:rsidRPr="0062477B">
              <w:rPr>
                <w:rStyle w:val="datamnuo"/>
                <w:rFonts w:ascii="Times New Roman" w:hAnsi="Times New Roman"/>
                <w:sz w:val="24"/>
                <w:szCs w:val="24"/>
              </w:rPr>
              <w:t>birželio</w:t>
            </w:r>
            <w:r w:rsidR="00723FE6" w:rsidRPr="0062477B">
              <w:rPr>
                <w:rFonts w:ascii="Times New Roman" w:hAnsi="Times New Roman"/>
                <w:sz w:val="24"/>
                <w:szCs w:val="24"/>
              </w:rPr>
              <w:t xml:space="preserve"> </w:t>
            </w:r>
            <w:r w:rsidR="00723FE6" w:rsidRPr="008D4951">
              <w:rPr>
                <w:rStyle w:val="datadiena"/>
                <w:rFonts w:ascii="Times New Roman" w:hAnsi="Times New Roman"/>
                <w:sz w:val="24"/>
                <w:szCs w:val="24"/>
              </w:rPr>
              <w:t>26</w:t>
            </w:r>
            <w:r w:rsidR="00723FE6" w:rsidRPr="008D4951">
              <w:rPr>
                <w:rFonts w:ascii="Times New Roman" w:hAnsi="Times New Roman"/>
                <w:sz w:val="24"/>
                <w:szCs w:val="24"/>
              </w:rPr>
              <w:t xml:space="preserve"> d. nutarimu Nr. </w:t>
            </w:r>
            <w:r w:rsidR="00723FE6" w:rsidRPr="0062477B">
              <w:rPr>
                <w:rStyle w:val="statymonr"/>
                <w:rFonts w:ascii="Times New Roman" w:hAnsi="Times New Roman"/>
                <w:sz w:val="24"/>
                <w:szCs w:val="24"/>
              </w:rPr>
              <w:t>XI-2133</w:t>
            </w:r>
            <w:r w:rsidR="00723FE6" w:rsidRPr="0062477B">
              <w:rPr>
                <w:rFonts w:ascii="Times New Roman" w:hAnsi="Times New Roman"/>
                <w:sz w:val="24"/>
                <w:szCs w:val="24"/>
              </w:rPr>
              <w:t xml:space="preserve"> </w:t>
            </w:r>
            <w:r w:rsidRPr="0062477B">
              <w:rPr>
                <w:rFonts w:ascii="Times New Roman" w:hAnsi="Times New Roman"/>
                <w:sz w:val="24"/>
                <w:szCs w:val="24"/>
              </w:rPr>
              <w:t xml:space="preserve">tikslų: </w:t>
            </w:r>
            <w:r w:rsidRPr="0062477B">
              <w:rPr>
                <w:rFonts w:ascii="Times New Roman" w:hAnsi="Times New Roman"/>
                <w:bCs/>
                <w:sz w:val="24"/>
                <w:szCs w:val="24"/>
              </w:rPr>
              <w:t>energetinė nepriklausomybė, konkurencingumas ir darni plėtra</w:t>
            </w:r>
            <w:r w:rsidRPr="0062477B">
              <w:rPr>
                <w:rFonts w:ascii="Times New Roman" w:hAnsi="Times New Roman"/>
                <w:sz w:val="24"/>
                <w:szCs w:val="24"/>
              </w:rPr>
              <w:t>.</w:t>
            </w:r>
          </w:p>
          <w:p w:rsidR="005E4121" w:rsidRPr="0062477B" w:rsidRDefault="005E4121" w:rsidP="00546EA6">
            <w:pPr>
              <w:tabs>
                <w:tab w:val="left" w:pos="567"/>
              </w:tabs>
              <w:jc w:val="both"/>
              <w:rPr>
                <w:rFonts w:ascii="Times New Roman" w:hAnsi="Times New Roman"/>
                <w:sz w:val="24"/>
                <w:szCs w:val="24"/>
              </w:rPr>
            </w:pPr>
          </w:p>
          <w:p w:rsidR="00F12BDF" w:rsidRPr="003F2EF3" w:rsidRDefault="00F12BDF" w:rsidP="00F12BDF">
            <w:pPr>
              <w:jc w:val="both"/>
              <w:rPr>
                <w:rFonts w:ascii="Times New Roman" w:hAnsi="Times New Roman"/>
                <w:sz w:val="24"/>
                <w:szCs w:val="24"/>
              </w:rPr>
            </w:pPr>
            <w:r w:rsidRPr="003F2EF3">
              <w:rPr>
                <w:rFonts w:ascii="Times New Roman" w:hAnsi="Times New Roman"/>
                <w:sz w:val="24"/>
                <w:szCs w:val="24"/>
              </w:rPr>
              <w:t xml:space="preserve">Priemone siekiama prisidėti prie </w:t>
            </w:r>
            <w:r w:rsidRPr="00BA51EB">
              <w:rPr>
                <w:rFonts w:ascii="Times New Roman" w:hAnsi="Times New Roman"/>
                <w:sz w:val="24"/>
                <w:szCs w:val="24"/>
              </w:rPr>
              <w:t>2015-2017 metų strateginio veiklos plano</w:t>
            </w:r>
            <w:r>
              <w:rPr>
                <w:rFonts w:ascii="Times New Roman" w:hAnsi="Times New Roman"/>
                <w:sz w:val="24"/>
                <w:szCs w:val="24"/>
              </w:rPr>
              <w:t xml:space="preserve">, </w:t>
            </w:r>
            <w:r w:rsidRPr="00BA51EB">
              <w:rPr>
                <w:rFonts w:ascii="Times New Roman" w:hAnsi="Times New Roman"/>
                <w:sz w:val="24"/>
                <w:szCs w:val="24"/>
              </w:rPr>
              <w:t xml:space="preserve">LR </w:t>
            </w:r>
            <w:r>
              <w:rPr>
                <w:rFonts w:ascii="Times New Roman" w:hAnsi="Times New Roman"/>
                <w:sz w:val="24"/>
                <w:szCs w:val="24"/>
              </w:rPr>
              <w:t xml:space="preserve">Energetikos </w:t>
            </w:r>
            <w:r w:rsidRPr="00BA51EB">
              <w:rPr>
                <w:rFonts w:ascii="Times New Roman" w:hAnsi="Times New Roman"/>
                <w:sz w:val="24"/>
                <w:szCs w:val="24"/>
              </w:rPr>
              <w:t xml:space="preserve">ministro </w:t>
            </w:r>
            <w:r>
              <w:rPr>
                <w:rFonts w:ascii="Times New Roman" w:hAnsi="Times New Roman"/>
                <w:sz w:val="24"/>
                <w:szCs w:val="24"/>
              </w:rPr>
              <w:t>patvirtinto</w:t>
            </w:r>
            <w:r w:rsidRPr="003F2EF3">
              <w:rPr>
                <w:rFonts w:ascii="Times New Roman" w:hAnsi="Times New Roman"/>
                <w:sz w:val="24"/>
                <w:szCs w:val="24"/>
              </w:rPr>
              <w:t xml:space="preserve"> </w:t>
            </w:r>
            <w:r w:rsidRPr="00BA51EB">
              <w:rPr>
                <w:rFonts w:ascii="Times New Roman" w:hAnsi="Times New Roman"/>
                <w:sz w:val="24"/>
                <w:szCs w:val="24"/>
              </w:rPr>
              <w:t>2015 m. sausio 22 d. įsakymu Nr. 1-17</w:t>
            </w:r>
            <w:r>
              <w:rPr>
                <w:rFonts w:ascii="Times New Roman" w:hAnsi="Times New Roman"/>
                <w:sz w:val="24"/>
                <w:szCs w:val="24"/>
              </w:rPr>
              <w:t xml:space="preserve">, </w:t>
            </w:r>
            <w:r w:rsidRPr="003F2EF3">
              <w:rPr>
                <w:rFonts w:ascii="Times New Roman" w:hAnsi="Times New Roman"/>
                <w:sz w:val="24"/>
                <w:szCs w:val="24"/>
              </w:rPr>
              <w:t>I strateginio tikslo „Mažinti priklausomybę nuo vienintelio išorinio energijos išteklių tiekėjo“</w:t>
            </w:r>
            <w:r>
              <w:rPr>
                <w:rFonts w:ascii="Times New Roman" w:hAnsi="Times New Roman"/>
                <w:sz w:val="24"/>
                <w:szCs w:val="24"/>
              </w:rPr>
              <w:t>,</w:t>
            </w:r>
            <w:r w:rsidRPr="003F2EF3">
              <w:rPr>
                <w:rFonts w:ascii="Times New Roman" w:hAnsi="Times New Roman"/>
                <w:sz w:val="24"/>
                <w:szCs w:val="24"/>
              </w:rPr>
              <w:t xml:space="preserve"> įgyvendinimo</w:t>
            </w:r>
            <w:r>
              <w:rPr>
                <w:rFonts w:ascii="Times New Roman" w:hAnsi="Times New Roman"/>
                <w:sz w:val="24"/>
                <w:szCs w:val="24"/>
              </w:rPr>
              <w:t>.</w:t>
            </w:r>
          </w:p>
          <w:p w:rsidR="00554281" w:rsidRDefault="00554281" w:rsidP="00976BF5">
            <w:pPr>
              <w:jc w:val="both"/>
              <w:rPr>
                <w:rFonts w:ascii="Times New Roman" w:hAnsi="Times New Roman"/>
                <w:sz w:val="24"/>
                <w:szCs w:val="24"/>
              </w:rPr>
            </w:pPr>
          </w:p>
          <w:p w:rsidR="00821F53" w:rsidRPr="00345859" w:rsidRDefault="00F83B38" w:rsidP="00F83B38">
            <w:pPr>
              <w:jc w:val="both"/>
              <w:rPr>
                <w:rFonts w:ascii="Times New Roman" w:hAnsi="Times New Roman"/>
                <w:sz w:val="24"/>
                <w:szCs w:val="24"/>
              </w:rPr>
            </w:pPr>
            <w:r>
              <w:rPr>
                <w:rFonts w:ascii="Times New Roman" w:hAnsi="Times New Roman"/>
                <w:sz w:val="24"/>
                <w:szCs w:val="24"/>
              </w:rPr>
              <w:t xml:space="preserve">Priemonės įgyvendinimas prisideda prie </w:t>
            </w:r>
            <w:r w:rsidRPr="00554281">
              <w:rPr>
                <w:rFonts w:ascii="Times New Roman" w:hAnsi="Times New Roman"/>
                <w:sz w:val="24"/>
                <w:szCs w:val="24"/>
              </w:rPr>
              <w:t>2014–2020 metų Nacionalinė</w:t>
            </w:r>
            <w:r>
              <w:rPr>
                <w:rFonts w:ascii="Times New Roman" w:hAnsi="Times New Roman"/>
                <w:sz w:val="24"/>
                <w:szCs w:val="24"/>
              </w:rPr>
              <w:t>s</w:t>
            </w:r>
            <w:r w:rsidRPr="00554281">
              <w:rPr>
                <w:rFonts w:ascii="Times New Roman" w:hAnsi="Times New Roman"/>
                <w:sz w:val="24"/>
                <w:szCs w:val="24"/>
              </w:rPr>
              <w:t xml:space="preserve"> pažangos program</w:t>
            </w:r>
            <w:r>
              <w:rPr>
                <w:rFonts w:ascii="Times New Roman" w:hAnsi="Times New Roman"/>
                <w:sz w:val="24"/>
                <w:szCs w:val="24"/>
              </w:rPr>
              <w:t>os, patvirtintos</w:t>
            </w:r>
            <w:r w:rsidRPr="00554281">
              <w:rPr>
                <w:rFonts w:ascii="Times New Roman" w:hAnsi="Times New Roman"/>
                <w:sz w:val="24"/>
                <w:szCs w:val="24"/>
              </w:rPr>
              <w:t xml:space="preserve"> LR Vyriausybės 2012</w:t>
            </w:r>
            <w:r>
              <w:rPr>
                <w:rFonts w:ascii="Times New Roman" w:hAnsi="Times New Roman"/>
                <w:sz w:val="24"/>
                <w:szCs w:val="24"/>
              </w:rPr>
              <w:t> </w:t>
            </w:r>
            <w:r w:rsidRPr="00554281">
              <w:rPr>
                <w:rFonts w:ascii="Times New Roman" w:hAnsi="Times New Roman"/>
                <w:sz w:val="24"/>
                <w:szCs w:val="24"/>
              </w:rPr>
              <w:t>m. lapkričio 28 d. nutarimu Nr.</w:t>
            </w:r>
            <w:r>
              <w:rPr>
                <w:rFonts w:ascii="Times New Roman" w:hAnsi="Times New Roman"/>
                <w:sz w:val="24"/>
                <w:szCs w:val="24"/>
              </w:rPr>
              <w:t> </w:t>
            </w:r>
            <w:r w:rsidRPr="00554281">
              <w:rPr>
                <w:rFonts w:ascii="Times New Roman" w:hAnsi="Times New Roman"/>
                <w:sz w:val="24"/>
                <w:szCs w:val="24"/>
              </w:rPr>
              <w:t>1482</w:t>
            </w:r>
            <w:r>
              <w:rPr>
                <w:rFonts w:ascii="Times New Roman" w:hAnsi="Times New Roman"/>
                <w:sz w:val="24"/>
                <w:szCs w:val="24"/>
              </w:rPr>
              <w:t>,</w:t>
            </w:r>
            <w:r w:rsidRPr="00554281">
              <w:rPr>
                <w:rFonts w:ascii="Times New Roman" w:hAnsi="Times New Roman"/>
                <w:sz w:val="24"/>
                <w:szCs w:val="24"/>
              </w:rPr>
              <w:t xml:space="preserve"> </w:t>
            </w:r>
            <w:r w:rsidR="005B29A1">
              <w:rPr>
                <w:rFonts w:ascii="Times New Roman" w:hAnsi="Times New Roman"/>
                <w:sz w:val="24"/>
                <w:szCs w:val="24"/>
              </w:rPr>
              <w:t>bendrojo prioriteto</w:t>
            </w:r>
            <w:r w:rsidR="00277587">
              <w:rPr>
                <w:rFonts w:ascii="Times New Roman" w:hAnsi="Times New Roman"/>
                <w:sz w:val="24"/>
                <w:szCs w:val="24"/>
              </w:rPr>
              <w:t xml:space="preserve"> „</w:t>
            </w:r>
            <w:r w:rsidR="00277587" w:rsidRPr="005B29A1">
              <w:rPr>
                <w:rFonts w:ascii="Times New Roman" w:hAnsi="Times New Roman"/>
                <w:bCs/>
                <w:sz w:val="24"/>
                <w:szCs w:val="24"/>
              </w:rPr>
              <w:t>Sukurti augimui ir konkurencingumui palankias aplinkos sąlygas</w:t>
            </w:r>
            <w:r w:rsidR="00277587">
              <w:rPr>
                <w:rFonts w:ascii="Times New Roman" w:hAnsi="Times New Roman"/>
                <w:sz w:val="24"/>
                <w:szCs w:val="24"/>
              </w:rPr>
              <w:t>“</w:t>
            </w:r>
            <w:r w:rsidR="00821F53">
              <w:rPr>
                <w:rFonts w:ascii="Times New Roman" w:hAnsi="Times New Roman"/>
                <w:sz w:val="24"/>
                <w:szCs w:val="24"/>
              </w:rPr>
              <w:t xml:space="preserve"> </w:t>
            </w:r>
            <w:r w:rsidRPr="00F83B38">
              <w:rPr>
                <w:rFonts w:ascii="Times New Roman" w:hAnsi="Times New Roman"/>
                <w:sz w:val="24"/>
                <w:szCs w:val="24"/>
              </w:rPr>
              <w:t xml:space="preserve">3.2.3 </w:t>
            </w:r>
            <w:r w:rsidR="00821F53" w:rsidRPr="005B29A1">
              <w:rPr>
                <w:rFonts w:ascii="Times New Roman" w:hAnsi="Times New Roman"/>
                <w:sz w:val="24"/>
                <w:szCs w:val="24"/>
              </w:rPr>
              <w:t>tikslo</w:t>
            </w:r>
            <w:r w:rsidR="00821F53" w:rsidRPr="00554281">
              <w:rPr>
                <w:rFonts w:ascii="Times New Roman" w:hAnsi="Times New Roman"/>
                <w:sz w:val="24"/>
                <w:szCs w:val="24"/>
              </w:rPr>
              <w:t xml:space="preserve"> </w:t>
            </w:r>
            <w:r w:rsidRPr="00F83B38">
              <w:rPr>
                <w:rFonts w:ascii="Times New Roman" w:hAnsi="Times New Roman"/>
                <w:sz w:val="24"/>
                <w:szCs w:val="24"/>
              </w:rPr>
              <w:t xml:space="preserve">„Plėtoti energetinę infrastruktūrą“ </w:t>
            </w:r>
            <w:bookmarkStart w:id="4" w:name="X3dfc6c215a2d40099b2f01eef0886efc"/>
            <w:r w:rsidRPr="00F83B38">
              <w:rPr>
                <w:rFonts w:ascii="Times New Roman" w:hAnsi="Times New Roman"/>
                <w:color w:val="000000"/>
                <w:sz w:val="24"/>
                <w:szCs w:val="24"/>
              </w:rPr>
              <w:t xml:space="preserve">3.2.3.4. </w:t>
            </w:r>
            <w:r w:rsidR="00821F53">
              <w:rPr>
                <w:rFonts w:ascii="Times New Roman" w:hAnsi="Times New Roman"/>
                <w:color w:val="000000"/>
                <w:sz w:val="24"/>
                <w:szCs w:val="24"/>
              </w:rPr>
              <w:t>uždavinio „</w:t>
            </w:r>
            <w:r w:rsidRPr="00F83B38">
              <w:rPr>
                <w:rFonts w:ascii="Times New Roman" w:hAnsi="Times New Roman"/>
                <w:color w:val="000000"/>
                <w:sz w:val="24"/>
                <w:szCs w:val="24"/>
              </w:rPr>
              <w:t xml:space="preserve">užtikrinti elektros </w:t>
            </w:r>
            <w:r w:rsidRPr="00E05647">
              <w:rPr>
                <w:rFonts w:ascii="Times New Roman" w:hAnsi="Times New Roman"/>
                <w:color w:val="000000"/>
              </w:rPr>
              <w:t>ir dujų perdavimo ir skirstymo tinklų atnaujinimą (</w:t>
            </w:r>
            <w:r w:rsidRPr="00345859">
              <w:rPr>
                <w:rFonts w:ascii="Times New Roman" w:hAnsi="Times New Roman"/>
                <w:color w:val="000000"/>
                <w:sz w:val="24"/>
                <w:szCs w:val="24"/>
              </w:rPr>
              <w:t>modernizavimą) ir plėtrą</w:t>
            </w:r>
            <w:bookmarkEnd w:id="4"/>
            <w:r w:rsidR="00821F53" w:rsidRPr="00345859">
              <w:rPr>
                <w:rFonts w:ascii="Times New Roman" w:hAnsi="Times New Roman"/>
                <w:color w:val="000000"/>
                <w:sz w:val="24"/>
                <w:szCs w:val="24"/>
              </w:rPr>
              <w:t>“</w:t>
            </w:r>
            <w:r w:rsidRPr="00345859">
              <w:rPr>
                <w:rFonts w:ascii="Times New Roman" w:hAnsi="Times New Roman"/>
                <w:sz w:val="24"/>
                <w:szCs w:val="24"/>
              </w:rPr>
              <w:t xml:space="preserve"> įgyvendinimo</w:t>
            </w:r>
            <w:r w:rsidR="00821F53" w:rsidRPr="00345859">
              <w:rPr>
                <w:rFonts w:ascii="Times New Roman" w:hAnsi="Times New Roman"/>
                <w:sz w:val="24"/>
                <w:szCs w:val="24"/>
              </w:rPr>
              <w:t>.</w:t>
            </w:r>
            <w:r w:rsidRPr="00345859">
              <w:rPr>
                <w:rFonts w:ascii="Times New Roman" w:hAnsi="Times New Roman"/>
                <w:sz w:val="24"/>
                <w:szCs w:val="24"/>
              </w:rPr>
              <w:t xml:space="preserve"> </w:t>
            </w:r>
          </w:p>
          <w:p w:rsidR="00905419" w:rsidRPr="00345859" w:rsidRDefault="00905419" w:rsidP="00F83B38">
            <w:pPr>
              <w:jc w:val="both"/>
              <w:rPr>
                <w:rFonts w:ascii="Times New Roman" w:hAnsi="Times New Roman"/>
                <w:sz w:val="24"/>
                <w:szCs w:val="24"/>
              </w:rPr>
            </w:pPr>
          </w:p>
          <w:p w:rsidR="00905419" w:rsidRPr="00345859" w:rsidRDefault="00905419" w:rsidP="00F83B38">
            <w:pPr>
              <w:jc w:val="both"/>
              <w:rPr>
                <w:rFonts w:ascii="Times New Roman" w:hAnsi="Times New Roman"/>
                <w:sz w:val="24"/>
                <w:szCs w:val="24"/>
              </w:rPr>
            </w:pPr>
            <w:r w:rsidRPr="00345859">
              <w:rPr>
                <w:rFonts w:ascii="Times New Roman" w:hAnsi="Times New Roman"/>
                <w:sz w:val="24"/>
                <w:szCs w:val="24"/>
              </w:rPr>
              <w:t>Priemonės įgyvendinimas prisideda prie Nacionalinės darnaus vystymosi strategijos įgyvendinimo priemonių plano, patvirtinto LR Vyriausybės 2003 rugsėjo 11 d. nutarimu Nr. 1160, įgyvendinimo:</w:t>
            </w:r>
          </w:p>
          <w:p w:rsidR="00905419" w:rsidRPr="00345859" w:rsidRDefault="00905419" w:rsidP="00905419">
            <w:pPr>
              <w:pStyle w:val="ListParagraph"/>
              <w:numPr>
                <w:ilvl w:val="0"/>
                <w:numId w:val="14"/>
              </w:numPr>
              <w:jc w:val="both"/>
              <w:rPr>
                <w:rFonts w:ascii="Times New Roman" w:hAnsi="Times New Roman"/>
                <w:sz w:val="24"/>
                <w:szCs w:val="24"/>
              </w:rPr>
            </w:pPr>
            <w:r w:rsidRPr="00345859">
              <w:rPr>
                <w:rFonts w:ascii="Times New Roman" w:hAnsi="Times New Roman"/>
                <w:sz w:val="24"/>
                <w:szCs w:val="24"/>
              </w:rPr>
              <w:t xml:space="preserve">Ilgalaikio tikslo „Sukurti saugų, palankų aplinkai, konkurencingą ir į bendrą ES energetikos sistemą integruotą energetikos sektorių, užtikrinti patikimą ir diversifikuotą energijos išteklių tiekimą, padidinti energijos gamybos, skirstymo ir vartojimo efektyvumą, išplėsti atsinaujinančių ir </w:t>
            </w:r>
            <w:proofErr w:type="spellStart"/>
            <w:r w:rsidRPr="00345859">
              <w:rPr>
                <w:rFonts w:ascii="Times New Roman" w:hAnsi="Times New Roman"/>
                <w:sz w:val="24"/>
                <w:szCs w:val="24"/>
              </w:rPr>
              <w:t>atliekinių</w:t>
            </w:r>
            <w:proofErr w:type="spellEnd"/>
            <w:r w:rsidRPr="00345859">
              <w:rPr>
                <w:rFonts w:ascii="Times New Roman" w:hAnsi="Times New Roman"/>
                <w:sz w:val="24"/>
                <w:szCs w:val="24"/>
              </w:rPr>
              <w:t xml:space="preserve"> energijos išteklių naudojimą“ uždavinio</w:t>
            </w:r>
            <w:r w:rsidR="00E05647" w:rsidRPr="00345859">
              <w:rPr>
                <w:rFonts w:ascii="Times New Roman" w:hAnsi="Times New Roman"/>
                <w:sz w:val="24"/>
                <w:szCs w:val="24"/>
              </w:rPr>
              <w:t xml:space="preserve"> „Didinti elektros energijos, šilumos gamybos, skirstymo ir vartojimo efektyvumą, sumažinti energijos nuostolius skirstomuosiuose tinkluose“ įgyvendinimo priemonės „Organizuoti elektros energijos tiekimo infrastruktūros atnaujinimą (transformatorių pastočių modernizavimą, iš dalies – elektros perdavimo ir skirstomųjų tinklų renovavimą) – sudaryti sąlygas prisijungti naujiems elektros energijos gamintojams“ ir uždavinio „Kompleksiškai integruoti Lietuvos energetikos sistemas, ypač elektros ir dujų tiekimo sektorius, į ES sistemas ir ES energijos rinką“;</w:t>
            </w:r>
          </w:p>
          <w:p w:rsidR="00E05647" w:rsidRPr="00345859" w:rsidRDefault="00E05647" w:rsidP="00905419">
            <w:pPr>
              <w:pStyle w:val="ListParagraph"/>
              <w:numPr>
                <w:ilvl w:val="0"/>
                <w:numId w:val="14"/>
              </w:numPr>
              <w:jc w:val="both"/>
              <w:rPr>
                <w:rFonts w:ascii="Times New Roman" w:hAnsi="Times New Roman"/>
                <w:sz w:val="24"/>
                <w:szCs w:val="24"/>
              </w:rPr>
            </w:pPr>
            <w:r w:rsidRPr="00345859">
              <w:rPr>
                <w:rFonts w:ascii="Times New Roman" w:hAnsi="Times New Roman"/>
                <w:sz w:val="24"/>
                <w:szCs w:val="24"/>
                <w:shd w:val="clear" w:color="auto" w:fill="FFFFFF"/>
              </w:rPr>
              <w:t>Trumpalaikio</w:t>
            </w:r>
            <w:r w:rsidRPr="00345859">
              <w:rPr>
                <w:rFonts w:ascii="Times New Roman" w:hAnsi="Times New Roman"/>
                <w:sz w:val="24"/>
                <w:szCs w:val="24"/>
              </w:rPr>
              <w:t xml:space="preserve"> tikslo „Užtikrinti patikimą ir saugų, neviršijantį numatytųjų taršos limitų energijos tiekimą visoms Lietuvos ūkio šakoms, didinti energijos taupymą ir naudojimo efektyvumą, tinkamai naudojant ES struktūrinių paramos fondų, valstybės ir </w:t>
            </w:r>
            <w:r w:rsidRPr="00345859">
              <w:rPr>
                <w:rFonts w:ascii="Times New Roman" w:hAnsi="Times New Roman"/>
                <w:sz w:val="24"/>
                <w:szCs w:val="24"/>
              </w:rPr>
              <w:lastRenderedPageBreak/>
              <w:t>privačias lėšas“ uždavinio „Didinti energijos taupymą ir vartojimo efektyvumą“.</w:t>
            </w:r>
          </w:p>
          <w:p w:rsidR="00554281" w:rsidRPr="00345859" w:rsidRDefault="00554281" w:rsidP="00976BF5">
            <w:pPr>
              <w:jc w:val="both"/>
              <w:rPr>
                <w:rFonts w:ascii="Times New Roman" w:hAnsi="Times New Roman"/>
                <w:sz w:val="24"/>
                <w:szCs w:val="24"/>
              </w:rPr>
            </w:pPr>
          </w:p>
          <w:p w:rsidR="00CD26FD" w:rsidRPr="00CD26FD" w:rsidRDefault="008612A9" w:rsidP="00CD26FD">
            <w:pPr>
              <w:jc w:val="both"/>
              <w:rPr>
                <w:rFonts w:ascii="Times New Roman" w:hAnsi="Times New Roman"/>
                <w:sz w:val="24"/>
                <w:szCs w:val="24"/>
              </w:rPr>
            </w:pPr>
            <w:r w:rsidRPr="00345859">
              <w:rPr>
                <w:rFonts w:ascii="Times New Roman" w:hAnsi="Times New Roman"/>
                <w:sz w:val="24"/>
                <w:szCs w:val="24"/>
              </w:rPr>
              <w:t>P</w:t>
            </w:r>
            <w:r w:rsidR="001749BE" w:rsidRPr="00345859">
              <w:rPr>
                <w:rFonts w:ascii="Times New Roman" w:hAnsi="Times New Roman"/>
                <w:sz w:val="24"/>
                <w:szCs w:val="24"/>
              </w:rPr>
              <w:t>riemonė įgyvendina</w:t>
            </w:r>
            <w:r w:rsidR="000A11B1" w:rsidRPr="00345859">
              <w:rPr>
                <w:rFonts w:ascii="Times New Roman" w:hAnsi="Times New Roman"/>
                <w:sz w:val="24"/>
                <w:szCs w:val="24"/>
              </w:rPr>
              <w:t xml:space="preserve"> </w:t>
            </w:r>
            <w:r w:rsidR="001A637C" w:rsidRPr="00345859">
              <w:rPr>
                <w:rFonts w:ascii="Times New Roman" w:hAnsi="Times New Roman"/>
                <w:sz w:val="24"/>
                <w:szCs w:val="24"/>
              </w:rPr>
              <w:t xml:space="preserve">energetikos </w:t>
            </w:r>
            <w:r w:rsidR="00CA1DD1" w:rsidRPr="00345859">
              <w:rPr>
                <w:rFonts w:ascii="Times New Roman" w:hAnsi="Times New Roman"/>
                <w:sz w:val="24"/>
                <w:szCs w:val="24"/>
              </w:rPr>
              <w:t>įmonių (pareiškėjų)</w:t>
            </w:r>
            <w:r w:rsidR="006408AA" w:rsidRPr="00345859">
              <w:rPr>
                <w:rFonts w:ascii="Times New Roman" w:hAnsi="Times New Roman"/>
                <w:sz w:val="24"/>
                <w:szCs w:val="24"/>
              </w:rPr>
              <w:t xml:space="preserve"> </w:t>
            </w:r>
            <w:r w:rsidR="001A637C" w:rsidRPr="00345859">
              <w:rPr>
                <w:rFonts w:ascii="Times New Roman" w:hAnsi="Times New Roman"/>
                <w:sz w:val="24"/>
                <w:szCs w:val="24"/>
              </w:rPr>
              <w:t xml:space="preserve">ilgalaikės veiklos </w:t>
            </w:r>
            <w:r w:rsidR="006408AA" w:rsidRPr="00345859">
              <w:rPr>
                <w:rFonts w:ascii="Times New Roman" w:hAnsi="Times New Roman"/>
                <w:sz w:val="24"/>
                <w:szCs w:val="24"/>
              </w:rPr>
              <w:t>investicijų p</w:t>
            </w:r>
            <w:r w:rsidR="001A637C" w:rsidRPr="00345859">
              <w:rPr>
                <w:rFonts w:ascii="Times New Roman" w:hAnsi="Times New Roman"/>
                <w:sz w:val="24"/>
                <w:szCs w:val="24"/>
              </w:rPr>
              <w:t>rogramas</w:t>
            </w:r>
            <w:r w:rsidR="006408AA" w:rsidRPr="00345859">
              <w:rPr>
                <w:rFonts w:ascii="Times New Roman" w:hAnsi="Times New Roman"/>
                <w:sz w:val="24"/>
                <w:szCs w:val="24"/>
              </w:rPr>
              <w:t xml:space="preserve">, </w:t>
            </w:r>
            <w:r w:rsidR="001A637C" w:rsidRPr="00345859">
              <w:rPr>
                <w:rFonts w:ascii="Times New Roman" w:hAnsi="Times New Roman"/>
                <w:sz w:val="24"/>
                <w:szCs w:val="24"/>
              </w:rPr>
              <w:t xml:space="preserve">suderintas su </w:t>
            </w:r>
            <w:r w:rsidR="00CD26FD" w:rsidRPr="00345859">
              <w:rPr>
                <w:rFonts w:ascii="Times New Roman" w:hAnsi="Times New Roman"/>
                <w:sz w:val="24"/>
                <w:szCs w:val="24"/>
              </w:rPr>
              <w:t>Valstybin</w:t>
            </w:r>
            <w:r w:rsidR="001A637C" w:rsidRPr="00345859">
              <w:rPr>
                <w:rFonts w:ascii="Times New Roman" w:hAnsi="Times New Roman"/>
                <w:sz w:val="24"/>
                <w:szCs w:val="24"/>
              </w:rPr>
              <w:t>e</w:t>
            </w:r>
            <w:r w:rsidR="00CD26FD" w:rsidRPr="00345859">
              <w:rPr>
                <w:rFonts w:ascii="Times New Roman" w:hAnsi="Times New Roman"/>
                <w:sz w:val="24"/>
                <w:szCs w:val="24"/>
              </w:rPr>
              <w:t xml:space="preserve"> kainų ir energetikos kontrolės komisija (VKEKK)</w:t>
            </w:r>
            <w:r w:rsidR="001A637C" w:rsidRPr="00345859">
              <w:rPr>
                <w:rFonts w:ascii="Times New Roman" w:hAnsi="Times New Roman"/>
                <w:sz w:val="24"/>
                <w:szCs w:val="24"/>
              </w:rPr>
              <w:t>, vadovaujantis LR</w:t>
            </w:r>
            <w:r w:rsidRPr="00345859">
              <w:rPr>
                <w:rFonts w:ascii="Times New Roman" w:hAnsi="Times New Roman"/>
                <w:sz w:val="24"/>
                <w:szCs w:val="24"/>
              </w:rPr>
              <w:t> </w:t>
            </w:r>
            <w:r w:rsidR="0094193A" w:rsidRPr="00345859">
              <w:rPr>
                <w:rFonts w:ascii="Times New Roman" w:hAnsi="Times New Roman"/>
                <w:sz w:val="24"/>
                <w:szCs w:val="24"/>
              </w:rPr>
              <w:t xml:space="preserve">Energetikos </w:t>
            </w:r>
            <w:r w:rsidR="001A637C" w:rsidRPr="00345859">
              <w:rPr>
                <w:rFonts w:ascii="Times New Roman" w:hAnsi="Times New Roman"/>
                <w:sz w:val="24"/>
                <w:szCs w:val="24"/>
              </w:rPr>
              <w:t xml:space="preserve">įstatymo 15 straipsnio 3 dalimi, </w:t>
            </w:r>
            <w:r w:rsidR="00CD26FD" w:rsidRPr="00345859">
              <w:rPr>
                <w:rFonts w:ascii="Times New Roman" w:hAnsi="Times New Roman"/>
                <w:sz w:val="24"/>
                <w:szCs w:val="24"/>
              </w:rPr>
              <w:t xml:space="preserve">Energetikos įmonių investicijų </w:t>
            </w:r>
            <w:r w:rsidR="001A637C" w:rsidRPr="00345859">
              <w:rPr>
                <w:rFonts w:ascii="Times New Roman" w:hAnsi="Times New Roman"/>
                <w:sz w:val="24"/>
                <w:szCs w:val="24"/>
              </w:rPr>
              <w:t>vertinimo ir</w:t>
            </w:r>
            <w:r w:rsidR="00CD26FD" w:rsidRPr="00345859">
              <w:rPr>
                <w:rFonts w:ascii="Times New Roman" w:hAnsi="Times New Roman"/>
                <w:sz w:val="24"/>
                <w:szCs w:val="24"/>
              </w:rPr>
              <w:t xml:space="preserve"> derinimo </w:t>
            </w:r>
            <w:r w:rsidR="001A637C" w:rsidRPr="00345859">
              <w:rPr>
                <w:rFonts w:ascii="Times New Roman" w:hAnsi="Times New Roman"/>
                <w:sz w:val="24"/>
                <w:szCs w:val="24"/>
              </w:rPr>
              <w:t>Valstybinėje kainų ir energetikos kontrolės komisijoje tvarkos aprašu</w:t>
            </w:r>
            <w:r w:rsidR="00CA4654" w:rsidRPr="00345859">
              <w:rPr>
                <w:rFonts w:ascii="Times New Roman" w:hAnsi="Times New Roman"/>
                <w:sz w:val="24"/>
                <w:szCs w:val="24"/>
              </w:rPr>
              <w:t xml:space="preserve"> (</w:t>
            </w:r>
            <w:r w:rsidR="0094193A" w:rsidRPr="00345859">
              <w:rPr>
                <w:rFonts w:ascii="Times New Roman" w:hAnsi="Times New Roman"/>
                <w:sz w:val="24"/>
                <w:szCs w:val="24"/>
              </w:rPr>
              <w:t>V</w:t>
            </w:r>
            <w:r w:rsidR="0094193A">
              <w:rPr>
                <w:rFonts w:ascii="Times New Roman" w:hAnsi="Times New Roman"/>
                <w:sz w:val="24"/>
                <w:szCs w:val="24"/>
              </w:rPr>
              <w:t xml:space="preserve">alstybinės kainų ir energetikos kontrolės komisijos </w:t>
            </w:r>
            <w:r w:rsidR="00CA4654">
              <w:rPr>
                <w:rFonts w:ascii="Times New Roman" w:hAnsi="Times New Roman"/>
                <w:sz w:val="24"/>
                <w:szCs w:val="24"/>
              </w:rPr>
              <w:t>2015</w:t>
            </w:r>
            <w:r w:rsidR="0094193A">
              <w:rPr>
                <w:rFonts w:ascii="Times New Roman" w:hAnsi="Times New Roman"/>
                <w:sz w:val="24"/>
                <w:szCs w:val="24"/>
              </w:rPr>
              <w:t xml:space="preserve"> m. balandžio </w:t>
            </w:r>
            <w:r w:rsidR="00CA4654">
              <w:rPr>
                <w:rFonts w:ascii="Times New Roman" w:hAnsi="Times New Roman"/>
                <w:sz w:val="24"/>
                <w:szCs w:val="24"/>
              </w:rPr>
              <w:t>17</w:t>
            </w:r>
            <w:r w:rsidR="0094193A">
              <w:rPr>
                <w:rFonts w:ascii="Times New Roman" w:hAnsi="Times New Roman"/>
                <w:sz w:val="24"/>
                <w:szCs w:val="24"/>
              </w:rPr>
              <w:t xml:space="preserve"> d. nutarimas</w:t>
            </w:r>
            <w:r w:rsidR="00CA4654">
              <w:rPr>
                <w:rFonts w:ascii="Times New Roman" w:hAnsi="Times New Roman"/>
                <w:sz w:val="24"/>
                <w:szCs w:val="24"/>
              </w:rPr>
              <w:t xml:space="preserve"> Nr. O3-252</w:t>
            </w:r>
            <w:r w:rsidR="0094193A">
              <w:rPr>
                <w:rFonts w:ascii="Times New Roman" w:hAnsi="Times New Roman"/>
                <w:sz w:val="24"/>
                <w:szCs w:val="24"/>
              </w:rPr>
              <w:t xml:space="preserve"> (nauja redakcija</w:t>
            </w:r>
            <w:r w:rsidR="00CA4654">
              <w:rPr>
                <w:rFonts w:ascii="Times New Roman" w:hAnsi="Times New Roman"/>
                <w:sz w:val="24"/>
                <w:szCs w:val="24"/>
              </w:rPr>
              <w:t>)</w:t>
            </w:r>
            <w:r w:rsidR="00CD26FD" w:rsidRPr="00CD26FD">
              <w:rPr>
                <w:rFonts w:ascii="Times New Roman" w:hAnsi="Times New Roman"/>
                <w:sz w:val="24"/>
                <w:szCs w:val="24"/>
              </w:rPr>
              <w:t>.</w:t>
            </w:r>
          </w:p>
          <w:p w:rsidR="00CD26FD" w:rsidRDefault="00CD26FD" w:rsidP="00CD26FD">
            <w:pPr>
              <w:jc w:val="both"/>
              <w:rPr>
                <w:rFonts w:ascii="Times New Roman" w:hAnsi="Times New Roman"/>
                <w:sz w:val="24"/>
                <w:szCs w:val="24"/>
              </w:rPr>
            </w:pPr>
          </w:p>
          <w:p w:rsidR="00AB3737" w:rsidRPr="0062477B" w:rsidRDefault="00F57D06" w:rsidP="0080645D">
            <w:pPr>
              <w:tabs>
                <w:tab w:val="left" w:pos="567"/>
              </w:tabs>
              <w:jc w:val="both"/>
              <w:rPr>
                <w:rFonts w:ascii="Times New Roman" w:hAnsi="Times New Roman"/>
                <w:sz w:val="24"/>
                <w:szCs w:val="24"/>
              </w:rPr>
            </w:pPr>
            <w:r>
              <w:rPr>
                <w:rFonts w:ascii="Times New Roman" w:hAnsi="Times New Roman"/>
                <w:sz w:val="24"/>
                <w:szCs w:val="24"/>
              </w:rPr>
              <w:t xml:space="preserve">Pažangių </w:t>
            </w:r>
            <w:r w:rsidRPr="003E3F84">
              <w:rPr>
                <w:rFonts w:ascii="Times New Roman" w:hAnsi="Times New Roman"/>
                <w:sz w:val="24"/>
                <w:szCs w:val="24"/>
              </w:rPr>
              <w:t>valdymo, duomenų rinkimo ir perdavimo, apskaitos sistemų</w:t>
            </w:r>
            <w:r>
              <w:rPr>
                <w:rFonts w:ascii="Times New Roman" w:hAnsi="Times New Roman"/>
                <w:sz w:val="24"/>
                <w:szCs w:val="24"/>
              </w:rPr>
              <w:t xml:space="preserve"> ir kitos techninės įrangos</w:t>
            </w:r>
            <w:r w:rsidRPr="003E3F84">
              <w:rPr>
                <w:rFonts w:ascii="Times New Roman" w:hAnsi="Times New Roman"/>
                <w:sz w:val="24"/>
                <w:szCs w:val="24"/>
              </w:rPr>
              <w:t xml:space="preserve"> diegimas</w:t>
            </w:r>
            <w:r w:rsidR="00AB3737" w:rsidRPr="0062477B">
              <w:rPr>
                <w:rFonts w:ascii="Times New Roman" w:hAnsi="Times New Roman"/>
                <w:sz w:val="24"/>
                <w:szCs w:val="24"/>
                <w:lang w:eastAsia="lt-LT"/>
              </w:rPr>
              <w:t xml:space="preserve"> </w:t>
            </w:r>
            <w:r>
              <w:rPr>
                <w:rFonts w:ascii="Times New Roman" w:hAnsi="Times New Roman"/>
                <w:sz w:val="24"/>
                <w:szCs w:val="24"/>
                <w:lang w:eastAsia="lt-LT"/>
              </w:rPr>
              <w:t xml:space="preserve">elektros </w:t>
            </w:r>
            <w:r w:rsidR="0094193A">
              <w:rPr>
                <w:rFonts w:ascii="Times New Roman" w:hAnsi="Times New Roman"/>
                <w:sz w:val="24"/>
                <w:szCs w:val="24"/>
                <w:lang w:eastAsia="lt-LT"/>
              </w:rPr>
              <w:t>skirstomuosiuose tinkluose</w:t>
            </w:r>
            <w:r w:rsidR="00C14A22">
              <w:rPr>
                <w:rFonts w:ascii="Times New Roman" w:hAnsi="Times New Roman"/>
                <w:sz w:val="24"/>
                <w:szCs w:val="24"/>
                <w:lang w:eastAsia="lt-LT"/>
              </w:rPr>
              <w:t>, t</w:t>
            </w:r>
            <w:r w:rsidR="00B71C2B" w:rsidRPr="00B71C2B">
              <w:rPr>
                <w:rFonts w:ascii="Times New Roman" w:hAnsi="Times New Roman"/>
                <w:sz w:val="24"/>
                <w:szCs w:val="24"/>
                <w:lang w:eastAsia="lt-LT"/>
              </w:rPr>
              <w:t xml:space="preserve">ransformatorių pastočių ir </w:t>
            </w:r>
            <w:proofErr w:type="spellStart"/>
            <w:r w:rsidR="00B71C2B" w:rsidRPr="00B71C2B">
              <w:rPr>
                <w:rFonts w:ascii="Times New Roman" w:hAnsi="Times New Roman"/>
                <w:sz w:val="24"/>
                <w:szCs w:val="24"/>
                <w:lang w:eastAsia="lt-LT"/>
              </w:rPr>
              <w:t>skirstyklų</w:t>
            </w:r>
            <w:proofErr w:type="spellEnd"/>
            <w:r w:rsidR="0080645D">
              <w:rPr>
                <w:rFonts w:ascii="Times New Roman" w:hAnsi="Times New Roman"/>
                <w:sz w:val="24"/>
                <w:szCs w:val="24"/>
                <w:lang w:eastAsia="lt-LT"/>
              </w:rPr>
              <w:t>,</w:t>
            </w:r>
            <w:r w:rsidR="00B71C2B" w:rsidRPr="00B71C2B">
              <w:rPr>
                <w:rFonts w:ascii="Times New Roman" w:hAnsi="Times New Roman"/>
                <w:sz w:val="24"/>
                <w:szCs w:val="24"/>
                <w:lang w:eastAsia="lt-LT"/>
              </w:rPr>
              <w:t xml:space="preserve"> </w:t>
            </w:r>
            <w:r w:rsidR="00F1137D">
              <w:rPr>
                <w:rFonts w:ascii="Times New Roman" w:hAnsi="Times New Roman"/>
                <w:sz w:val="24"/>
                <w:szCs w:val="24"/>
                <w:lang w:eastAsia="lt-LT"/>
              </w:rPr>
              <w:t>s</w:t>
            </w:r>
            <w:r w:rsidR="00F1137D" w:rsidRPr="00F1137D">
              <w:rPr>
                <w:rFonts w:ascii="Times New Roman" w:hAnsi="Times New Roman"/>
                <w:sz w:val="24"/>
                <w:szCs w:val="24"/>
                <w:lang w:eastAsia="lt-LT"/>
              </w:rPr>
              <w:t>kirstomųjų</w:t>
            </w:r>
            <w:r w:rsidR="00F1137D">
              <w:rPr>
                <w:rFonts w:ascii="Times New Roman" w:hAnsi="Times New Roman"/>
                <w:sz w:val="24"/>
                <w:szCs w:val="24"/>
                <w:lang w:eastAsia="lt-LT"/>
              </w:rPr>
              <w:t xml:space="preserve"> </w:t>
            </w:r>
            <w:r w:rsidR="00F1137D" w:rsidRPr="00F1137D">
              <w:rPr>
                <w:rFonts w:ascii="Times New Roman" w:hAnsi="Times New Roman"/>
                <w:sz w:val="24"/>
                <w:szCs w:val="24"/>
                <w:lang w:eastAsia="lt-LT"/>
              </w:rPr>
              <w:t xml:space="preserve">punktų, transformatorinių ir elektros linijų atnaujinimas, </w:t>
            </w:r>
            <w:r w:rsidR="00F653C4">
              <w:rPr>
                <w:rFonts w:ascii="Times New Roman" w:hAnsi="Times New Roman"/>
                <w:sz w:val="24"/>
                <w:szCs w:val="24"/>
                <w:lang w:eastAsia="lt-LT"/>
              </w:rPr>
              <w:t>diegiant pažangiojo tinklo elementus</w:t>
            </w:r>
            <w:r w:rsidR="00FE6406">
              <w:rPr>
                <w:rFonts w:ascii="Times New Roman" w:hAnsi="Times New Roman"/>
                <w:sz w:val="24"/>
                <w:szCs w:val="24"/>
                <w:lang w:eastAsia="lt-LT"/>
              </w:rPr>
              <w:t xml:space="preserve">, </w:t>
            </w:r>
            <w:r w:rsidR="00AB3737" w:rsidRPr="0062477B">
              <w:rPr>
                <w:rFonts w:ascii="Times New Roman" w:hAnsi="Times New Roman"/>
                <w:sz w:val="24"/>
                <w:szCs w:val="24"/>
              </w:rPr>
              <w:t xml:space="preserve">ženkliai sumažins nuostolius </w:t>
            </w:r>
            <w:r>
              <w:rPr>
                <w:rFonts w:ascii="Times New Roman" w:hAnsi="Times New Roman"/>
                <w:sz w:val="24"/>
                <w:szCs w:val="24"/>
              </w:rPr>
              <w:t>elektros energijos</w:t>
            </w:r>
            <w:r w:rsidR="00AB3737" w:rsidRPr="0062477B">
              <w:rPr>
                <w:rFonts w:ascii="Times New Roman" w:hAnsi="Times New Roman"/>
                <w:sz w:val="24"/>
                <w:szCs w:val="24"/>
              </w:rPr>
              <w:t xml:space="preserve"> sistemoje bei prisidės prie </w:t>
            </w:r>
            <w:r w:rsidR="00F653C4">
              <w:rPr>
                <w:rFonts w:ascii="Times New Roman" w:hAnsi="Times New Roman"/>
                <w:sz w:val="24"/>
                <w:szCs w:val="24"/>
              </w:rPr>
              <w:t>elektros skirstomųjų tinklų</w:t>
            </w:r>
            <w:r w:rsidR="00AB3737" w:rsidRPr="0062477B">
              <w:rPr>
                <w:rFonts w:ascii="Times New Roman" w:hAnsi="Times New Roman"/>
                <w:sz w:val="24"/>
                <w:szCs w:val="24"/>
              </w:rPr>
              <w:t xml:space="preserve"> valdymo lankstum</w:t>
            </w:r>
            <w:r w:rsidR="00FE6406">
              <w:rPr>
                <w:rFonts w:ascii="Times New Roman" w:hAnsi="Times New Roman"/>
                <w:sz w:val="24"/>
                <w:szCs w:val="24"/>
              </w:rPr>
              <w:t>o</w:t>
            </w:r>
            <w:r w:rsidR="00AB3737" w:rsidRPr="0062477B">
              <w:rPr>
                <w:rFonts w:ascii="Times New Roman" w:hAnsi="Times New Roman"/>
                <w:sz w:val="24"/>
                <w:szCs w:val="24"/>
              </w:rPr>
              <w:t xml:space="preserve"> bei atsiras galimybė operatyviai valdyti </w:t>
            </w:r>
            <w:r w:rsidR="00FE6406">
              <w:rPr>
                <w:rFonts w:ascii="Times New Roman" w:hAnsi="Times New Roman"/>
                <w:sz w:val="24"/>
                <w:szCs w:val="24"/>
              </w:rPr>
              <w:t>elektros</w:t>
            </w:r>
            <w:r w:rsidR="00AB3737" w:rsidRPr="0062477B">
              <w:rPr>
                <w:rFonts w:ascii="Times New Roman" w:hAnsi="Times New Roman"/>
                <w:sz w:val="24"/>
                <w:szCs w:val="24"/>
              </w:rPr>
              <w:t xml:space="preserve"> </w:t>
            </w:r>
            <w:r w:rsidR="0094193A">
              <w:rPr>
                <w:rFonts w:ascii="Times New Roman" w:hAnsi="Times New Roman"/>
                <w:sz w:val="24"/>
                <w:szCs w:val="24"/>
              </w:rPr>
              <w:t xml:space="preserve">energijos </w:t>
            </w:r>
            <w:r w:rsidR="00AB3737" w:rsidRPr="0062477B">
              <w:rPr>
                <w:rFonts w:ascii="Times New Roman" w:hAnsi="Times New Roman"/>
                <w:sz w:val="24"/>
                <w:szCs w:val="24"/>
              </w:rPr>
              <w:t>srautus</w:t>
            </w:r>
            <w:r w:rsidR="0018515E" w:rsidRPr="0062477B">
              <w:rPr>
                <w:rFonts w:ascii="Times New Roman" w:hAnsi="Times New Roman"/>
                <w:sz w:val="24"/>
                <w:szCs w:val="24"/>
              </w:rPr>
              <w:t>.</w:t>
            </w:r>
            <w:r w:rsidR="008612A9">
              <w:t xml:space="preserve"> </w:t>
            </w:r>
            <w:r w:rsidR="008612A9" w:rsidRPr="008612A9">
              <w:rPr>
                <w:rFonts w:ascii="Times New Roman" w:hAnsi="Times New Roman"/>
                <w:sz w:val="24"/>
                <w:szCs w:val="24"/>
              </w:rPr>
              <w:t xml:space="preserve">Priemonės finansavimas prisidės prie Lietuvos energetikos ūkio kryptingo vystymo siekiant didinti elektros </w:t>
            </w:r>
            <w:r w:rsidR="00F653C4">
              <w:rPr>
                <w:rFonts w:ascii="Times New Roman" w:hAnsi="Times New Roman"/>
                <w:sz w:val="24"/>
                <w:szCs w:val="24"/>
              </w:rPr>
              <w:t>energijos persiuntimo</w:t>
            </w:r>
            <w:r w:rsidR="00F653C4" w:rsidRPr="008612A9">
              <w:rPr>
                <w:rFonts w:ascii="Times New Roman" w:hAnsi="Times New Roman"/>
                <w:sz w:val="24"/>
                <w:szCs w:val="24"/>
              </w:rPr>
              <w:t xml:space="preserve"> </w:t>
            </w:r>
            <w:r w:rsidR="008612A9" w:rsidRPr="008612A9">
              <w:rPr>
                <w:rFonts w:ascii="Times New Roman" w:hAnsi="Times New Roman"/>
                <w:sz w:val="24"/>
                <w:szCs w:val="24"/>
              </w:rPr>
              <w:t>patikimumą, užtikrinti darnią sektoriaus plėtrą, konkurencingumą bei efektyvų energijos vartojimą.</w:t>
            </w:r>
          </w:p>
        </w:tc>
      </w:tr>
      <w:tr w:rsidR="00FB6137" w:rsidRPr="0062477B" w:rsidTr="000410C7">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Išankstinių (</w:t>
            </w:r>
            <w:proofErr w:type="spellStart"/>
            <w:r w:rsidRPr="0062477B">
              <w:rPr>
                <w:rFonts w:ascii="Times New Roman" w:hAnsi="Times New Roman"/>
                <w:i/>
                <w:sz w:val="24"/>
                <w:szCs w:val="24"/>
              </w:rPr>
              <w:t>ex</w:t>
            </w:r>
            <w:proofErr w:type="spellEnd"/>
            <w:r w:rsidRPr="0062477B">
              <w:rPr>
                <w:rFonts w:ascii="Times New Roman" w:hAnsi="Times New Roman"/>
                <w:i/>
                <w:sz w:val="24"/>
                <w:szCs w:val="24"/>
              </w:rPr>
              <w:t xml:space="preserve"> </w:t>
            </w:r>
            <w:proofErr w:type="spellStart"/>
            <w:r w:rsidRPr="0062477B">
              <w:rPr>
                <w:rFonts w:ascii="Times New Roman" w:hAnsi="Times New Roman"/>
                <w:i/>
                <w:sz w:val="24"/>
                <w:szCs w:val="24"/>
              </w:rPr>
              <w:t>ante</w:t>
            </w:r>
            <w:proofErr w:type="spellEnd"/>
            <w:r w:rsidRPr="0062477B">
              <w:rPr>
                <w:rFonts w:ascii="Times New Roman" w:hAnsi="Times New Roman"/>
                <w:i/>
                <w:sz w:val="24"/>
                <w:szCs w:val="24"/>
              </w:rPr>
              <w:t>)</w:t>
            </w:r>
            <w:r w:rsidRPr="008D4951">
              <w:rPr>
                <w:rFonts w:ascii="Times New Roman" w:hAnsi="Times New Roman"/>
                <w:sz w:val="24"/>
                <w:szCs w:val="24"/>
              </w:rPr>
              <w:t xml:space="preserve"> sąlygų įvykdymas</w:t>
            </w:r>
          </w:p>
          <w:p w:rsidR="00FB6137" w:rsidRPr="0062477B" w:rsidRDefault="00FB6137" w:rsidP="008D4951">
            <w:pPr>
              <w:tabs>
                <w:tab w:val="left" w:pos="567"/>
              </w:tabs>
              <w:spacing w:after="200" w:line="276" w:lineRule="auto"/>
              <w:rPr>
                <w:rFonts w:ascii="Times New Roman" w:hAnsi="Times New Roman"/>
                <w:sz w:val="24"/>
                <w:szCs w:val="24"/>
              </w:rPr>
            </w:pPr>
            <w:r w:rsidRPr="008D4951">
              <w:rPr>
                <w:rFonts w:ascii="Times New Roman" w:hAnsi="Times New Roman"/>
                <w:sz w:val="24"/>
                <w:szCs w:val="24"/>
              </w:rPr>
              <w:t>(jei taikoma)</w:t>
            </w:r>
          </w:p>
        </w:tc>
        <w:tc>
          <w:tcPr>
            <w:tcW w:w="6945" w:type="dxa"/>
          </w:tcPr>
          <w:p w:rsidR="0018299E" w:rsidRPr="0062477B" w:rsidRDefault="001F67AF" w:rsidP="00EE2AE1">
            <w:pPr>
              <w:tabs>
                <w:tab w:val="left" w:pos="567"/>
              </w:tabs>
              <w:spacing w:after="200"/>
              <w:jc w:val="both"/>
              <w:rPr>
                <w:rFonts w:ascii="Times New Roman" w:hAnsi="Times New Roman"/>
                <w:sz w:val="24"/>
                <w:szCs w:val="24"/>
              </w:rPr>
            </w:pPr>
            <w:r>
              <w:rPr>
                <w:rFonts w:ascii="Times New Roman" w:hAnsi="Times New Roman"/>
                <w:sz w:val="24"/>
                <w:szCs w:val="24"/>
              </w:rPr>
              <w:t>Netaikoma</w:t>
            </w:r>
          </w:p>
        </w:tc>
      </w:tr>
      <w:tr w:rsidR="00FB6137" w:rsidRPr="0062477B" w:rsidTr="004F708F">
        <w:trPr>
          <w:trHeight w:val="1905"/>
        </w:trPr>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tcPr>
          <w:p w:rsidR="00FB6137" w:rsidRPr="008D4951" w:rsidRDefault="00FB6137" w:rsidP="006F3F14">
            <w:pPr>
              <w:tabs>
                <w:tab w:val="left" w:pos="567"/>
              </w:tabs>
              <w:rPr>
                <w:rFonts w:ascii="Times New Roman" w:hAnsi="Times New Roman"/>
                <w:sz w:val="24"/>
                <w:szCs w:val="24"/>
              </w:rPr>
            </w:pPr>
            <w:r w:rsidRPr="0062477B">
              <w:rPr>
                <w:rFonts w:ascii="Times New Roman" w:hAnsi="Times New Roman"/>
                <w:sz w:val="24"/>
                <w:szCs w:val="24"/>
              </w:rPr>
              <w:t xml:space="preserve">Priemonės tikslingumas, tinkamumas ir tęstinumas, atsižvelgiant į vertinimų išvadas </w:t>
            </w:r>
          </w:p>
        </w:tc>
        <w:tc>
          <w:tcPr>
            <w:tcW w:w="6945" w:type="dxa"/>
          </w:tcPr>
          <w:p w:rsidR="00F86871" w:rsidRPr="0062477B" w:rsidRDefault="00F86871" w:rsidP="00546EA6">
            <w:pPr>
              <w:spacing w:after="200"/>
              <w:jc w:val="both"/>
              <w:rPr>
                <w:rFonts w:ascii="Times New Roman" w:eastAsia="Times New Roman" w:hAnsi="Times New Roman"/>
                <w:i/>
                <w:sz w:val="24"/>
                <w:szCs w:val="24"/>
                <w:u w:val="single"/>
                <w:lang w:eastAsia="lt-LT"/>
              </w:rPr>
            </w:pPr>
            <w:r w:rsidRPr="008D4951">
              <w:rPr>
                <w:rFonts w:ascii="Times New Roman" w:hAnsi="Times New Roman"/>
                <w:i/>
                <w:sz w:val="24"/>
                <w:szCs w:val="24"/>
                <w:u w:val="single"/>
              </w:rPr>
              <w:t>Tikslingumas, t</w:t>
            </w:r>
            <w:r w:rsidRPr="008D4951">
              <w:rPr>
                <w:rFonts w:ascii="Times New Roman" w:eastAsia="Times New Roman" w:hAnsi="Times New Roman"/>
                <w:bCs/>
                <w:i/>
                <w:sz w:val="24"/>
                <w:szCs w:val="24"/>
                <w:u w:val="single"/>
                <w:lang w:eastAsia="lt-LT"/>
              </w:rPr>
              <w:t>inkamumas, t</w:t>
            </w:r>
            <w:r w:rsidRPr="0062477B">
              <w:rPr>
                <w:rFonts w:ascii="Times New Roman" w:hAnsi="Times New Roman"/>
                <w:i/>
                <w:sz w:val="24"/>
                <w:szCs w:val="24"/>
                <w:u w:val="single"/>
              </w:rPr>
              <w:t>ęstinumas</w:t>
            </w:r>
          </w:p>
          <w:p w:rsidR="00172E4E" w:rsidRDefault="00172E4E" w:rsidP="00546EA6">
            <w:pPr>
              <w:spacing w:after="200"/>
              <w:jc w:val="both"/>
              <w:rPr>
                <w:rFonts w:ascii="Times New Roman" w:eastAsia="Times New Roman" w:hAnsi="Times New Roman"/>
                <w:sz w:val="24"/>
                <w:szCs w:val="24"/>
                <w:lang w:eastAsia="lt-LT"/>
              </w:rPr>
            </w:pPr>
            <w:r w:rsidRPr="00172E4E">
              <w:rPr>
                <w:rFonts w:ascii="Times New Roman" w:eastAsia="Times New Roman" w:hAnsi="Times New Roman"/>
                <w:sz w:val="24"/>
                <w:szCs w:val="24"/>
                <w:lang w:eastAsia="lt-LT"/>
              </w:rPr>
              <w:t xml:space="preserve">2007–2013 m. periode </w:t>
            </w:r>
            <w:r w:rsidR="00716688">
              <w:rPr>
                <w:rFonts w:ascii="Times New Roman" w:eastAsia="Times New Roman" w:hAnsi="Times New Roman"/>
                <w:sz w:val="24"/>
                <w:szCs w:val="24"/>
                <w:lang w:eastAsia="lt-LT"/>
              </w:rPr>
              <w:t xml:space="preserve">LR </w:t>
            </w:r>
            <w:r w:rsidRPr="00172E4E">
              <w:rPr>
                <w:rFonts w:ascii="Times New Roman" w:eastAsia="Times New Roman" w:hAnsi="Times New Roman"/>
                <w:sz w:val="24"/>
                <w:szCs w:val="24"/>
                <w:lang w:eastAsia="lt-LT"/>
              </w:rPr>
              <w:t>Ūkio ministerija įgyvendino priemonę N</w:t>
            </w:r>
            <w:r>
              <w:rPr>
                <w:rFonts w:ascii="Times New Roman" w:eastAsia="Times New Roman" w:hAnsi="Times New Roman"/>
                <w:sz w:val="24"/>
                <w:szCs w:val="24"/>
                <w:lang w:eastAsia="lt-LT"/>
              </w:rPr>
              <w:t>r. </w:t>
            </w:r>
            <w:r w:rsidRPr="00172E4E">
              <w:rPr>
                <w:rFonts w:ascii="Times New Roman" w:eastAsia="Times New Roman" w:hAnsi="Times New Roman"/>
                <w:sz w:val="24"/>
                <w:szCs w:val="24"/>
                <w:lang w:eastAsia="lt-LT"/>
              </w:rPr>
              <w:t xml:space="preserve">VP2-4.2-ŪM-01-K „Elektros skirstymo sistemos modernizavimas ir plėtra“, pagal kurią finansavimas buvo teikiamas elektros perdavimo linijų, transformatorių pastočių ir </w:t>
            </w:r>
            <w:proofErr w:type="spellStart"/>
            <w:r w:rsidRPr="00172E4E">
              <w:rPr>
                <w:rFonts w:ascii="Times New Roman" w:eastAsia="Times New Roman" w:hAnsi="Times New Roman"/>
                <w:sz w:val="24"/>
                <w:szCs w:val="24"/>
                <w:lang w:eastAsia="lt-LT"/>
              </w:rPr>
              <w:t>skirstyklų</w:t>
            </w:r>
            <w:proofErr w:type="spellEnd"/>
            <w:r w:rsidRPr="00172E4E">
              <w:rPr>
                <w:rFonts w:ascii="Times New Roman" w:eastAsia="Times New Roman" w:hAnsi="Times New Roman"/>
                <w:sz w:val="24"/>
                <w:szCs w:val="24"/>
                <w:lang w:eastAsia="lt-LT"/>
              </w:rPr>
              <w:t xml:space="preserve"> statybai, transformatorių pastočių ir </w:t>
            </w:r>
            <w:proofErr w:type="spellStart"/>
            <w:r w:rsidRPr="00172E4E">
              <w:rPr>
                <w:rFonts w:ascii="Times New Roman" w:eastAsia="Times New Roman" w:hAnsi="Times New Roman"/>
                <w:sz w:val="24"/>
                <w:szCs w:val="24"/>
                <w:lang w:eastAsia="lt-LT"/>
              </w:rPr>
              <w:t>skirstyklų</w:t>
            </w:r>
            <w:proofErr w:type="spellEnd"/>
            <w:r w:rsidRPr="00172E4E">
              <w:rPr>
                <w:rFonts w:ascii="Times New Roman" w:eastAsia="Times New Roman" w:hAnsi="Times New Roman"/>
                <w:sz w:val="24"/>
                <w:szCs w:val="24"/>
                <w:lang w:eastAsia="lt-LT"/>
              </w:rPr>
              <w:t xml:space="preserve"> modernizavimui, orinių elektros linijų keitimui kabelinėmis, automatizuotų valdymo, duomenų surinkimo ir perdavimo, energijos apskaitos sistemų diegimui</w:t>
            </w:r>
            <w:r>
              <w:rPr>
                <w:rFonts w:ascii="Times New Roman" w:eastAsia="Times New Roman" w:hAnsi="Times New Roman"/>
                <w:sz w:val="24"/>
                <w:szCs w:val="24"/>
                <w:lang w:eastAsia="lt-LT"/>
              </w:rPr>
              <w:t xml:space="preserve">. </w:t>
            </w:r>
          </w:p>
          <w:p w:rsidR="001E1E7E" w:rsidRDefault="001E1E7E" w:rsidP="00546EA6">
            <w:pPr>
              <w:spacing w:after="200"/>
              <w:jc w:val="both"/>
              <w:rPr>
                <w:rFonts w:ascii="Times New Roman" w:eastAsia="Times New Roman" w:hAnsi="Times New Roman"/>
                <w:sz w:val="24"/>
                <w:szCs w:val="24"/>
                <w:lang w:eastAsia="lt-LT"/>
              </w:rPr>
            </w:pPr>
            <w:r w:rsidRPr="001E1E7E">
              <w:rPr>
                <w:rFonts w:ascii="Times New Roman" w:eastAsia="Times New Roman" w:hAnsi="Times New Roman"/>
                <w:sz w:val="24"/>
                <w:szCs w:val="24"/>
                <w:lang w:eastAsia="lt-LT"/>
              </w:rPr>
              <w:t>Nuo skirstomųjų tinklų operatoriaus veiklos priklauso dalis galutinės elektros energijos kainos vartotojui: skirstymo ir visuomeninio tiekimo paslaugos kainos dedamosios. Veiklos efektyvumo didinimas, procesų optimizavimas ir kryptingas investicijų į nuotolinių klientų aptarnavimo kanalų plėtrą didinimas užtikrins kokybiškesnį klientų aptarnavimą. Investicijų į tinklo modernizavimą didinimas pagerins tinklo kokybę ir patikimumą,</w:t>
            </w:r>
            <w:r w:rsidR="00DC26B3">
              <w:rPr>
                <w:rFonts w:ascii="Times New Roman" w:eastAsia="Times New Roman" w:hAnsi="Times New Roman"/>
                <w:sz w:val="24"/>
                <w:szCs w:val="24"/>
                <w:lang w:eastAsia="lt-LT"/>
              </w:rPr>
              <w:t xml:space="preserve"> pagerins tinklo atitiktį Europos parlamento ir Tarybos reglamento 347/2013 dėl </w:t>
            </w:r>
            <w:proofErr w:type="spellStart"/>
            <w:r w:rsidR="00DC26B3">
              <w:rPr>
                <w:rFonts w:ascii="Times New Roman" w:eastAsia="Times New Roman" w:hAnsi="Times New Roman"/>
                <w:sz w:val="24"/>
                <w:szCs w:val="24"/>
                <w:lang w:eastAsia="lt-LT"/>
              </w:rPr>
              <w:t>transeuropinės</w:t>
            </w:r>
            <w:proofErr w:type="spellEnd"/>
            <w:r w:rsidR="00DC26B3">
              <w:rPr>
                <w:rFonts w:ascii="Times New Roman" w:eastAsia="Times New Roman" w:hAnsi="Times New Roman"/>
                <w:sz w:val="24"/>
                <w:szCs w:val="24"/>
                <w:lang w:eastAsia="lt-LT"/>
              </w:rPr>
              <w:t xml:space="preserve"> energetikos infrastruktūros gairių pažangiojo tinklo standartams,</w:t>
            </w:r>
            <w:r w:rsidRPr="00DC26B3">
              <w:rPr>
                <w:rFonts w:ascii="Times New Roman" w:eastAsia="Times New Roman" w:hAnsi="Times New Roman"/>
                <w:color w:val="000000" w:themeColor="text1"/>
                <w:sz w:val="24"/>
                <w:szCs w:val="24"/>
                <w:lang w:eastAsia="lt-LT"/>
              </w:rPr>
              <w:t xml:space="preserve"> </w:t>
            </w:r>
            <w:r w:rsidRPr="001E1E7E">
              <w:rPr>
                <w:rFonts w:ascii="Times New Roman" w:eastAsia="Times New Roman" w:hAnsi="Times New Roman"/>
                <w:sz w:val="24"/>
                <w:szCs w:val="24"/>
                <w:lang w:eastAsia="lt-LT"/>
              </w:rPr>
              <w:t>didins tinklo saugumą ir atsparumą klimato reiškinia</w:t>
            </w:r>
            <w:r w:rsidR="002C3D59">
              <w:rPr>
                <w:rFonts w:ascii="Times New Roman" w:eastAsia="Times New Roman" w:hAnsi="Times New Roman"/>
                <w:sz w:val="24"/>
                <w:szCs w:val="24"/>
                <w:lang w:eastAsia="lt-LT"/>
              </w:rPr>
              <w:t>ms.</w:t>
            </w:r>
          </w:p>
          <w:p w:rsidR="00F86871" w:rsidRPr="0062477B" w:rsidRDefault="009D58C8" w:rsidP="00546EA6">
            <w:pPr>
              <w:spacing w:after="200"/>
              <w:jc w:val="both"/>
              <w:rPr>
                <w:rFonts w:ascii="Times New Roman" w:eastAsia="Times New Roman" w:hAnsi="Times New Roman"/>
                <w:sz w:val="24"/>
                <w:szCs w:val="24"/>
                <w:lang w:eastAsia="lt-LT"/>
              </w:rPr>
            </w:pPr>
            <w:r w:rsidRPr="0062477B">
              <w:rPr>
                <w:rFonts w:ascii="Times New Roman" w:eastAsia="Times New Roman" w:hAnsi="Times New Roman"/>
                <w:sz w:val="24"/>
                <w:szCs w:val="24"/>
                <w:lang w:eastAsia="lt-LT"/>
              </w:rPr>
              <w:t xml:space="preserve">Priemonė </w:t>
            </w:r>
            <w:r w:rsidR="00CA319D" w:rsidRPr="0062477B">
              <w:rPr>
                <w:rFonts w:ascii="Times New Roman" w:eastAsia="Times New Roman" w:hAnsi="Times New Roman"/>
                <w:sz w:val="24"/>
                <w:szCs w:val="24"/>
                <w:lang w:eastAsia="lt-LT"/>
              </w:rPr>
              <w:t xml:space="preserve">padės </w:t>
            </w:r>
            <w:r w:rsidR="00CE3352">
              <w:rPr>
                <w:rFonts w:ascii="Times New Roman" w:eastAsia="Times New Roman" w:hAnsi="Times New Roman"/>
                <w:sz w:val="24"/>
                <w:szCs w:val="24"/>
                <w:lang w:eastAsia="lt-LT"/>
              </w:rPr>
              <w:t>pagerinti</w:t>
            </w:r>
            <w:r w:rsidRPr="0062477B">
              <w:rPr>
                <w:rFonts w:ascii="Times New Roman" w:eastAsia="Times New Roman" w:hAnsi="Times New Roman"/>
                <w:sz w:val="24"/>
                <w:szCs w:val="24"/>
                <w:lang w:eastAsia="lt-LT"/>
              </w:rPr>
              <w:t xml:space="preserve"> </w:t>
            </w:r>
            <w:r w:rsidR="00CE3352">
              <w:rPr>
                <w:rFonts w:ascii="Times New Roman" w:eastAsia="Times New Roman" w:hAnsi="Times New Roman"/>
                <w:sz w:val="24"/>
                <w:szCs w:val="24"/>
                <w:lang w:eastAsia="lt-LT"/>
              </w:rPr>
              <w:t xml:space="preserve">Lietuvos elektros skirstymo sistemos </w:t>
            </w:r>
            <w:r w:rsidRPr="0062477B">
              <w:rPr>
                <w:rFonts w:ascii="Times New Roman" w:eastAsia="Times New Roman" w:hAnsi="Times New Roman"/>
                <w:sz w:val="24"/>
                <w:szCs w:val="24"/>
                <w:lang w:eastAsia="lt-LT"/>
              </w:rPr>
              <w:t>technines galimybes</w:t>
            </w:r>
            <w:r w:rsidR="00CE3352">
              <w:rPr>
                <w:rFonts w:ascii="Times New Roman" w:eastAsia="Times New Roman" w:hAnsi="Times New Roman"/>
                <w:sz w:val="24"/>
                <w:szCs w:val="24"/>
                <w:lang w:eastAsia="lt-LT"/>
              </w:rPr>
              <w:t>,</w:t>
            </w:r>
            <w:r w:rsidRPr="0062477B">
              <w:rPr>
                <w:rFonts w:ascii="Times New Roman" w:eastAsia="Times New Roman" w:hAnsi="Times New Roman"/>
                <w:sz w:val="24"/>
                <w:szCs w:val="24"/>
                <w:lang w:eastAsia="lt-LT"/>
              </w:rPr>
              <w:t xml:space="preserve"> padidinti energetinį saugumą </w:t>
            </w:r>
            <w:r w:rsidR="00CE3352">
              <w:rPr>
                <w:rFonts w:ascii="Times New Roman" w:eastAsia="Times New Roman" w:hAnsi="Times New Roman"/>
                <w:sz w:val="24"/>
                <w:szCs w:val="24"/>
                <w:lang w:eastAsia="lt-LT"/>
              </w:rPr>
              <w:t xml:space="preserve">ir energijos </w:t>
            </w:r>
            <w:r w:rsidR="00CE3352">
              <w:rPr>
                <w:rFonts w:ascii="Times New Roman" w:eastAsia="Times New Roman" w:hAnsi="Times New Roman"/>
                <w:sz w:val="24"/>
                <w:szCs w:val="24"/>
                <w:lang w:eastAsia="lt-LT"/>
              </w:rPr>
              <w:lastRenderedPageBreak/>
              <w:t>tiekimo patikimumą</w:t>
            </w:r>
            <w:r w:rsidRPr="0062477B">
              <w:rPr>
                <w:rFonts w:ascii="Times New Roman" w:eastAsia="Times New Roman" w:hAnsi="Times New Roman"/>
                <w:sz w:val="24"/>
                <w:szCs w:val="24"/>
                <w:lang w:eastAsia="lt-LT"/>
              </w:rPr>
              <w:t>.</w:t>
            </w:r>
          </w:p>
          <w:p w:rsidR="00072BBF" w:rsidRPr="0062477B" w:rsidRDefault="00F86871" w:rsidP="008D4951">
            <w:pPr>
              <w:pStyle w:val="CommentText"/>
              <w:jc w:val="both"/>
              <w:rPr>
                <w:rFonts w:ascii="Times New Roman" w:hAnsi="Times New Roman"/>
                <w:sz w:val="24"/>
                <w:szCs w:val="24"/>
              </w:rPr>
            </w:pPr>
            <w:r w:rsidRPr="0062477B">
              <w:rPr>
                <w:rFonts w:ascii="Times New Roman" w:eastAsia="Times New Roman" w:hAnsi="Times New Roman"/>
                <w:sz w:val="24"/>
                <w:szCs w:val="24"/>
                <w:lang w:eastAsia="lt-LT"/>
              </w:rPr>
              <w:t>(</w:t>
            </w:r>
            <w:hyperlink r:id="rId9" w:history="1">
              <w:r w:rsidRPr="0062477B">
                <w:rPr>
                  <w:rStyle w:val="Hyperlink"/>
                  <w:rFonts w:ascii="Times New Roman" w:hAnsi="Times New Roman"/>
                  <w:sz w:val="24"/>
                  <w:szCs w:val="24"/>
                </w:rPr>
                <w:t>http://www.ukmin.lt/uploads/documents/imported/lt/veikla/veiklos_sritys/es_strukturiniai_fondai/2007-2013/Vertinimas/Sektoriu_Galutine%20vertinimo%20ataskaita.pdf</w:t>
              </w:r>
            </w:hyperlink>
            <w:r w:rsidRPr="0062477B">
              <w:rPr>
                <w:rFonts w:ascii="Times New Roman" w:eastAsia="Times New Roman" w:hAnsi="Times New Roman"/>
                <w:sz w:val="24"/>
                <w:szCs w:val="24"/>
                <w:lang w:eastAsia="lt-LT"/>
              </w:rPr>
              <w:t>)</w:t>
            </w:r>
          </w:p>
        </w:tc>
      </w:tr>
      <w:tr w:rsidR="00FB6137" w:rsidRPr="0062477B" w:rsidTr="004F708F">
        <w:trPr>
          <w:trHeight w:val="841"/>
        </w:trPr>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suderinamumas su kitomis priemonėmis</w:t>
            </w:r>
          </w:p>
        </w:tc>
        <w:tc>
          <w:tcPr>
            <w:tcW w:w="6945" w:type="dxa"/>
          </w:tcPr>
          <w:p w:rsidR="00653D55" w:rsidRPr="008D4951" w:rsidRDefault="00826FC8" w:rsidP="008D4951">
            <w:pPr>
              <w:autoSpaceDE w:val="0"/>
              <w:autoSpaceDN w:val="0"/>
              <w:jc w:val="both"/>
              <w:rPr>
                <w:rFonts w:ascii="Times New Roman" w:hAnsi="Times New Roman"/>
                <w:bCs/>
                <w:sz w:val="24"/>
                <w:szCs w:val="24"/>
                <w:lang w:eastAsia="lt-LT"/>
              </w:rPr>
            </w:pPr>
            <w:r w:rsidRPr="008D4951">
              <w:rPr>
                <w:rFonts w:ascii="Times New Roman" w:hAnsi="Times New Roman"/>
                <w:sz w:val="24"/>
                <w:szCs w:val="24"/>
              </w:rPr>
              <w:t>Ši priemonė pagal savo veiklas ir specifiką nėra derinama su kitomis veiksmų programos priemonėmis.</w:t>
            </w:r>
          </w:p>
        </w:tc>
      </w:tr>
      <w:tr w:rsidR="00FB6137" w:rsidRPr="0062477B" w:rsidTr="00A25D28">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Nagrinėtų priemonės veiklų įgyvendinimo alternatyvų aprašymas ir</w:t>
            </w:r>
            <w:r w:rsidRPr="008D4951">
              <w:rPr>
                <w:rFonts w:ascii="Times New Roman" w:hAnsi="Times New Roman"/>
                <w:sz w:val="24"/>
                <w:szCs w:val="24"/>
              </w:rPr>
              <w:t xml:space="preserve"> siūlomos alternatyvos pasirinkimo pagrindimas (jei taikoma)</w:t>
            </w:r>
          </w:p>
        </w:tc>
        <w:tc>
          <w:tcPr>
            <w:tcW w:w="6945" w:type="dxa"/>
          </w:tcPr>
          <w:p w:rsidR="00E948F7" w:rsidRPr="0062477B" w:rsidRDefault="0039510E" w:rsidP="00666460">
            <w:pPr>
              <w:autoSpaceDE w:val="0"/>
              <w:autoSpaceDN w:val="0"/>
              <w:adjustRightInd w:val="0"/>
              <w:jc w:val="both"/>
              <w:rPr>
                <w:rFonts w:ascii="Times New Roman" w:hAnsi="Times New Roman"/>
                <w:sz w:val="24"/>
                <w:szCs w:val="24"/>
              </w:rPr>
            </w:pPr>
            <w:r w:rsidRPr="0039510E">
              <w:rPr>
                <w:rFonts w:ascii="Times New Roman" w:hAnsi="Times New Roman"/>
                <w:sz w:val="24"/>
                <w:szCs w:val="24"/>
              </w:rPr>
              <w:t>Priemonės veiklų aprašymas atitinka veiksmų programos 4 prioriteto „Energijos efektyvumo ir atsinaujinančių išteklių energijos gamybos ir naudojimo skatinimas“ 4.4 investicinio prioriteto „Pažangiųjų žemos ir vidutinės įtampos paskirstymo sistemų diegimas ir plėtojimas“ 4.4.1 konkretaus uždavinio „Išbandyti pažangiojo tinklo technologijų diegimo perspektyvas“ įgyvendinimo veiklos aprašymą.</w:t>
            </w:r>
          </w:p>
        </w:tc>
      </w:tr>
      <w:tr w:rsidR="00FB6137" w:rsidRPr="0062477B" w:rsidTr="007D2E0D">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8D4951"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Galimų pareiškėjų arba galutinių naudos gavėjų </w:t>
            </w:r>
            <w:r w:rsidRPr="008D4951">
              <w:rPr>
                <w:rFonts w:ascii="Times New Roman" w:hAnsi="Times New Roman"/>
                <w:sz w:val="24"/>
                <w:szCs w:val="24"/>
              </w:rPr>
              <w:t>pasirinkimo pagrindimas</w:t>
            </w:r>
          </w:p>
        </w:tc>
        <w:tc>
          <w:tcPr>
            <w:tcW w:w="6945" w:type="dxa"/>
          </w:tcPr>
          <w:p w:rsidR="00732282" w:rsidRPr="00217DDD" w:rsidRDefault="005B78A6" w:rsidP="00CA3067">
            <w:pPr>
              <w:tabs>
                <w:tab w:val="left" w:pos="567"/>
              </w:tabs>
              <w:jc w:val="both"/>
              <w:rPr>
                <w:rFonts w:ascii="Times New Roman" w:hAnsi="Times New Roman"/>
                <w:sz w:val="24"/>
                <w:szCs w:val="24"/>
              </w:rPr>
            </w:pPr>
            <w:r w:rsidRPr="008D4951">
              <w:rPr>
                <w:rFonts w:ascii="Times New Roman" w:hAnsi="Times New Roman"/>
                <w:sz w:val="24"/>
                <w:szCs w:val="24"/>
              </w:rPr>
              <w:t>Galimi p</w:t>
            </w:r>
            <w:r w:rsidR="002D0C61" w:rsidRPr="008D4951">
              <w:rPr>
                <w:rFonts w:ascii="Times New Roman" w:hAnsi="Times New Roman"/>
                <w:sz w:val="24"/>
                <w:szCs w:val="24"/>
              </w:rPr>
              <w:t xml:space="preserve">areiškėjai </w:t>
            </w:r>
            <w:r w:rsidR="00F30336" w:rsidRPr="008D4951">
              <w:rPr>
                <w:rFonts w:ascii="Times New Roman" w:hAnsi="Times New Roman"/>
                <w:sz w:val="24"/>
                <w:szCs w:val="24"/>
              </w:rPr>
              <w:t xml:space="preserve">pagal šią priemonę </w:t>
            </w:r>
            <w:r w:rsidR="00F30336" w:rsidRPr="0062477B">
              <w:rPr>
                <w:rFonts w:ascii="Times New Roman" w:hAnsi="Times New Roman"/>
                <w:sz w:val="24"/>
                <w:szCs w:val="24"/>
              </w:rPr>
              <w:t xml:space="preserve">yra </w:t>
            </w:r>
            <w:r w:rsidR="00F30336">
              <w:rPr>
                <w:rFonts w:ascii="Times New Roman" w:hAnsi="Times New Roman"/>
                <w:sz w:val="24"/>
                <w:szCs w:val="24"/>
              </w:rPr>
              <w:t>j</w:t>
            </w:r>
            <w:r w:rsidR="00F30336" w:rsidRPr="00AB63B6">
              <w:rPr>
                <w:rFonts w:ascii="Times New Roman" w:hAnsi="Times New Roman"/>
                <w:sz w:val="24"/>
                <w:szCs w:val="24"/>
              </w:rPr>
              <w:t>uridini</w:t>
            </w:r>
            <w:r w:rsidR="00E948F7">
              <w:rPr>
                <w:rFonts w:ascii="Times New Roman" w:hAnsi="Times New Roman"/>
                <w:sz w:val="24"/>
                <w:szCs w:val="24"/>
              </w:rPr>
              <w:t>ai</w:t>
            </w:r>
            <w:r w:rsidR="00F30336" w:rsidRPr="00AB63B6">
              <w:rPr>
                <w:rFonts w:ascii="Times New Roman" w:hAnsi="Times New Roman"/>
                <w:sz w:val="24"/>
                <w:szCs w:val="24"/>
              </w:rPr>
              <w:t xml:space="preserve"> asm</w:t>
            </w:r>
            <w:r w:rsidR="00E948F7">
              <w:rPr>
                <w:rFonts w:ascii="Times New Roman" w:hAnsi="Times New Roman"/>
                <w:sz w:val="24"/>
                <w:szCs w:val="24"/>
              </w:rPr>
              <w:t>enys</w:t>
            </w:r>
            <w:r w:rsidR="00F30336" w:rsidRPr="00AB63B6">
              <w:rPr>
                <w:rFonts w:ascii="Times New Roman" w:hAnsi="Times New Roman"/>
                <w:sz w:val="24"/>
                <w:szCs w:val="24"/>
              </w:rPr>
              <w:t xml:space="preserve">, </w:t>
            </w:r>
            <w:r w:rsidR="00E94BC2" w:rsidRPr="00E94BC2">
              <w:rPr>
                <w:rFonts w:ascii="Times New Roman" w:hAnsi="Times New Roman"/>
                <w:sz w:val="24"/>
                <w:szCs w:val="24"/>
              </w:rPr>
              <w:t>nuosavybės teise ar kita</w:t>
            </w:r>
            <w:r w:rsidR="00E94BC2">
              <w:rPr>
                <w:rFonts w:ascii="Times New Roman" w:hAnsi="Times New Roman"/>
                <w:sz w:val="24"/>
                <w:szCs w:val="24"/>
              </w:rPr>
              <w:t>is teisėtais pagrindais valdant</w:t>
            </w:r>
            <w:r w:rsidR="00E948F7">
              <w:rPr>
                <w:rFonts w:ascii="Times New Roman" w:hAnsi="Times New Roman"/>
                <w:sz w:val="24"/>
                <w:szCs w:val="24"/>
              </w:rPr>
              <w:t>y</w:t>
            </w:r>
            <w:r w:rsidR="00E94BC2" w:rsidRPr="00E94BC2">
              <w:rPr>
                <w:rFonts w:ascii="Times New Roman" w:hAnsi="Times New Roman"/>
                <w:sz w:val="24"/>
                <w:szCs w:val="24"/>
              </w:rPr>
              <w:t xml:space="preserve">s skirstomuosius </w:t>
            </w:r>
            <w:proofErr w:type="spellStart"/>
            <w:r w:rsidR="00E94BC2" w:rsidRPr="00E94BC2">
              <w:rPr>
                <w:rFonts w:ascii="Times New Roman" w:hAnsi="Times New Roman"/>
                <w:sz w:val="24"/>
                <w:szCs w:val="24"/>
              </w:rPr>
              <w:t>tinklus</w:t>
            </w:r>
            <w:r w:rsidR="00E55EB5">
              <w:rPr>
                <w:rFonts w:ascii="Times New Roman" w:hAnsi="Times New Roman"/>
                <w:sz w:val="24"/>
                <w:szCs w:val="24"/>
              </w:rPr>
              <w:t>(</w:t>
            </w:r>
            <w:r w:rsidR="00600AFB" w:rsidRPr="00600AFB">
              <w:rPr>
                <w:rFonts w:ascii="Times New Roman" w:hAnsi="Times New Roman"/>
                <w:sz w:val="24"/>
                <w:szCs w:val="24"/>
              </w:rPr>
              <w:t>tiesiogiai</w:t>
            </w:r>
            <w:proofErr w:type="spellEnd"/>
            <w:r w:rsidR="00600AFB" w:rsidRPr="00600AFB">
              <w:rPr>
                <w:rFonts w:ascii="Times New Roman" w:hAnsi="Times New Roman"/>
                <w:sz w:val="24"/>
                <w:szCs w:val="24"/>
              </w:rPr>
              <w:t xml:space="preserve"> sujungtus su perdavimo tinklais</w:t>
            </w:r>
            <w:r w:rsidR="00E55EB5">
              <w:rPr>
                <w:rFonts w:ascii="Times New Roman" w:hAnsi="Times New Roman"/>
                <w:sz w:val="24"/>
                <w:szCs w:val="24"/>
              </w:rPr>
              <w:t>)</w:t>
            </w:r>
            <w:r w:rsidR="00E94BC2" w:rsidRPr="00E94BC2">
              <w:rPr>
                <w:rFonts w:ascii="Times New Roman" w:hAnsi="Times New Roman"/>
                <w:sz w:val="24"/>
                <w:szCs w:val="24"/>
              </w:rPr>
              <w:t>, esančius j</w:t>
            </w:r>
            <w:r w:rsidR="00E94BC2">
              <w:rPr>
                <w:rFonts w:ascii="Times New Roman" w:hAnsi="Times New Roman"/>
                <w:sz w:val="24"/>
                <w:szCs w:val="24"/>
              </w:rPr>
              <w:t>o</w:t>
            </w:r>
            <w:r w:rsidR="00E94BC2" w:rsidRPr="00E94BC2">
              <w:rPr>
                <w:rFonts w:ascii="Times New Roman" w:hAnsi="Times New Roman"/>
                <w:sz w:val="24"/>
                <w:szCs w:val="24"/>
              </w:rPr>
              <w:t xml:space="preserve"> veiklos licencijoje nurodytoje teritorijoje, teisės aktų nustatyta tvarka užtikrinantis skirstomųjų tinklų eksploatavimą, plėtrą ir techninę priežiūrą, atsakingas už tai, kad būtų užtikrintas ilgalaikis sistemos pajėgumas pagrįstiems elektros energijos skirstymo poreikiams tenkinti, ir turintis atitinkamą veiklos licenciją</w:t>
            </w:r>
            <w:r w:rsidR="00B76004">
              <w:rPr>
                <w:rFonts w:ascii="Times New Roman" w:hAnsi="Times New Roman"/>
                <w:sz w:val="24"/>
                <w:szCs w:val="24"/>
              </w:rPr>
              <w:t>.</w:t>
            </w:r>
            <w:r w:rsidR="00F30336" w:rsidRPr="008D4951">
              <w:rPr>
                <w:rFonts w:ascii="Times New Roman" w:hAnsi="Times New Roman"/>
                <w:sz w:val="24"/>
                <w:szCs w:val="24"/>
              </w:rPr>
              <w:t xml:space="preserve"> </w:t>
            </w:r>
          </w:p>
          <w:p w:rsidR="007E3EB8" w:rsidRDefault="007E3EB8" w:rsidP="007E3EB8">
            <w:pPr>
              <w:pStyle w:val="NormalWeb"/>
              <w:shd w:val="clear" w:color="auto" w:fill="FFFFFF"/>
              <w:jc w:val="both"/>
            </w:pPr>
            <w:r>
              <w:t>Didžiausias skirstomųjų tinklų operatorius – AB LESTO. Šios įmonės licencijuojama teritorija apima visą Lietuvos Respublikos teritoriją. Likę skirstomųjų tinklų operatoriai AB „Achema“, AB „Lifosa“, AB „Akmenės cementas“, UAB „E Tinklas“ ir UAB „</w:t>
            </w:r>
            <w:proofErr w:type="spellStart"/>
            <w:r>
              <w:t>Korelita</w:t>
            </w:r>
            <w:proofErr w:type="spellEnd"/>
            <w:r>
              <w:t>“ elektros energijos skirstymo veiklą vykdo lokaliose teritorijose. Skirstomųjų tinklų operatorius yra atsakingas už jų nuosavybės ar panaudos teise valdomus skirstomuosius elektros tinklus (esančius veiklos licencijoje nurodytoje teritorijoje) nuo perdavimo tinklų elektros įrenginių prijungimo taško iki vartotojų ar gamintojų elektros įrenginių prijungimo taško bei už jų saugumą, patikimumą, eksploatavimą, priežiūrą, valdymą bei plėtojimą pagal skirstomųjų tinklų naudotojų poreikius, taip pat už skirstomaisiais tinklais persiunčiamos elektros kokybę, apskaitą ir jos diegimą.</w:t>
            </w:r>
          </w:p>
          <w:p w:rsidR="007E3EB8" w:rsidRDefault="007E3EB8" w:rsidP="007E3EB8">
            <w:pPr>
              <w:pStyle w:val="NormalWeb"/>
              <w:shd w:val="clear" w:color="auto" w:fill="FFFFFF"/>
              <w:jc w:val="both"/>
            </w:pPr>
            <w:r>
              <w:t>Skirstymo sistemos operatoriams išduotos licencijos:</w:t>
            </w:r>
            <w:r w:rsidR="00A9758E">
              <w:t xml:space="preserve"> </w:t>
            </w:r>
            <w:r>
              <w:t>AB LESTO – VKEKK 2010 gruodžio 30 d. nutarimu Nr. O3-338 patvirtinta licencija Nr. L1-10 (ES), išduota skirstyti elektros energiją įmonės skirstomaisiais tinklais Alytaus, Marijampolės, Panevėžio (išskyrus Panevėžio savivaldybėje UAB „E-Tinklas“ elektros energijos skirstymo licencijoj Nr. L1-ES-9 apibrėžtą teritoriją), Utenos, Vilniaus, Kauno (išskyrus Kėdainių savivaldybėje AB „Lifosa“ elektros energijos skirstymo licencijoje Nr. ES-6 apibrėžtą teritoriją, Jonavos savivaldybėje AB „Achema“ elektros energijos skirstymo licencijoje Nr. ES-4 apibrėžtą teritoriją</w:t>
            </w:r>
            <w:r w:rsidR="007664E0">
              <w:t>)</w:t>
            </w:r>
            <w:r>
              <w:t xml:space="preserve"> bei Kauno savivaldybėje UAB „</w:t>
            </w:r>
            <w:proofErr w:type="spellStart"/>
            <w:r>
              <w:t>Korelita</w:t>
            </w:r>
            <w:proofErr w:type="spellEnd"/>
            <w:r>
              <w:t xml:space="preserve">“ skirstymo licencijoje Nr. L1-11 (ES) apibrėžtą </w:t>
            </w:r>
            <w:r>
              <w:lastRenderedPageBreak/>
              <w:t>teritoriją), Klaipėdos, Šiaulių (išskyrus Akmenės savivaldybėje AB „Akmenės cementas“ elektros skirstymo licencijoje Nr. ES-5 apibrėžtą teritoriją) Tauragės, Telšių apskrityse;</w:t>
            </w:r>
          </w:p>
          <w:p w:rsidR="007E3EB8" w:rsidRDefault="007E3EB8" w:rsidP="007E3EB8">
            <w:pPr>
              <w:pStyle w:val="NormalWeb"/>
              <w:shd w:val="clear" w:color="auto" w:fill="FFFFFF"/>
              <w:jc w:val="both"/>
            </w:pPr>
            <w:r>
              <w:t>AB „Achema“ – VKEKK 2002 m. gegužės 20 d. nutarimu Nr. 34 patvirtinta licencija Nr. ES-4, išduota skirstyti elektros energiją įmonės skirstomaisiais tinklais Kėdainių mieste;</w:t>
            </w:r>
          </w:p>
          <w:p w:rsidR="007E3EB8" w:rsidRDefault="007E3EB8" w:rsidP="007E3EB8">
            <w:pPr>
              <w:pStyle w:val="NormalWeb"/>
              <w:shd w:val="clear" w:color="auto" w:fill="FFFFFF"/>
              <w:jc w:val="both"/>
            </w:pPr>
            <w:r>
              <w:t>AB „Lifosa“ - VKEKK 2002 m. liepos 18 d. nutarimu Nr. 65 patvirtinta licencija Nr. ES-6, išduota skirstyti elektros energiją įmonės skirstomaisiais tinklais Jonavos rajono savivaldybėje (Kauno apskritis);</w:t>
            </w:r>
          </w:p>
          <w:p w:rsidR="007E3EB8" w:rsidRDefault="007E3EB8" w:rsidP="007E3EB8">
            <w:pPr>
              <w:pStyle w:val="NormalWeb"/>
              <w:shd w:val="clear" w:color="auto" w:fill="FFFFFF"/>
              <w:jc w:val="both"/>
            </w:pPr>
            <w:r>
              <w:t>AB „Akmenės cementas“ - VKEKK 2002 m. rugsėjo 10 d. nutarimu Nr. 85 patvirtinta licencija Nr. ES-5, išduota skirstyti elektros energiją įmonės skirstomaisiais tinklais Šiaulių apskrities Akmenės rajone;</w:t>
            </w:r>
          </w:p>
          <w:p w:rsidR="007E3EB8" w:rsidRDefault="007E3EB8" w:rsidP="007E3EB8">
            <w:pPr>
              <w:pStyle w:val="NormalWeb"/>
              <w:shd w:val="clear" w:color="auto" w:fill="FFFFFF"/>
              <w:jc w:val="both"/>
            </w:pPr>
            <w:r>
              <w:t>UAB „E Tinklas“ - VKEKK 2010 kovo 5 d. nutarimu Nr. O3-40 patvirtinta licencija Nr. L1-ES-9, išduota skirstyti elektros energiją įmonės skirstomaisiais tinklais Panevėžio apskr. Panevėžio rajono savivaldybėje;</w:t>
            </w:r>
          </w:p>
          <w:p w:rsidR="007E3EB8" w:rsidRDefault="007E3EB8" w:rsidP="007E3EB8">
            <w:pPr>
              <w:pStyle w:val="NormalWeb"/>
              <w:shd w:val="clear" w:color="auto" w:fill="FFFFFF"/>
              <w:jc w:val="both"/>
            </w:pPr>
            <w:r>
              <w:t>UAB „Dirbtinis pluoštas“ - VKEKK 2011 vasario 15 d. nutarimu Nr. O3-26 (pakeista 2015 vasario 27 d. nutarimu Nr. O3-192) patvirtinta licencija Nr. L1-11 (ES), išduota skirstyti elektros energiją įmonės skirstomaisiais tinklais Kauno apskries Kauno miesto savivaldybėje, adresu Pramonės pr. 4.</w:t>
            </w:r>
          </w:p>
          <w:p w:rsidR="00666460" w:rsidRPr="00666460" w:rsidRDefault="00666460" w:rsidP="00666460">
            <w:pPr>
              <w:rPr>
                <w:rFonts w:ascii="Times New Roman" w:eastAsia="Times New Roman" w:hAnsi="Times New Roman"/>
                <w:sz w:val="24"/>
                <w:szCs w:val="24"/>
                <w:lang w:eastAsia="lt-LT"/>
              </w:rPr>
            </w:pPr>
            <w:r w:rsidRPr="00666460">
              <w:rPr>
                <w:rFonts w:ascii="Times New Roman" w:eastAsia="Times New Roman" w:hAnsi="Times New Roman"/>
                <w:sz w:val="24"/>
                <w:szCs w:val="24"/>
                <w:lang w:eastAsia="lt-LT"/>
              </w:rPr>
              <w:t xml:space="preserve">Licencijų išdavimo tvarką reglamentuoja LR </w:t>
            </w:r>
            <w:r w:rsidR="00597B93">
              <w:rPr>
                <w:rFonts w:ascii="Times New Roman" w:eastAsia="Times New Roman" w:hAnsi="Times New Roman"/>
                <w:sz w:val="24"/>
                <w:szCs w:val="24"/>
                <w:lang w:eastAsia="lt-LT"/>
              </w:rPr>
              <w:t>E</w:t>
            </w:r>
            <w:r w:rsidR="00597B93" w:rsidRPr="00666460">
              <w:rPr>
                <w:rFonts w:ascii="Times New Roman" w:eastAsia="Times New Roman" w:hAnsi="Times New Roman"/>
                <w:sz w:val="24"/>
                <w:szCs w:val="24"/>
                <w:lang w:eastAsia="lt-LT"/>
              </w:rPr>
              <w:t xml:space="preserve">nergetikos </w:t>
            </w:r>
            <w:r w:rsidRPr="00666460">
              <w:rPr>
                <w:rFonts w:ascii="Times New Roman" w:eastAsia="Times New Roman" w:hAnsi="Times New Roman"/>
                <w:sz w:val="24"/>
                <w:szCs w:val="24"/>
                <w:lang w:eastAsia="lt-LT"/>
              </w:rPr>
              <w:t xml:space="preserve">įstatymas, LR </w:t>
            </w:r>
            <w:r w:rsidR="00597B93">
              <w:rPr>
                <w:rFonts w:ascii="Times New Roman" w:eastAsia="Times New Roman" w:hAnsi="Times New Roman"/>
                <w:sz w:val="24"/>
                <w:szCs w:val="24"/>
                <w:lang w:eastAsia="lt-LT"/>
              </w:rPr>
              <w:t>E</w:t>
            </w:r>
            <w:r w:rsidR="00597B93" w:rsidRPr="00666460">
              <w:rPr>
                <w:rFonts w:ascii="Times New Roman" w:eastAsia="Times New Roman" w:hAnsi="Times New Roman"/>
                <w:sz w:val="24"/>
                <w:szCs w:val="24"/>
                <w:lang w:eastAsia="lt-LT"/>
              </w:rPr>
              <w:t xml:space="preserve">lektros </w:t>
            </w:r>
            <w:r w:rsidRPr="00666460">
              <w:rPr>
                <w:rFonts w:ascii="Times New Roman" w:eastAsia="Times New Roman" w:hAnsi="Times New Roman"/>
                <w:sz w:val="24"/>
                <w:szCs w:val="24"/>
                <w:lang w:eastAsia="lt-LT"/>
              </w:rPr>
              <w:t xml:space="preserve">energetikos įstatymas ir Veiklos elektros energetikos sektoriuje licencijavimo taisyklės, patvirtintos </w:t>
            </w:r>
            <w:r w:rsidR="00597B93">
              <w:rPr>
                <w:rFonts w:ascii="Times New Roman" w:eastAsia="Times New Roman" w:hAnsi="Times New Roman"/>
                <w:sz w:val="24"/>
                <w:szCs w:val="24"/>
                <w:lang w:eastAsia="lt-LT"/>
              </w:rPr>
              <w:t xml:space="preserve">LR </w:t>
            </w:r>
            <w:r w:rsidRPr="00666460">
              <w:rPr>
                <w:rFonts w:ascii="Times New Roman" w:eastAsia="Times New Roman" w:hAnsi="Times New Roman"/>
                <w:sz w:val="24"/>
                <w:szCs w:val="24"/>
                <w:lang w:eastAsia="lt-LT"/>
              </w:rPr>
              <w:t>Vyriausybės 2012 m. birželio 20 d. nutarimu Nr. 723.</w:t>
            </w:r>
          </w:p>
          <w:p w:rsidR="00023457" w:rsidRPr="00976BF5" w:rsidRDefault="009A0DDD" w:rsidP="007E3EB8">
            <w:pPr>
              <w:pStyle w:val="NormalWeb"/>
              <w:shd w:val="clear" w:color="auto" w:fill="FFFFFF"/>
              <w:jc w:val="both"/>
            </w:pPr>
            <w:r w:rsidRPr="008D4951">
              <w:t>Vykd</w:t>
            </w:r>
            <w:r w:rsidR="00F70010">
              <w:t>ant</w:t>
            </w:r>
            <w:r w:rsidRPr="008D4951">
              <w:t xml:space="preserve"> ES Trečiojo energetikos paketo</w:t>
            </w:r>
            <w:r w:rsidR="00F70010">
              <w:t xml:space="preserve"> nuostatas (d</w:t>
            </w:r>
            <w:r w:rsidR="009E6D6B">
              <w:t>ir</w:t>
            </w:r>
            <w:r w:rsidR="00F70010">
              <w:t>ektyvos 2009/72/EB 26 straipsnis)</w:t>
            </w:r>
            <w:r w:rsidR="009E6D6B">
              <w:t xml:space="preserve">, kai </w:t>
            </w:r>
            <w:r w:rsidR="00F70010">
              <w:t>skirstomųjų tinklų operatorius</w:t>
            </w:r>
            <w:r w:rsidR="009E6D6B">
              <w:t xml:space="preserve"> yra vertikalios integracijos įmonės padalinys, bent teisinės formos, organizacinės struktūros ir sprendimų priėmimo tvarkos požiūriu jis turi būti nepriklausomas nuo kitų veiklos rūšių, nesusijusių su skirstymu. Šis reikalavimas nenustato įpareigojimo </w:t>
            </w:r>
            <w:r w:rsidR="00F70010">
              <w:t>skirstomųjų tinklų operatoriaus</w:t>
            </w:r>
            <w:r w:rsidR="009E6D6B">
              <w:t xml:space="preserve"> turto nuosavybę atskirti nuo vertikalios integracijos įmonės.</w:t>
            </w:r>
            <w:r w:rsidR="00F70010">
              <w:t xml:space="preserve"> </w:t>
            </w:r>
            <w:r w:rsidR="009E6D6B" w:rsidRPr="00976BF5">
              <w:t xml:space="preserve">Pagal </w:t>
            </w:r>
            <w:r w:rsidR="00597B93">
              <w:t xml:space="preserve">LR </w:t>
            </w:r>
            <w:r w:rsidR="009E6D6B" w:rsidRPr="00976BF5">
              <w:t xml:space="preserve">Elektros energetikos įstatymą, įsigaliojusį 2012 m. vasario 7 d., kuriuo perkeliamos atitinkamos Direktyvos 2009/72/EB nuostatos, elektros energijos skirstomųjų tinklų įmonei pateikus reikiamus dokumentus, VKEKK 2012 m. liepos 26 d. posėdyje konstatavo, kad AB LESTO skirstymo veiklos atskyrimas atitinka </w:t>
            </w:r>
            <w:r w:rsidR="00597B93">
              <w:t xml:space="preserve">LR </w:t>
            </w:r>
            <w:r w:rsidR="009E6D6B" w:rsidRPr="00976BF5">
              <w:t>Elektros energetikos įstatymo 54 straipsnio 1 ir 3 dalių nuostatas.</w:t>
            </w:r>
            <w:r w:rsidR="00F70010">
              <w:t xml:space="preserve"> </w:t>
            </w:r>
          </w:p>
        </w:tc>
      </w:tr>
      <w:tr w:rsidR="00FB6137" w:rsidRPr="0062477B" w:rsidTr="007B5D42">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217DDD"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Supaprastintas išlaidų </w:t>
            </w:r>
            <w:r w:rsidRPr="0062477B">
              <w:rPr>
                <w:rFonts w:ascii="Times New Roman" w:hAnsi="Times New Roman"/>
                <w:sz w:val="24"/>
                <w:szCs w:val="24"/>
              </w:rPr>
              <w:lastRenderedPageBreak/>
              <w:t>apmokėjimas</w:t>
            </w:r>
            <w:r w:rsidRPr="00217DDD">
              <w:rPr>
                <w:rFonts w:ascii="Times New Roman" w:hAnsi="Times New Roman"/>
                <w:sz w:val="24"/>
                <w:szCs w:val="24"/>
              </w:rPr>
              <w:t xml:space="preserve"> </w:t>
            </w:r>
          </w:p>
        </w:tc>
        <w:tc>
          <w:tcPr>
            <w:tcW w:w="6945" w:type="dxa"/>
          </w:tcPr>
          <w:p w:rsidR="000C7C60" w:rsidRPr="0062477B" w:rsidRDefault="00F847A7" w:rsidP="009A6F13">
            <w:pPr>
              <w:pStyle w:val="Default"/>
              <w:jc w:val="both"/>
            </w:pPr>
            <w:r w:rsidRPr="00217DDD">
              <w:rPr>
                <w:rFonts w:eastAsia="Times New Roman"/>
              </w:rPr>
              <w:lastRenderedPageBreak/>
              <w:t xml:space="preserve">Vadovaujantis rekomendacijų dėl projektų išlaidų atitikties ES </w:t>
            </w:r>
            <w:r w:rsidRPr="00217DDD">
              <w:rPr>
                <w:rFonts w:eastAsia="Times New Roman"/>
              </w:rPr>
              <w:lastRenderedPageBreak/>
              <w:t>struktūrinių fondų reikalavimams</w:t>
            </w:r>
            <w:r w:rsidR="00AC5A59" w:rsidRPr="008D4951">
              <w:rPr>
                <w:rFonts w:eastAsia="Times New Roman"/>
              </w:rPr>
              <w:t xml:space="preserve">, </w:t>
            </w:r>
            <w:r w:rsidR="00472651" w:rsidRPr="008D4951">
              <w:rPr>
                <w:rFonts w:eastAsia="Times New Roman"/>
              </w:rPr>
              <w:t xml:space="preserve">patvirtintų </w:t>
            </w:r>
            <w:r w:rsidR="009A6F13" w:rsidRPr="009A6F13">
              <w:rPr>
                <w:rFonts w:eastAsia="Times New Roman"/>
              </w:rPr>
              <w:t xml:space="preserve">2014–2020 m. </w:t>
            </w:r>
            <w:r w:rsidR="00472651" w:rsidRPr="008D4951">
              <w:rPr>
                <w:rFonts w:eastAsia="Times New Roman"/>
              </w:rPr>
              <w:t xml:space="preserve">Veiksmų programos </w:t>
            </w:r>
            <w:r w:rsidR="00AC5A59" w:rsidRPr="0062477B">
              <w:rPr>
                <w:rFonts w:eastAsia="Times New Roman"/>
              </w:rPr>
              <w:t xml:space="preserve">valdymo komiteto </w:t>
            </w:r>
            <w:r w:rsidR="00472651" w:rsidRPr="0062477B">
              <w:rPr>
                <w:rFonts w:eastAsia="Times New Roman"/>
              </w:rPr>
              <w:t xml:space="preserve">2014 m. liepos 4 d. </w:t>
            </w:r>
            <w:r w:rsidR="00AC5A59" w:rsidRPr="0062477B">
              <w:rPr>
                <w:rFonts w:eastAsia="Times New Roman"/>
              </w:rPr>
              <w:t>posėd</w:t>
            </w:r>
            <w:r w:rsidR="00472651" w:rsidRPr="0062477B">
              <w:rPr>
                <w:rFonts w:eastAsia="Times New Roman"/>
              </w:rPr>
              <w:t>žio</w:t>
            </w:r>
            <w:r w:rsidR="007406BA" w:rsidRPr="0062477B">
              <w:rPr>
                <w:rFonts w:eastAsia="Times New Roman"/>
              </w:rPr>
              <w:t xml:space="preserve"> protokol</w:t>
            </w:r>
            <w:r w:rsidR="00A9758E">
              <w:rPr>
                <w:rFonts w:eastAsia="Times New Roman"/>
              </w:rPr>
              <w:t>u</w:t>
            </w:r>
            <w:r w:rsidR="007406BA" w:rsidRPr="0062477B">
              <w:rPr>
                <w:rFonts w:eastAsia="Times New Roman"/>
              </w:rPr>
              <w:t xml:space="preserve"> Nr.</w:t>
            </w:r>
            <w:r w:rsidR="00EE0C1F">
              <w:rPr>
                <w:rFonts w:eastAsia="Times New Roman"/>
              </w:rPr>
              <w:t xml:space="preserve"> 34</w:t>
            </w:r>
            <w:r w:rsidR="00AC5A59" w:rsidRPr="0062477B">
              <w:rPr>
                <w:rFonts w:eastAsia="Times New Roman"/>
              </w:rPr>
              <w:t xml:space="preserve"> pritartos veiksmų programos</w:t>
            </w:r>
            <w:r w:rsidRPr="0062477B">
              <w:rPr>
                <w:rFonts w:eastAsia="Times New Roman"/>
              </w:rPr>
              <w:t xml:space="preserve"> 45 punktu</w:t>
            </w:r>
            <w:r w:rsidR="00743A0E" w:rsidRPr="0062477B">
              <w:rPr>
                <w:rFonts w:eastAsia="Times New Roman"/>
              </w:rPr>
              <w:t>,</w:t>
            </w:r>
            <w:r w:rsidRPr="0062477B">
              <w:rPr>
                <w:rFonts w:eastAsia="Times New Roman"/>
              </w:rPr>
              <w:t xml:space="preserve"> p</w:t>
            </w:r>
            <w:r w:rsidR="00D82ADE" w:rsidRPr="0062477B">
              <w:t xml:space="preserve">riemonei </w:t>
            </w:r>
            <w:r w:rsidR="00743A0E" w:rsidRPr="00217DDD">
              <w:t xml:space="preserve">negali būti </w:t>
            </w:r>
            <w:r w:rsidR="00D82ADE" w:rsidRPr="00217DDD">
              <w:t>taik</w:t>
            </w:r>
            <w:r w:rsidR="00743A0E" w:rsidRPr="00217DDD">
              <w:t>omas</w:t>
            </w:r>
            <w:r w:rsidR="00D82ADE" w:rsidRPr="00217DDD">
              <w:t xml:space="preserve"> supaprastint</w:t>
            </w:r>
            <w:r w:rsidR="00743A0E" w:rsidRPr="00217DDD">
              <w:t>as</w:t>
            </w:r>
            <w:r w:rsidR="00D82ADE" w:rsidRPr="00217DDD">
              <w:t xml:space="preserve"> išlaidų apmokėjim</w:t>
            </w:r>
            <w:r w:rsidR="00743A0E" w:rsidRPr="00217DDD">
              <w:t>as</w:t>
            </w:r>
            <w:r w:rsidR="0057450C" w:rsidRPr="00217DDD">
              <w:t>, nes</w:t>
            </w:r>
            <w:r w:rsidR="00D82ADE" w:rsidRPr="008D4951">
              <w:t xml:space="preserve"> </w:t>
            </w:r>
            <w:r w:rsidR="0057450C" w:rsidRPr="008D4951">
              <w:t xml:space="preserve">numatytos </w:t>
            </w:r>
            <w:r w:rsidR="00D82ADE" w:rsidRPr="008D4951">
              <w:t xml:space="preserve">veiklos </w:t>
            </w:r>
            <w:r w:rsidR="007B0E19" w:rsidRPr="008D4951">
              <w:t xml:space="preserve">bus </w:t>
            </w:r>
            <w:r w:rsidR="00D82ADE" w:rsidRPr="0062477B">
              <w:t xml:space="preserve">vykdomos išimtinai rangos būdu. </w:t>
            </w:r>
          </w:p>
        </w:tc>
      </w:tr>
      <w:tr w:rsidR="00FB6137" w:rsidRPr="0062477B" w:rsidTr="00364664">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217DDD" w:rsidRDefault="00FB6137" w:rsidP="0062477B">
            <w:pPr>
              <w:tabs>
                <w:tab w:val="left" w:pos="567"/>
              </w:tabs>
              <w:rPr>
                <w:rFonts w:ascii="Times New Roman" w:hAnsi="Times New Roman"/>
                <w:sz w:val="24"/>
                <w:szCs w:val="24"/>
                <w:highlight w:val="yellow"/>
              </w:rPr>
            </w:pPr>
            <w:r w:rsidRPr="0062477B">
              <w:rPr>
                <w:rFonts w:ascii="Times New Roman" w:hAnsi="Times New Roman"/>
                <w:sz w:val="24"/>
                <w:szCs w:val="24"/>
              </w:rPr>
              <w:t>Galimybė taikyti viešojo ir privataus sektorių partnerystės būdą (jei taikoma)</w:t>
            </w:r>
          </w:p>
        </w:tc>
        <w:tc>
          <w:tcPr>
            <w:tcW w:w="6945" w:type="dxa"/>
            <w:shd w:val="clear" w:color="auto" w:fill="auto"/>
          </w:tcPr>
          <w:p w:rsidR="00FB6137" w:rsidRPr="00A529E2" w:rsidRDefault="00680B3F" w:rsidP="00352416">
            <w:pPr>
              <w:tabs>
                <w:tab w:val="left" w:pos="567"/>
              </w:tabs>
              <w:jc w:val="both"/>
              <w:rPr>
                <w:rFonts w:ascii="Times New Roman" w:eastAsia="Times New Roman" w:hAnsi="Times New Roman"/>
                <w:sz w:val="24"/>
                <w:szCs w:val="24"/>
                <w:lang w:eastAsia="lt-LT"/>
              </w:rPr>
            </w:pPr>
            <w:r w:rsidRPr="00501201">
              <w:rPr>
                <w:rFonts w:ascii="Times New Roman" w:hAnsi="Times New Roman"/>
                <w:sz w:val="24"/>
                <w:szCs w:val="24"/>
              </w:rPr>
              <w:t xml:space="preserve">Galimi pareiškėjai pagal šią priemonę yra juridiniai asmenys, nuosavybės ar kita teise valdantys </w:t>
            </w:r>
            <w:r w:rsidR="000C4BD2" w:rsidRPr="00501201">
              <w:rPr>
                <w:rFonts w:ascii="Times New Roman" w:hAnsi="Times New Roman"/>
                <w:sz w:val="24"/>
                <w:szCs w:val="24"/>
              </w:rPr>
              <w:t xml:space="preserve">elektros skirstomuosius tinklus, </w:t>
            </w:r>
            <w:r w:rsidR="00501201" w:rsidRPr="00501201">
              <w:rPr>
                <w:rFonts w:ascii="Times New Roman" w:hAnsi="Times New Roman"/>
                <w:sz w:val="24"/>
                <w:szCs w:val="24"/>
              </w:rPr>
              <w:t>nuo perdavimo tinklų elektros įrenginių prijungimo taško iki vartotojų ar gamintojų elektros įrenginių prijungimo taško</w:t>
            </w:r>
            <w:r w:rsidR="00501201">
              <w:rPr>
                <w:rFonts w:ascii="Times New Roman" w:hAnsi="Times New Roman"/>
                <w:sz w:val="24"/>
                <w:szCs w:val="24"/>
              </w:rPr>
              <w:t>.</w:t>
            </w:r>
            <w:r w:rsidR="00501201" w:rsidRPr="00501201">
              <w:rPr>
                <w:rFonts w:ascii="Times New Roman" w:hAnsi="Times New Roman"/>
                <w:sz w:val="24"/>
                <w:szCs w:val="24"/>
              </w:rPr>
              <w:t xml:space="preserve"> Didžiausias skirstomųjų tinklų operatorius – AB LESTO. Šios įmonės licencijuojama teritorija apima visą LR teritoriją. Likę skirstomųjų tinklų operatoriai elektros energijos skirstymo veiklą vykdo </w:t>
            </w:r>
            <w:r w:rsidR="00352416">
              <w:rPr>
                <w:rFonts w:ascii="Times New Roman" w:hAnsi="Times New Roman"/>
                <w:sz w:val="24"/>
                <w:szCs w:val="24"/>
              </w:rPr>
              <w:t>licencijose nurodytose</w:t>
            </w:r>
            <w:r w:rsidR="003D3B4F">
              <w:rPr>
                <w:rFonts w:ascii="Times New Roman" w:hAnsi="Times New Roman"/>
                <w:sz w:val="24"/>
                <w:szCs w:val="24"/>
              </w:rPr>
              <w:t xml:space="preserve"> </w:t>
            </w:r>
            <w:r w:rsidR="00501201" w:rsidRPr="003D3B4F">
              <w:rPr>
                <w:rFonts w:ascii="Times New Roman" w:hAnsi="Times New Roman"/>
                <w:sz w:val="24"/>
                <w:szCs w:val="24"/>
              </w:rPr>
              <w:t>teritorijose.</w:t>
            </w:r>
            <w:r w:rsidR="00501201" w:rsidRPr="00501201">
              <w:rPr>
                <w:rFonts w:ascii="Times New Roman" w:hAnsi="Times New Roman"/>
                <w:sz w:val="24"/>
                <w:szCs w:val="24"/>
              </w:rPr>
              <w:t xml:space="preserve"> Skirstomųjų tinklų operatoriai yra atsakingi už jų nuosavybės ar panaudos teise valdomus skirstomuosius elektros tinklus (esančius veiklos licencijoje nurodytoje teritorijoje)</w:t>
            </w:r>
            <w:r w:rsidR="00A000D3">
              <w:rPr>
                <w:rFonts w:ascii="Times New Roman" w:hAnsi="Times New Roman"/>
                <w:sz w:val="24"/>
                <w:szCs w:val="24"/>
              </w:rPr>
              <w:t xml:space="preserve"> </w:t>
            </w:r>
            <w:r w:rsidR="00501201" w:rsidRPr="00501201">
              <w:rPr>
                <w:rFonts w:ascii="Times New Roman" w:hAnsi="Times New Roman"/>
                <w:sz w:val="24"/>
                <w:szCs w:val="24"/>
              </w:rPr>
              <w:t>bei už jų saugumą, patikimumą, eksploatavimą, priežiūrą, valdymą bei plėtojimą pagal skirstomųjų tinklų naudotojų poreikius, taip pat už skirstomaisiais tinklais persiunčiamos elektros kokybę, apskaitą ir jos diegimą</w:t>
            </w:r>
            <w:r w:rsidRPr="00501201">
              <w:rPr>
                <w:rFonts w:ascii="Times New Roman" w:hAnsi="Times New Roman"/>
                <w:sz w:val="24"/>
                <w:szCs w:val="24"/>
              </w:rPr>
              <w:t>.</w:t>
            </w:r>
            <w:r w:rsidR="001E1E7E">
              <w:rPr>
                <w:rFonts w:ascii="Times New Roman" w:hAnsi="Times New Roman"/>
                <w:sz w:val="24"/>
                <w:szCs w:val="24"/>
              </w:rPr>
              <w:t xml:space="preserve"> </w:t>
            </w:r>
            <w:r w:rsidR="001E1E7E" w:rsidRPr="001E1E7E">
              <w:rPr>
                <w:rFonts w:ascii="Times New Roman" w:hAnsi="Times New Roman"/>
                <w:sz w:val="24"/>
                <w:szCs w:val="24"/>
              </w:rPr>
              <w:t>T</w:t>
            </w:r>
            <w:r w:rsidR="00A529E2" w:rsidRPr="001E1E7E">
              <w:rPr>
                <w:rFonts w:ascii="Times New Roman" w:hAnsi="Times New Roman"/>
                <w:sz w:val="24"/>
                <w:szCs w:val="24"/>
              </w:rPr>
              <w:t>aikyti viešojo ir privataus sektorių partnerystės būdo nėra galimybių</w:t>
            </w:r>
            <w:r w:rsidR="001E1E7E">
              <w:rPr>
                <w:rFonts w:ascii="Times New Roman" w:hAnsi="Times New Roman"/>
                <w:sz w:val="24"/>
                <w:szCs w:val="24"/>
              </w:rPr>
              <w:t>.</w:t>
            </w:r>
            <w:r w:rsidR="00A529E2">
              <w:rPr>
                <w:rFonts w:ascii="Times New Roman" w:hAnsi="Times New Roman"/>
                <w:sz w:val="24"/>
                <w:szCs w:val="24"/>
              </w:rPr>
              <w:t xml:space="preserve"> </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r w:rsidRPr="0062477B">
              <w:rPr>
                <w:rFonts w:ascii="Times New Roman" w:hAnsi="Times New Roman"/>
                <w:sz w:val="24"/>
                <w:szCs w:val="24"/>
              </w:rPr>
              <w:t>G</w:t>
            </w:r>
          </w:p>
        </w:tc>
        <w:tc>
          <w:tcPr>
            <w:tcW w:w="2836" w:type="dxa"/>
          </w:tcPr>
          <w:p w:rsidR="00FB6137" w:rsidRPr="008D4951" w:rsidRDefault="00FB6137" w:rsidP="00217DDD">
            <w:pPr>
              <w:tabs>
                <w:tab w:val="left" w:pos="567"/>
              </w:tabs>
              <w:rPr>
                <w:rStyle w:val="CommentReference"/>
                <w:rFonts w:ascii="Times New Roman" w:hAnsi="Times New Roman"/>
                <w:sz w:val="24"/>
                <w:szCs w:val="24"/>
              </w:rPr>
            </w:pPr>
            <w:r w:rsidRPr="00217DDD">
              <w:rPr>
                <w:rStyle w:val="CommentReference"/>
                <w:rFonts w:ascii="Times New Roman" w:hAnsi="Times New Roman"/>
                <w:sz w:val="24"/>
                <w:szCs w:val="24"/>
              </w:rPr>
              <w:t xml:space="preserve">Galimybė taikyti visuotinę dotaciją </w:t>
            </w:r>
            <w:r w:rsidRPr="008D4951">
              <w:rPr>
                <w:rFonts w:ascii="Times New Roman" w:hAnsi="Times New Roman"/>
                <w:sz w:val="24"/>
                <w:szCs w:val="24"/>
              </w:rPr>
              <w:t>(jei taikoma)</w:t>
            </w:r>
          </w:p>
        </w:tc>
        <w:tc>
          <w:tcPr>
            <w:tcW w:w="6945" w:type="dxa"/>
          </w:tcPr>
          <w:p w:rsidR="00F87D9C" w:rsidRPr="0062477B" w:rsidRDefault="00F87D9C" w:rsidP="008D4951">
            <w:pPr>
              <w:tabs>
                <w:tab w:val="left" w:pos="567"/>
              </w:tabs>
              <w:spacing w:after="200" w:line="276" w:lineRule="auto"/>
              <w:jc w:val="both"/>
              <w:rPr>
                <w:rFonts w:ascii="Times New Roman" w:hAnsi="Times New Roman"/>
                <w:sz w:val="24"/>
                <w:szCs w:val="24"/>
              </w:rPr>
            </w:pPr>
            <w:r w:rsidRPr="008D4951">
              <w:rPr>
                <w:rFonts w:ascii="Times New Roman" w:hAnsi="Times New Roman"/>
                <w:sz w:val="24"/>
                <w:szCs w:val="24"/>
              </w:rPr>
              <w:t>Netaikoma.</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tcPr>
          <w:p w:rsidR="00FB6137" w:rsidRPr="00217DDD" w:rsidRDefault="00FB6137" w:rsidP="0062477B">
            <w:pPr>
              <w:tabs>
                <w:tab w:val="left" w:pos="567"/>
              </w:tabs>
              <w:rPr>
                <w:rStyle w:val="CommentReference"/>
                <w:rFonts w:ascii="Times New Roman" w:hAnsi="Times New Roman"/>
                <w:sz w:val="24"/>
                <w:szCs w:val="24"/>
              </w:rPr>
            </w:pPr>
            <w:r w:rsidRPr="0062477B">
              <w:rPr>
                <w:rStyle w:val="CommentReference"/>
                <w:rFonts w:ascii="Times New Roman" w:hAnsi="Times New Roman"/>
                <w:sz w:val="24"/>
                <w:szCs w:val="24"/>
              </w:rPr>
              <w:t xml:space="preserve">Jungtinės priemonės tikslingumo pagrindimas </w:t>
            </w:r>
            <w:r w:rsidRPr="00217DDD">
              <w:rPr>
                <w:rFonts w:ascii="Times New Roman" w:hAnsi="Times New Roman"/>
                <w:sz w:val="24"/>
                <w:szCs w:val="24"/>
              </w:rPr>
              <w:t>(jei taikoma)</w:t>
            </w:r>
          </w:p>
        </w:tc>
        <w:tc>
          <w:tcPr>
            <w:tcW w:w="6945" w:type="dxa"/>
          </w:tcPr>
          <w:p w:rsidR="00FB6137" w:rsidRPr="008D4951" w:rsidRDefault="00560241" w:rsidP="00217DDD">
            <w:pPr>
              <w:tabs>
                <w:tab w:val="left" w:pos="567"/>
              </w:tabs>
              <w:jc w:val="both"/>
              <w:rPr>
                <w:rFonts w:ascii="Times New Roman" w:hAnsi="Times New Roman"/>
                <w:sz w:val="24"/>
                <w:szCs w:val="24"/>
              </w:rPr>
            </w:pPr>
            <w:r w:rsidRPr="008D4951">
              <w:rPr>
                <w:rFonts w:ascii="Times New Roman" w:hAnsi="Times New Roman"/>
                <w:sz w:val="24"/>
                <w:szCs w:val="24"/>
              </w:rPr>
              <w:t>Netaikoma.</w:t>
            </w:r>
          </w:p>
        </w:tc>
      </w:tr>
      <w:tr w:rsidR="00FB6137" w:rsidRPr="0062477B" w:rsidTr="00AF0B8F">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Style w:val="CommentReference"/>
                <w:rFonts w:ascii="Times New Roman" w:hAnsi="Times New Roman"/>
                <w:sz w:val="24"/>
                <w:szCs w:val="24"/>
              </w:rPr>
            </w:pPr>
            <w:r w:rsidRPr="0062477B">
              <w:rPr>
                <w:rStyle w:val="CommentReference"/>
                <w:rFonts w:ascii="Times New Roman" w:hAnsi="Times New Roman"/>
                <w:sz w:val="24"/>
                <w:szCs w:val="24"/>
              </w:rPr>
              <w:t xml:space="preserve">Galimų </w:t>
            </w:r>
            <w:proofErr w:type="spellStart"/>
            <w:r w:rsidRPr="0062477B">
              <w:rPr>
                <w:rStyle w:val="CommentReference"/>
                <w:rFonts w:ascii="Times New Roman" w:hAnsi="Times New Roman"/>
                <w:sz w:val="24"/>
                <w:szCs w:val="24"/>
              </w:rPr>
              <w:t>rizikų</w:t>
            </w:r>
            <w:proofErr w:type="spellEnd"/>
            <w:r w:rsidRPr="0062477B">
              <w:rPr>
                <w:rStyle w:val="CommentReference"/>
                <w:rFonts w:ascii="Times New Roman" w:hAnsi="Times New Roman"/>
                <w:sz w:val="24"/>
                <w:szCs w:val="24"/>
              </w:rPr>
              <w:t xml:space="preserve"> vertinimas</w:t>
            </w:r>
          </w:p>
        </w:tc>
        <w:tc>
          <w:tcPr>
            <w:tcW w:w="6945" w:type="dxa"/>
            <w:shd w:val="clear" w:color="auto" w:fill="auto"/>
          </w:tcPr>
          <w:p w:rsidR="00560241" w:rsidRDefault="007C58E0" w:rsidP="00CA3067">
            <w:pPr>
              <w:tabs>
                <w:tab w:val="left" w:pos="567"/>
              </w:tabs>
              <w:jc w:val="both"/>
              <w:rPr>
                <w:rFonts w:ascii="Times New Roman" w:hAnsi="Times New Roman"/>
                <w:sz w:val="24"/>
                <w:szCs w:val="24"/>
              </w:rPr>
            </w:pPr>
            <w:r w:rsidRPr="00217DDD">
              <w:rPr>
                <w:rFonts w:ascii="Times New Roman" w:hAnsi="Times New Roman"/>
                <w:sz w:val="24"/>
                <w:szCs w:val="24"/>
              </w:rPr>
              <w:t xml:space="preserve">Šios priemonės įgyvendinimo rizikos yra susijusios su politiniais </w:t>
            </w:r>
            <w:r w:rsidR="009E330C" w:rsidRPr="008D4951">
              <w:rPr>
                <w:rFonts w:ascii="Times New Roman" w:hAnsi="Times New Roman"/>
                <w:sz w:val="24"/>
                <w:szCs w:val="24"/>
              </w:rPr>
              <w:t>aspektais – p</w:t>
            </w:r>
            <w:r w:rsidR="003F6DB0" w:rsidRPr="008D4951">
              <w:rPr>
                <w:rFonts w:ascii="Times New Roman" w:hAnsi="Times New Roman"/>
                <w:sz w:val="24"/>
                <w:szCs w:val="24"/>
              </w:rPr>
              <w:t>asikeitus nacionali</w:t>
            </w:r>
            <w:r w:rsidR="009E330C" w:rsidRPr="008D4951">
              <w:rPr>
                <w:rFonts w:ascii="Times New Roman" w:hAnsi="Times New Roman"/>
                <w:sz w:val="24"/>
                <w:szCs w:val="24"/>
              </w:rPr>
              <w:t>nės energetikos strategijos</w:t>
            </w:r>
            <w:r w:rsidR="003F6DB0" w:rsidRPr="0062477B">
              <w:rPr>
                <w:rFonts w:ascii="Times New Roman" w:hAnsi="Times New Roman"/>
                <w:sz w:val="24"/>
                <w:szCs w:val="24"/>
              </w:rPr>
              <w:t xml:space="preserve"> tikslams, gali būti atsisakyta kai kurių priemonių įgyvendinimo.</w:t>
            </w:r>
            <w:r w:rsidR="009E330C" w:rsidRPr="0062477B">
              <w:rPr>
                <w:rFonts w:ascii="Times New Roman" w:hAnsi="Times New Roman"/>
                <w:sz w:val="24"/>
                <w:szCs w:val="24"/>
              </w:rPr>
              <w:t xml:space="preserve"> </w:t>
            </w:r>
            <w:r w:rsidR="00203431" w:rsidRPr="0062477B">
              <w:rPr>
                <w:rFonts w:ascii="Times New Roman" w:hAnsi="Times New Roman"/>
                <w:sz w:val="24"/>
                <w:szCs w:val="24"/>
              </w:rPr>
              <w:t>Minėtos</w:t>
            </w:r>
            <w:r w:rsidRPr="0062477B">
              <w:rPr>
                <w:rFonts w:ascii="Times New Roman" w:hAnsi="Times New Roman"/>
                <w:sz w:val="24"/>
                <w:szCs w:val="24"/>
              </w:rPr>
              <w:t xml:space="preserve"> rizikos galėt</w:t>
            </w:r>
            <w:r w:rsidR="008B6BEE" w:rsidRPr="0062477B">
              <w:rPr>
                <w:rFonts w:ascii="Times New Roman" w:hAnsi="Times New Roman"/>
                <w:sz w:val="24"/>
                <w:szCs w:val="24"/>
              </w:rPr>
              <w:t>ų būti vertinamos kaip mažos</w:t>
            </w:r>
            <w:r w:rsidR="0062477B">
              <w:rPr>
                <w:rFonts w:ascii="Times New Roman" w:hAnsi="Times New Roman"/>
                <w:sz w:val="24"/>
                <w:szCs w:val="24"/>
              </w:rPr>
              <w:t>, o</w:t>
            </w:r>
            <w:r w:rsidR="008B6BEE" w:rsidRPr="0062477B">
              <w:rPr>
                <w:rFonts w:ascii="Times New Roman" w:hAnsi="Times New Roman"/>
                <w:sz w:val="24"/>
                <w:szCs w:val="24"/>
              </w:rPr>
              <w:t xml:space="preserve"> numatyti priemones jų valdymui nėra galimybių.</w:t>
            </w:r>
          </w:p>
          <w:p w:rsidR="00814B1F" w:rsidRDefault="00814B1F" w:rsidP="00CA3067">
            <w:pPr>
              <w:tabs>
                <w:tab w:val="left" w:pos="567"/>
              </w:tabs>
              <w:jc w:val="both"/>
              <w:rPr>
                <w:rFonts w:ascii="Times New Roman" w:hAnsi="Times New Roman"/>
                <w:sz w:val="24"/>
                <w:szCs w:val="24"/>
              </w:rPr>
            </w:pPr>
          </w:p>
          <w:p w:rsidR="007E3EB8" w:rsidRPr="00217DDD" w:rsidRDefault="007E3EB8" w:rsidP="00CA3067">
            <w:pPr>
              <w:tabs>
                <w:tab w:val="left" w:pos="567"/>
              </w:tabs>
              <w:jc w:val="both"/>
              <w:rPr>
                <w:rFonts w:ascii="Times New Roman" w:hAnsi="Times New Roman"/>
                <w:sz w:val="24"/>
                <w:szCs w:val="24"/>
              </w:rPr>
            </w:pPr>
            <w:r w:rsidRPr="00116404">
              <w:rPr>
                <w:rFonts w:ascii="Times New Roman" w:hAnsi="Times New Roman"/>
                <w:sz w:val="24"/>
                <w:szCs w:val="24"/>
              </w:rPr>
              <w:t xml:space="preserve">Yra planuojamas elektros ir dujų skirstomuosius tinklus valdančių bendrovių – </w:t>
            </w:r>
            <w:r w:rsidR="00E55EB5" w:rsidRPr="00116404">
              <w:rPr>
                <w:rFonts w:ascii="Times New Roman" w:hAnsi="Times New Roman"/>
                <w:sz w:val="24"/>
                <w:szCs w:val="24"/>
              </w:rPr>
              <w:t xml:space="preserve">AB </w:t>
            </w:r>
            <w:r w:rsidRPr="00116404">
              <w:rPr>
                <w:rFonts w:ascii="Times New Roman" w:hAnsi="Times New Roman"/>
                <w:sz w:val="24"/>
                <w:szCs w:val="24"/>
              </w:rPr>
              <w:t xml:space="preserve">LESTO ir </w:t>
            </w:r>
            <w:r w:rsidR="00E55EB5" w:rsidRPr="00116404">
              <w:rPr>
                <w:rFonts w:ascii="Times New Roman" w:hAnsi="Times New Roman"/>
                <w:sz w:val="24"/>
                <w:szCs w:val="24"/>
              </w:rPr>
              <w:t xml:space="preserve">AB </w:t>
            </w:r>
            <w:r w:rsidRPr="00116404">
              <w:rPr>
                <w:rFonts w:ascii="Times New Roman" w:hAnsi="Times New Roman"/>
                <w:sz w:val="24"/>
                <w:szCs w:val="24"/>
              </w:rPr>
              <w:t>„Lietuvos dujos“ sujungimas į bendrą skirstymo tinklų įmonę viena svarbiausių krypčių „Lietuvos energij</w:t>
            </w:r>
            <w:r w:rsidR="00E55EB5" w:rsidRPr="00116404">
              <w:rPr>
                <w:rFonts w:ascii="Times New Roman" w:hAnsi="Times New Roman"/>
                <w:sz w:val="24"/>
                <w:szCs w:val="24"/>
              </w:rPr>
              <w:t>a</w:t>
            </w:r>
            <w:r w:rsidRPr="00116404">
              <w:rPr>
                <w:rFonts w:ascii="Times New Roman" w:hAnsi="Times New Roman"/>
                <w:sz w:val="24"/>
                <w:szCs w:val="24"/>
              </w:rPr>
              <w:t>“</w:t>
            </w:r>
            <w:r w:rsidR="00E55EB5" w:rsidRPr="00116404">
              <w:rPr>
                <w:rFonts w:ascii="Times New Roman" w:hAnsi="Times New Roman"/>
                <w:sz w:val="24"/>
                <w:szCs w:val="24"/>
              </w:rPr>
              <w:t>, UAB</w:t>
            </w:r>
            <w:r w:rsidRPr="00116404">
              <w:rPr>
                <w:rFonts w:ascii="Times New Roman" w:hAnsi="Times New Roman"/>
                <w:sz w:val="24"/>
                <w:szCs w:val="24"/>
              </w:rPr>
              <w:t xml:space="preserve"> įmonių vertės išgryninimo ir veiklos efektyvumo didinimo programos koncepcijoje, kurią patvirtino „Lietuvos energij</w:t>
            </w:r>
            <w:r w:rsidR="00E55EB5" w:rsidRPr="00116404">
              <w:rPr>
                <w:rFonts w:ascii="Times New Roman" w:hAnsi="Times New Roman"/>
                <w:sz w:val="24"/>
                <w:szCs w:val="24"/>
              </w:rPr>
              <w:t>a</w:t>
            </w:r>
            <w:r w:rsidRPr="00116404">
              <w:rPr>
                <w:rFonts w:ascii="Times New Roman" w:hAnsi="Times New Roman"/>
                <w:sz w:val="24"/>
                <w:szCs w:val="24"/>
              </w:rPr>
              <w:t>“</w:t>
            </w:r>
            <w:r w:rsidR="00E55EB5" w:rsidRPr="00116404">
              <w:rPr>
                <w:rFonts w:ascii="Times New Roman" w:hAnsi="Times New Roman"/>
                <w:sz w:val="24"/>
                <w:szCs w:val="24"/>
              </w:rPr>
              <w:t>, UAB</w:t>
            </w:r>
            <w:r w:rsidRPr="00116404">
              <w:rPr>
                <w:rFonts w:ascii="Times New Roman" w:hAnsi="Times New Roman"/>
                <w:sz w:val="24"/>
                <w:szCs w:val="24"/>
              </w:rPr>
              <w:t xml:space="preserve"> valdyba. </w:t>
            </w:r>
            <w:r w:rsidR="00321B9A" w:rsidRPr="00116404">
              <w:rPr>
                <w:rFonts w:ascii="Times New Roman" w:hAnsi="Times New Roman"/>
                <w:sz w:val="24"/>
                <w:szCs w:val="24"/>
              </w:rPr>
              <w:t>Įvykus įmonių susijungimui, gali keistis galim</w:t>
            </w:r>
            <w:r w:rsidR="003D3B4F" w:rsidRPr="00116404">
              <w:rPr>
                <w:rFonts w:ascii="Times New Roman" w:hAnsi="Times New Roman"/>
                <w:sz w:val="24"/>
                <w:szCs w:val="24"/>
              </w:rPr>
              <w:t>ų</w:t>
            </w:r>
            <w:r w:rsidR="00321B9A" w:rsidRPr="00116404">
              <w:rPr>
                <w:rFonts w:ascii="Times New Roman" w:hAnsi="Times New Roman"/>
                <w:sz w:val="24"/>
                <w:szCs w:val="24"/>
              </w:rPr>
              <w:t xml:space="preserve"> pareiškėj</w:t>
            </w:r>
            <w:r w:rsidR="003D3B4F" w:rsidRPr="00116404">
              <w:rPr>
                <w:rFonts w:ascii="Times New Roman" w:hAnsi="Times New Roman"/>
                <w:sz w:val="24"/>
                <w:szCs w:val="24"/>
              </w:rPr>
              <w:t>ų</w:t>
            </w:r>
            <w:r w:rsidR="00321B9A" w:rsidRPr="00116404">
              <w:rPr>
                <w:rFonts w:ascii="Times New Roman" w:hAnsi="Times New Roman"/>
                <w:sz w:val="24"/>
                <w:szCs w:val="24"/>
              </w:rPr>
              <w:t xml:space="preserve"> </w:t>
            </w:r>
            <w:r w:rsidR="003D3B4F" w:rsidRPr="00116404">
              <w:rPr>
                <w:rFonts w:ascii="Times New Roman" w:hAnsi="Times New Roman"/>
                <w:sz w:val="24"/>
                <w:szCs w:val="24"/>
              </w:rPr>
              <w:t xml:space="preserve">pavadinimai </w:t>
            </w:r>
            <w:r w:rsidR="00321B9A" w:rsidRPr="00116404">
              <w:rPr>
                <w:rFonts w:ascii="Times New Roman" w:hAnsi="Times New Roman"/>
                <w:sz w:val="24"/>
                <w:szCs w:val="24"/>
              </w:rPr>
              <w:t xml:space="preserve">ir kiti </w:t>
            </w:r>
            <w:r w:rsidR="003D3B4F" w:rsidRPr="00116404">
              <w:rPr>
                <w:rFonts w:ascii="Times New Roman" w:hAnsi="Times New Roman"/>
                <w:sz w:val="24"/>
                <w:szCs w:val="24"/>
              </w:rPr>
              <w:t>rekvizitai</w:t>
            </w:r>
            <w:r w:rsidR="00321B9A" w:rsidRPr="00116404">
              <w:rPr>
                <w:rFonts w:ascii="Times New Roman" w:hAnsi="Times New Roman"/>
                <w:sz w:val="24"/>
                <w:szCs w:val="24"/>
              </w:rPr>
              <w:t>.</w:t>
            </w:r>
            <w:r w:rsidR="003D3B4F">
              <w:rPr>
                <w:rFonts w:ascii="Times New Roman" w:hAnsi="Times New Roman"/>
                <w:sz w:val="24"/>
                <w:szCs w:val="24"/>
              </w:rPr>
              <w:t xml:space="preserve"> Su šiais pasikeitimai susijusios</w:t>
            </w:r>
            <w:r w:rsidR="003D3B4F" w:rsidRPr="008D4951">
              <w:rPr>
                <w:rFonts w:ascii="Times New Roman" w:hAnsi="Times New Roman"/>
                <w:sz w:val="24"/>
                <w:szCs w:val="24"/>
              </w:rPr>
              <w:t xml:space="preserve"> rizik</w:t>
            </w:r>
            <w:r w:rsidR="003D3B4F">
              <w:rPr>
                <w:rFonts w:ascii="Times New Roman" w:hAnsi="Times New Roman"/>
                <w:sz w:val="24"/>
                <w:szCs w:val="24"/>
              </w:rPr>
              <w:t>os</w:t>
            </w:r>
            <w:r w:rsidR="003D3B4F" w:rsidRPr="008D4951">
              <w:rPr>
                <w:rFonts w:ascii="Times New Roman" w:hAnsi="Times New Roman"/>
                <w:sz w:val="24"/>
                <w:szCs w:val="24"/>
              </w:rPr>
              <w:t xml:space="preserve"> vertinam</w:t>
            </w:r>
            <w:r w:rsidR="003D3B4F">
              <w:rPr>
                <w:rFonts w:ascii="Times New Roman" w:hAnsi="Times New Roman"/>
                <w:sz w:val="24"/>
                <w:szCs w:val="24"/>
              </w:rPr>
              <w:t>os</w:t>
            </w:r>
            <w:r w:rsidR="003D3B4F" w:rsidRPr="008D4951">
              <w:rPr>
                <w:rFonts w:ascii="Times New Roman" w:hAnsi="Times New Roman"/>
                <w:sz w:val="24"/>
                <w:szCs w:val="24"/>
              </w:rPr>
              <w:t xml:space="preserve"> kaip </w:t>
            </w:r>
            <w:r w:rsidR="003D3B4F">
              <w:rPr>
                <w:rFonts w:ascii="Times New Roman" w:hAnsi="Times New Roman"/>
                <w:sz w:val="24"/>
                <w:szCs w:val="24"/>
              </w:rPr>
              <w:t xml:space="preserve">labai </w:t>
            </w:r>
            <w:r w:rsidR="003D3B4F" w:rsidRPr="008D4951">
              <w:rPr>
                <w:rFonts w:ascii="Times New Roman" w:hAnsi="Times New Roman"/>
                <w:sz w:val="24"/>
                <w:szCs w:val="24"/>
              </w:rPr>
              <w:t>maž</w:t>
            </w:r>
            <w:r w:rsidR="003D3B4F">
              <w:rPr>
                <w:rFonts w:ascii="Times New Roman" w:hAnsi="Times New Roman"/>
                <w:sz w:val="24"/>
                <w:szCs w:val="24"/>
              </w:rPr>
              <w:t>os</w:t>
            </w:r>
            <w:r w:rsidR="003D3B4F" w:rsidRPr="008D4951">
              <w:rPr>
                <w:rFonts w:ascii="Times New Roman" w:hAnsi="Times New Roman"/>
                <w:sz w:val="24"/>
                <w:szCs w:val="24"/>
              </w:rPr>
              <w:t>.</w:t>
            </w:r>
          </w:p>
          <w:p w:rsidR="00023457" w:rsidRPr="008D4951" w:rsidRDefault="00023457" w:rsidP="00CA3067">
            <w:pPr>
              <w:tabs>
                <w:tab w:val="left" w:pos="567"/>
              </w:tabs>
              <w:jc w:val="both"/>
              <w:rPr>
                <w:rFonts w:ascii="Times New Roman" w:hAnsi="Times New Roman"/>
                <w:sz w:val="24"/>
                <w:szCs w:val="24"/>
              </w:rPr>
            </w:pPr>
          </w:p>
          <w:p w:rsidR="00312D27" w:rsidRPr="008D4951" w:rsidRDefault="003573C2" w:rsidP="00CA3067">
            <w:pPr>
              <w:tabs>
                <w:tab w:val="left" w:pos="567"/>
              </w:tabs>
              <w:jc w:val="both"/>
              <w:rPr>
                <w:rFonts w:ascii="Times New Roman" w:hAnsi="Times New Roman"/>
                <w:sz w:val="24"/>
                <w:szCs w:val="24"/>
              </w:rPr>
            </w:pPr>
            <w:r w:rsidRPr="008D4951">
              <w:rPr>
                <w:rFonts w:ascii="Times New Roman" w:hAnsi="Times New Roman"/>
                <w:sz w:val="24"/>
                <w:szCs w:val="24"/>
              </w:rPr>
              <w:t xml:space="preserve">Viešųjų pirkimų procedūrų taikymas gali </w:t>
            </w:r>
            <w:r w:rsidR="00490177" w:rsidRPr="008D4951">
              <w:rPr>
                <w:rFonts w:ascii="Times New Roman" w:hAnsi="Times New Roman"/>
                <w:sz w:val="24"/>
                <w:szCs w:val="24"/>
              </w:rPr>
              <w:t>atidėti</w:t>
            </w:r>
            <w:r w:rsidRPr="0062477B">
              <w:rPr>
                <w:rFonts w:ascii="Times New Roman" w:hAnsi="Times New Roman"/>
                <w:sz w:val="24"/>
                <w:szCs w:val="24"/>
              </w:rPr>
              <w:t xml:space="preserve"> </w:t>
            </w:r>
            <w:r w:rsidR="00232E76" w:rsidRPr="0062477B">
              <w:rPr>
                <w:rFonts w:ascii="Times New Roman" w:hAnsi="Times New Roman"/>
                <w:sz w:val="24"/>
                <w:szCs w:val="24"/>
              </w:rPr>
              <w:t>priemonės veiklų</w:t>
            </w:r>
            <w:r w:rsidRPr="0062477B">
              <w:rPr>
                <w:rFonts w:ascii="Times New Roman" w:hAnsi="Times New Roman"/>
                <w:sz w:val="24"/>
                <w:szCs w:val="24"/>
              </w:rPr>
              <w:t xml:space="preserve"> įgyvendinimo terminus</w:t>
            </w:r>
            <w:r w:rsidR="0062477B">
              <w:rPr>
                <w:rFonts w:ascii="Times New Roman" w:hAnsi="Times New Roman"/>
                <w:sz w:val="24"/>
                <w:szCs w:val="24"/>
              </w:rPr>
              <w:t>. Ši</w:t>
            </w:r>
            <w:r w:rsidR="00A03824" w:rsidRPr="0062477B">
              <w:rPr>
                <w:rFonts w:ascii="Times New Roman" w:hAnsi="Times New Roman"/>
                <w:sz w:val="24"/>
                <w:szCs w:val="24"/>
              </w:rPr>
              <w:t xml:space="preserve"> rizika vertinama kaip vidutinė</w:t>
            </w:r>
            <w:r w:rsidRPr="0062477B">
              <w:rPr>
                <w:rFonts w:ascii="Times New Roman" w:hAnsi="Times New Roman"/>
                <w:sz w:val="24"/>
                <w:szCs w:val="24"/>
              </w:rPr>
              <w:t xml:space="preserve">. </w:t>
            </w:r>
            <w:r w:rsidR="00312D27" w:rsidRPr="0062477B">
              <w:rPr>
                <w:rFonts w:ascii="Times New Roman" w:hAnsi="Times New Roman"/>
                <w:sz w:val="24"/>
                <w:szCs w:val="24"/>
              </w:rPr>
              <w:t xml:space="preserve">Siekiant užtikrinti tinkamą projektų </w:t>
            </w:r>
            <w:proofErr w:type="spellStart"/>
            <w:r w:rsidR="00312D27" w:rsidRPr="0062477B">
              <w:rPr>
                <w:rFonts w:ascii="Times New Roman" w:hAnsi="Times New Roman"/>
                <w:sz w:val="24"/>
                <w:szCs w:val="24"/>
              </w:rPr>
              <w:t>parengtumą</w:t>
            </w:r>
            <w:proofErr w:type="spellEnd"/>
            <w:r w:rsidR="00312D27" w:rsidRPr="0062477B">
              <w:rPr>
                <w:rFonts w:ascii="Times New Roman" w:hAnsi="Times New Roman"/>
                <w:sz w:val="24"/>
                <w:szCs w:val="24"/>
              </w:rPr>
              <w:t xml:space="preserve">, </w:t>
            </w:r>
            <w:r w:rsidR="00A71785" w:rsidRPr="0062477B">
              <w:rPr>
                <w:rFonts w:ascii="Times New Roman" w:hAnsi="Times New Roman"/>
                <w:sz w:val="24"/>
                <w:szCs w:val="24"/>
              </w:rPr>
              <w:t xml:space="preserve">bus </w:t>
            </w:r>
            <w:r w:rsidR="006A7D1C" w:rsidRPr="0062477B">
              <w:rPr>
                <w:rFonts w:ascii="Times New Roman" w:hAnsi="Times New Roman"/>
                <w:sz w:val="24"/>
                <w:szCs w:val="24"/>
              </w:rPr>
              <w:t xml:space="preserve">iš anksto </w:t>
            </w:r>
            <w:r w:rsidR="00A71785" w:rsidRPr="00217DDD">
              <w:rPr>
                <w:rFonts w:ascii="Times New Roman" w:hAnsi="Times New Roman"/>
                <w:sz w:val="24"/>
                <w:szCs w:val="24"/>
              </w:rPr>
              <w:t xml:space="preserve">sudarytas </w:t>
            </w:r>
            <w:r w:rsidR="008D0D0A" w:rsidRPr="00217DDD">
              <w:rPr>
                <w:rFonts w:ascii="Times New Roman" w:hAnsi="Times New Roman"/>
                <w:sz w:val="24"/>
                <w:szCs w:val="24"/>
              </w:rPr>
              <w:t xml:space="preserve">paraiškų teikimo </w:t>
            </w:r>
            <w:r w:rsidR="001A6F7F" w:rsidRPr="008D4951">
              <w:rPr>
                <w:rFonts w:ascii="Times New Roman" w:hAnsi="Times New Roman"/>
                <w:sz w:val="24"/>
                <w:szCs w:val="24"/>
              </w:rPr>
              <w:t>grafik</w:t>
            </w:r>
            <w:r w:rsidR="00E944D5">
              <w:rPr>
                <w:rFonts w:ascii="Times New Roman" w:hAnsi="Times New Roman"/>
                <w:sz w:val="24"/>
                <w:szCs w:val="24"/>
              </w:rPr>
              <w:t>as</w:t>
            </w:r>
            <w:r w:rsidR="001A6F7F" w:rsidRPr="008D4951">
              <w:rPr>
                <w:rFonts w:ascii="Times New Roman" w:hAnsi="Times New Roman"/>
                <w:sz w:val="24"/>
                <w:szCs w:val="24"/>
              </w:rPr>
              <w:t>.</w:t>
            </w:r>
            <w:r w:rsidR="00312D27" w:rsidRPr="008D4951">
              <w:rPr>
                <w:rFonts w:ascii="Times New Roman" w:hAnsi="Times New Roman"/>
                <w:sz w:val="24"/>
                <w:szCs w:val="24"/>
              </w:rPr>
              <w:t xml:space="preserve"> </w:t>
            </w:r>
          </w:p>
          <w:p w:rsidR="0077422F" w:rsidRPr="008D4951" w:rsidRDefault="0077422F" w:rsidP="00CA3067">
            <w:pPr>
              <w:tabs>
                <w:tab w:val="left" w:pos="567"/>
              </w:tabs>
              <w:jc w:val="both"/>
              <w:rPr>
                <w:rFonts w:ascii="Times New Roman" w:hAnsi="Times New Roman"/>
                <w:sz w:val="24"/>
                <w:szCs w:val="24"/>
              </w:rPr>
            </w:pPr>
          </w:p>
          <w:p w:rsidR="00312D27" w:rsidRPr="00692B22" w:rsidRDefault="006C2862" w:rsidP="00CA3067">
            <w:pPr>
              <w:tabs>
                <w:tab w:val="left" w:pos="567"/>
              </w:tabs>
              <w:jc w:val="both"/>
              <w:rPr>
                <w:rFonts w:ascii="Times New Roman" w:hAnsi="Times New Roman"/>
                <w:sz w:val="24"/>
                <w:szCs w:val="24"/>
              </w:rPr>
            </w:pPr>
            <w:r w:rsidRPr="008D4951">
              <w:rPr>
                <w:rFonts w:ascii="Times New Roman" w:hAnsi="Times New Roman"/>
                <w:sz w:val="24"/>
                <w:szCs w:val="24"/>
              </w:rPr>
              <w:t xml:space="preserve">Priemonės veiklų įgyvendinimą gali </w:t>
            </w:r>
            <w:r w:rsidR="00692B22">
              <w:rPr>
                <w:rFonts w:ascii="Times New Roman" w:hAnsi="Times New Roman"/>
                <w:sz w:val="24"/>
                <w:szCs w:val="24"/>
              </w:rPr>
              <w:t>veikti</w:t>
            </w:r>
            <w:r w:rsidRPr="008D4951">
              <w:rPr>
                <w:rFonts w:ascii="Times New Roman" w:hAnsi="Times New Roman"/>
                <w:sz w:val="24"/>
                <w:szCs w:val="24"/>
              </w:rPr>
              <w:t xml:space="preserve"> sezoniškumas (t.</w:t>
            </w:r>
            <w:r w:rsidR="0062477B" w:rsidRPr="008D4951">
              <w:rPr>
                <w:rFonts w:ascii="Times New Roman" w:hAnsi="Times New Roman"/>
                <w:sz w:val="24"/>
                <w:szCs w:val="24"/>
              </w:rPr>
              <w:t xml:space="preserve"> </w:t>
            </w:r>
            <w:r w:rsidRPr="008D4951">
              <w:rPr>
                <w:rFonts w:ascii="Times New Roman" w:hAnsi="Times New Roman"/>
                <w:sz w:val="24"/>
                <w:szCs w:val="24"/>
              </w:rPr>
              <w:t>y. netinkamos gamtinės sąlygos lauko darbams)</w:t>
            </w:r>
            <w:r w:rsidR="0062477B" w:rsidRPr="008D4951">
              <w:rPr>
                <w:rFonts w:ascii="Times New Roman" w:hAnsi="Times New Roman"/>
                <w:sz w:val="24"/>
                <w:szCs w:val="24"/>
              </w:rPr>
              <w:t>. Ši</w:t>
            </w:r>
            <w:r w:rsidRPr="008D4951">
              <w:rPr>
                <w:rFonts w:ascii="Times New Roman" w:hAnsi="Times New Roman"/>
                <w:sz w:val="24"/>
                <w:szCs w:val="24"/>
              </w:rPr>
              <w:t xml:space="preserve"> rizika vertinama kaip maža. Atsižvelgiant į šios priemonės veiklas, paraiškų teikimo data bus numatoma </w:t>
            </w:r>
            <w:r w:rsidR="00595942">
              <w:rPr>
                <w:rFonts w:ascii="Times New Roman" w:hAnsi="Times New Roman"/>
                <w:sz w:val="24"/>
                <w:szCs w:val="24"/>
              </w:rPr>
              <w:t>tam tikru</w:t>
            </w:r>
            <w:r w:rsidR="00595942">
              <w:rPr>
                <w:rFonts w:ascii="Times New Roman" w:hAnsi="Times New Roman"/>
                <w:color w:val="FF0000"/>
                <w:sz w:val="24"/>
                <w:szCs w:val="24"/>
              </w:rPr>
              <w:t xml:space="preserve"> </w:t>
            </w:r>
            <w:r w:rsidR="000D385F" w:rsidRPr="00692B22">
              <w:rPr>
                <w:rFonts w:ascii="Times New Roman" w:hAnsi="Times New Roman"/>
                <w:sz w:val="24"/>
                <w:szCs w:val="24"/>
              </w:rPr>
              <w:t>metų</w:t>
            </w:r>
            <w:r w:rsidR="00F87A69" w:rsidRPr="00692B22">
              <w:rPr>
                <w:rFonts w:ascii="Times New Roman" w:hAnsi="Times New Roman"/>
                <w:sz w:val="24"/>
                <w:szCs w:val="24"/>
              </w:rPr>
              <w:t xml:space="preserve"> </w:t>
            </w:r>
            <w:r w:rsidR="000D385F" w:rsidRPr="00692B22">
              <w:rPr>
                <w:rFonts w:ascii="Times New Roman" w:hAnsi="Times New Roman"/>
                <w:sz w:val="24"/>
                <w:szCs w:val="24"/>
              </w:rPr>
              <w:t>laiku</w:t>
            </w:r>
            <w:r w:rsidRPr="00692B22">
              <w:rPr>
                <w:rFonts w:ascii="Times New Roman" w:hAnsi="Times New Roman"/>
                <w:sz w:val="24"/>
                <w:szCs w:val="24"/>
              </w:rPr>
              <w:t xml:space="preserve">, kad </w:t>
            </w:r>
            <w:r w:rsidRPr="008D4951">
              <w:rPr>
                <w:rFonts w:ascii="Times New Roman" w:hAnsi="Times New Roman"/>
                <w:sz w:val="24"/>
                <w:szCs w:val="24"/>
              </w:rPr>
              <w:t xml:space="preserve">visos finansavimo suteikimo procedūros pasibaigtų iki </w:t>
            </w:r>
            <w:r w:rsidR="00F87A69" w:rsidRPr="00692B22">
              <w:rPr>
                <w:rFonts w:ascii="Times New Roman" w:hAnsi="Times New Roman"/>
                <w:sz w:val="24"/>
                <w:szCs w:val="24"/>
              </w:rPr>
              <w:t xml:space="preserve">sezoninių darbų </w:t>
            </w:r>
            <w:r w:rsidRPr="00692B22">
              <w:rPr>
                <w:rFonts w:ascii="Times New Roman" w:hAnsi="Times New Roman"/>
                <w:sz w:val="24"/>
                <w:szCs w:val="24"/>
              </w:rPr>
              <w:t>pradžios</w:t>
            </w:r>
            <w:r w:rsidR="00F87A69" w:rsidRPr="00692B22">
              <w:rPr>
                <w:rFonts w:ascii="Times New Roman" w:hAnsi="Times New Roman"/>
                <w:sz w:val="24"/>
                <w:szCs w:val="24"/>
              </w:rPr>
              <w:t>.</w:t>
            </w:r>
          </w:p>
          <w:p w:rsidR="00501201" w:rsidRPr="00217DDD" w:rsidRDefault="00501201" w:rsidP="00CA3067">
            <w:pPr>
              <w:tabs>
                <w:tab w:val="left" w:pos="567"/>
              </w:tabs>
              <w:jc w:val="both"/>
              <w:rPr>
                <w:rFonts w:ascii="Times New Roman" w:hAnsi="Times New Roman"/>
                <w:sz w:val="24"/>
                <w:szCs w:val="24"/>
              </w:rPr>
            </w:pPr>
          </w:p>
          <w:p w:rsidR="00675E3D" w:rsidRPr="0062477B" w:rsidRDefault="00F176D1" w:rsidP="00CA3067">
            <w:pPr>
              <w:pStyle w:val="CommentText"/>
              <w:spacing w:after="200"/>
              <w:jc w:val="both"/>
              <w:rPr>
                <w:rFonts w:ascii="Times New Roman" w:hAnsi="Times New Roman"/>
                <w:sz w:val="24"/>
                <w:szCs w:val="24"/>
              </w:rPr>
            </w:pPr>
            <w:r w:rsidRPr="009A6F13">
              <w:rPr>
                <w:rFonts w:ascii="Times New Roman" w:hAnsi="Times New Roman"/>
                <w:sz w:val="24"/>
                <w:szCs w:val="24"/>
              </w:rPr>
              <w:t xml:space="preserve">Priemonės įgyvendinimą </w:t>
            </w:r>
            <w:r w:rsidR="004D66FC" w:rsidRPr="009A6F13">
              <w:rPr>
                <w:rFonts w:ascii="Times New Roman" w:hAnsi="Times New Roman"/>
                <w:sz w:val="24"/>
                <w:szCs w:val="24"/>
              </w:rPr>
              <w:t xml:space="preserve">gali </w:t>
            </w:r>
            <w:r w:rsidR="00692B22" w:rsidRPr="009A6F13">
              <w:rPr>
                <w:rFonts w:ascii="Times New Roman" w:hAnsi="Times New Roman"/>
                <w:sz w:val="24"/>
                <w:szCs w:val="24"/>
              </w:rPr>
              <w:t>turėti įtaką</w:t>
            </w:r>
            <w:r w:rsidRPr="009A6F13">
              <w:rPr>
                <w:rFonts w:ascii="Times New Roman" w:hAnsi="Times New Roman"/>
                <w:sz w:val="24"/>
                <w:szCs w:val="24"/>
              </w:rPr>
              <w:t xml:space="preserve"> darbų rangovų pajėgumų trūkumas</w:t>
            </w:r>
            <w:r w:rsidR="004D66FC" w:rsidRPr="009A6F13">
              <w:rPr>
                <w:rFonts w:ascii="Times New Roman" w:hAnsi="Times New Roman"/>
                <w:sz w:val="24"/>
                <w:szCs w:val="24"/>
              </w:rPr>
              <w:t>. Ši</w:t>
            </w:r>
            <w:r w:rsidR="00F15A14" w:rsidRPr="009A6F13">
              <w:rPr>
                <w:rFonts w:ascii="Times New Roman" w:hAnsi="Times New Roman"/>
                <w:sz w:val="24"/>
                <w:szCs w:val="24"/>
              </w:rPr>
              <w:t xml:space="preserve"> rizika vertinama kaip maža. </w:t>
            </w:r>
            <w:r w:rsidR="001660DD" w:rsidRPr="009A6F13">
              <w:rPr>
                <w:rFonts w:ascii="Times New Roman" w:hAnsi="Times New Roman"/>
                <w:sz w:val="24"/>
                <w:szCs w:val="24"/>
              </w:rPr>
              <w:t xml:space="preserve">Siekiant </w:t>
            </w:r>
            <w:r w:rsidR="000C7748" w:rsidRPr="009A6F13">
              <w:rPr>
                <w:rFonts w:ascii="Times New Roman" w:hAnsi="Times New Roman"/>
                <w:sz w:val="24"/>
                <w:szCs w:val="24"/>
              </w:rPr>
              <w:t>išvengti</w:t>
            </w:r>
            <w:r w:rsidR="001660DD" w:rsidRPr="009A6F13">
              <w:rPr>
                <w:rFonts w:ascii="Times New Roman" w:hAnsi="Times New Roman"/>
                <w:sz w:val="24"/>
                <w:szCs w:val="24"/>
              </w:rPr>
              <w:t xml:space="preserve"> šio</w:t>
            </w:r>
            <w:r w:rsidR="000C7748" w:rsidRPr="009A6F13">
              <w:rPr>
                <w:rFonts w:ascii="Times New Roman" w:hAnsi="Times New Roman"/>
                <w:sz w:val="24"/>
                <w:szCs w:val="24"/>
              </w:rPr>
              <w:t>s</w:t>
            </w:r>
            <w:r w:rsidR="001660DD" w:rsidRPr="009A6F13">
              <w:rPr>
                <w:rFonts w:ascii="Times New Roman" w:hAnsi="Times New Roman"/>
                <w:sz w:val="24"/>
                <w:szCs w:val="24"/>
              </w:rPr>
              <w:t xml:space="preserve"> rizikos iš anksto </w:t>
            </w:r>
            <w:r w:rsidR="00177241" w:rsidRPr="009A6F13">
              <w:rPr>
                <w:rFonts w:ascii="Times New Roman" w:hAnsi="Times New Roman"/>
                <w:sz w:val="24"/>
                <w:szCs w:val="24"/>
              </w:rPr>
              <w:t xml:space="preserve">bus </w:t>
            </w:r>
            <w:r w:rsidR="001660DD" w:rsidRPr="009A6F13">
              <w:rPr>
                <w:rFonts w:ascii="Times New Roman" w:hAnsi="Times New Roman"/>
                <w:sz w:val="24"/>
                <w:szCs w:val="24"/>
              </w:rPr>
              <w:t>numatyt</w:t>
            </w:r>
            <w:r w:rsidR="00177241" w:rsidRPr="009A6F13">
              <w:rPr>
                <w:rFonts w:ascii="Times New Roman" w:hAnsi="Times New Roman"/>
                <w:sz w:val="24"/>
                <w:szCs w:val="24"/>
              </w:rPr>
              <w:t>as</w:t>
            </w:r>
            <w:r w:rsidR="001660DD" w:rsidRPr="009A6F13">
              <w:rPr>
                <w:rFonts w:ascii="Times New Roman" w:hAnsi="Times New Roman"/>
                <w:sz w:val="24"/>
                <w:szCs w:val="24"/>
              </w:rPr>
              <w:t xml:space="preserve"> priemonės veiklų įgyvendinimo grafik</w:t>
            </w:r>
            <w:r w:rsidR="00177241" w:rsidRPr="009A6F13">
              <w:rPr>
                <w:rFonts w:ascii="Times New Roman" w:hAnsi="Times New Roman"/>
                <w:sz w:val="24"/>
                <w:szCs w:val="24"/>
              </w:rPr>
              <w:t>as</w:t>
            </w:r>
            <w:r w:rsidR="001660DD" w:rsidRPr="009A6F13">
              <w:rPr>
                <w:rFonts w:ascii="Times New Roman" w:hAnsi="Times New Roman"/>
                <w:sz w:val="24"/>
                <w:szCs w:val="24"/>
              </w:rPr>
              <w:t>.</w:t>
            </w:r>
          </w:p>
          <w:p w:rsidR="00184469" w:rsidRPr="0062477B" w:rsidRDefault="00163A95" w:rsidP="001E1E7E">
            <w:pPr>
              <w:pStyle w:val="CommentText"/>
              <w:spacing w:after="200"/>
              <w:jc w:val="both"/>
              <w:rPr>
                <w:rFonts w:ascii="Times New Roman" w:hAnsi="Times New Roman"/>
                <w:sz w:val="24"/>
                <w:szCs w:val="24"/>
              </w:rPr>
            </w:pPr>
            <w:r w:rsidRPr="009A6F13">
              <w:rPr>
                <w:rFonts w:ascii="Times New Roman" w:hAnsi="Times New Roman"/>
                <w:sz w:val="24"/>
                <w:szCs w:val="24"/>
              </w:rPr>
              <w:t>Taip pat, kaip m</w:t>
            </w:r>
            <w:r w:rsidR="00CA7FBB" w:rsidRPr="009A6F13">
              <w:rPr>
                <w:rFonts w:ascii="Times New Roman" w:hAnsi="Times New Roman"/>
                <w:sz w:val="24"/>
                <w:szCs w:val="24"/>
              </w:rPr>
              <w:t>aža rizika, yra vertinam</w:t>
            </w:r>
            <w:r w:rsidR="003E0184" w:rsidRPr="009A6F13">
              <w:rPr>
                <w:rFonts w:ascii="Times New Roman" w:hAnsi="Times New Roman"/>
                <w:sz w:val="24"/>
                <w:szCs w:val="24"/>
              </w:rPr>
              <w:t>as</w:t>
            </w:r>
            <w:r w:rsidRPr="009A6F13">
              <w:rPr>
                <w:rFonts w:ascii="Times New Roman" w:hAnsi="Times New Roman"/>
                <w:sz w:val="24"/>
                <w:szCs w:val="24"/>
              </w:rPr>
              <w:t xml:space="preserve"> projektų vykdytojų </w:t>
            </w:r>
            <w:r w:rsidR="00CA7FBB" w:rsidRPr="009A6F13">
              <w:rPr>
                <w:rFonts w:ascii="Times New Roman" w:hAnsi="Times New Roman"/>
                <w:sz w:val="24"/>
                <w:szCs w:val="24"/>
              </w:rPr>
              <w:t xml:space="preserve"> administracini</w:t>
            </w:r>
            <w:r w:rsidR="003E0184" w:rsidRPr="009A6F13">
              <w:rPr>
                <w:rFonts w:ascii="Times New Roman" w:hAnsi="Times New Roman"/>
                <w:sz w:val="24"/>
                <w:szCs w:val="24"/>
              </w:rPr>
              <w:t>ų</w:t>
            </w:r>
            <w:r w:rsidR="00CA7FBB" w:rsidRPr="009A6F13">
              <w:rPr>
                <w:rFonts w:ascii="Times New Roman" w:hAnsi="Times New Roman"/>
                <w:sz w:val="24"/>
                <w:szCs w:val="24"/>
              </w:rPr>
              <w:t xml:space="preserve"> pajėgumų trūkumas</w:t>
            </w:r>
            <w:r w:rsidRPr="009A6F13">
              <w:rPr>
                <w:rFonts w:ascii="Times New Roman" w:hAnsi="Times New Roman"/>
                <w:sz w:val="24"/>
                <w:szCs w:val="24"/>
              </w:rPr>
              <w:t>.</w:t>
            </w:r>
            <w:r w:rsidR="00C41924" w:rsidRPr="009A6F13">
              <w:rPr>
                <w:rFonts w:ascii="Times New Roman" w:hAnsi="Times New Roman"/>
                <w:sz w:val="24"/>
                <w:szCs w:val="24"/>
              </w:rPr>
              <w:t xml:space="preserve"> </w:t>
            </w:r>
            <w:r w:rsidR="009F4532" w:rsidRPr="009A6F13">
              <w:rPr>
                <w:rFonts w:ascii="Times New Roman" w:hAnsi="Times New Roman"/>
                <w:sz w:val="24"/>
                <w:szCs w:val="24"/>
              </w:rPr>
              <w:t>Suplanuota p</w:t>
            </w:r>
            <w:r w:rsidR="00B221B4" w:rsidRPr="009A6F13">
              <w:rPr>
                <w:rFonts w:ascii="Times New Roman" w:hAnsi="Times New Roman"/>
                <w:sz w:val="24"/>
                <w:szCs w:val="24"/>
              </w:rPr>
              <w:t xml:space="preserve">riemonė </w:t>
            </w:r>
            <w:r w:rsidR="0062477B" w:rsidRPr="009A6F13">
              <w:rPr>
                <w:rFonts w:ascii="Times New Roman" w:hAnsi="Times New Roman"/>
                <w:sz w:val="24"/>
                <w:szCs w:val="24"/>
              </w:rPr>
              <w:t xml:space="preserve">- </w:t>
            </w:r>
            <w:r w:rsidR="00C47AE8" w:rsidRPr="009A6F13">
              <w:rPr>
                <w:rFonts w:ascii="Times New Roman" w:hAnsi="Times New Roman"/>
                <w:sz w:val="24"/>
                <w:szCs w:val="24"/>
              </w:rPr>
              <w:t>įgyvendinančio</w:t>
            </w:r>
            <w:r w:rsidR="003C144D" w:rsidRPr="009A6F13">
              <w:rPr>
                <w:rFonts w:ascii="Times New Roman" w:hAnsi="Times New Roman"/>
                <w:sz w:val="24"/>
                <w:szCs w:val="24"/>
              </w:rPr>
              <w:t>sios</w:t>
            </w:r>
            <w:r w:rsidR="00C47AE8" w:rsidRPr="009A6F13">
              <w:rPr>
                <w:rFonts w:ascii="Times New Roman" w:hAnsi="Times New Roman"/>
                <w:sz w:val="24"/>
                <w:szCs w:val="24"/>
              </w:rPr>
              <w:t xml:space="preserve"> institucijos ir Energetikos ministerijos </w:t>
            </w:r>
            <w:r w:rsidR="009F4532" w:rsidRPr="009A6F13">
              <w:rPr>
                <w:rFonts w:ascii="Times New Roman" w:hAnsi="Times New Roman"/>
                <w:sz w:val="24"/>
                <w:szCs w:val="24"/>
              </w:rPr>
              <w:t>susitikimai su galimais pareiškėjais</w:t>
            </w:r>
            <w:r w:rsidR="0062477B" w:rsidRPr="009A6F13">
              <w:rPr>
                <w:rFonts w:ascii="Times New Roman" w:hAnsi="Times New Roman"/>
                <w:sz w:val="24"/>
                <w:szCs w:val="24"/>
              </w:rPr>
              <w:t xml:space="preserve"> –</w:t>
            </w:r>
            <w:r w:rsidR="009F4532" w:rsidRPr="009A6F13">
              <w:rPr>
                <w:rFonts w:ascii="Times New Roman" w:hAnsi="Times New Roman"/>
                <w:sz w:val="24"/>
                <w:szCs w:val="24"/>
              </w:rPr>
              <w:t xml:space="preserve"> padės </w:t>
            </w:r>
            <w:r w:rsidR="0062477B" w:rsidRPr="009A6F13">
              <w:rPr>
                <w:rFonts w:ascii="Times New Roman" w:hAnsi="Times New Roman"/>
                <w:sz w:val="24"/>
                <w:szCs w:val="24"/>
              </w:rPr>
              <w:t>sumažinti</w:t>
            </w:r>
            <w:r w:rsidR="009F4532" w:rsidRPr="009A6F13">
              <w:rPr>
                <w:rFonts w:ascii="Times New Roman" w:hAnsi="Times New Roman"/>
                <w:sz w:val="24"/>
                <w:szCs w:val="24"/>
              </w:rPr>
              <w:t xml:space="preserve"> </w:t>
            </w:r>
            <w:r w:rsidR="0075796E" w:rsidRPr="009A6F13">
              <w:rPr>
                <w:rFonts w:ascii="Times New Roman" w:hAnsi="Times New Roman"/>
                <w:sz w:val="24"/>
                <w:szCs w:val="24"/>
              </w:rPr>
              <w:t>ši</w:t>
            </w:r>
            <w:r w:rsidR="0062477B" w:rsidRPr="009A6F13">
              <w:rPr>
                <w:rFonts w:ascii="Times New Roman" w:hAnsi="Times New Roman"/>
                <w:sz w:val="24"/>
                <w:szCs w:val="24"/>
              </w:rPr>
              <w:t>ą</w:t>
            </w:r>
            <w:r w:rsidR="0075796E" w:rsidRPr="009A6F13">
              <w:rPr>
                <w:rFonts w:ascii="Times New Roman" w:hAnsi="Times New Roman"/>
                <w:sz w:val="24"/>
                <w:szCs w:val="24"/>
              </w:rPr>
              <w:t xml:space="preserve"> rizik</w:t>
            </w:r>
            <w:r w:rsidR="0062477B" w:rsidRPr="009A6F13">
              <w:rPr>
                <w:rFonts w:ascii="Times New Roman" w:hAnsi="Times New Roman"/>
                <w:sz w:val="24"/>
                <w:szCs w:val="24"/>
              </w:rPr>
              <w:t>ą</w:t>
            </w:r>
            <w:r w:rsidR="0075796E" w:rsidRPr="009A6F13">
              <w:rPr>
                <w:rFonts w:ascii="Times New Roman" w:hAnsi="Times New Roman"/>
                <w:sz w:val="24"/>
                <w:szCs w:val="24"/>
              </w:rPr>
              <w:t>.</w:t>
            </w:r>
          </w:p>
        </w:tc>
      </w:tr>
      <w:tr w:rsidR="00FB6137" w:rsidRPr="0062477B" w:rsidTr="00905419">
        <w:tc>
          <w:tcPr>
            <w:tcW w:w="567" w:type="dxa"/>
          </w:tcPr>
          <w:p w:rsidR="00FB6137" w:rsidRPr="0062477B" w:rsidRDefault="00FB6137" w:rsidP="0062477B">
            <w:pPr>
              <w:pStyle w:val="ListParagraph"/>
              <w:numPr>
                <w:ilvl w:val="0"/>
                <w:numId w:val="1"/>
              </w:numPr>
              <w:tabs>
                <w:tab w:val="left" w:pos="567"/>
              </w:tabs>
              <w:ind w:left="0" w:firstLine="0"/>
              <w:rPr>
                <w:rFonts w:ascii="Times New Roman" w:hAnsi="Times New Roman"/>
                <w:sz w:val="24"/>
                <w:szCs w:val="24"/>
              </w:rPr>
            </w:pPr>
          </w:p>
        </w:tc>
        <w:tc>
          <w:tcPr>
            <w:tcW w:w="2836" w:type="dxa"/>
            <w:shd w:val="clear" w:color="auto" w:fill="auto"/>
          </w:tcPr>
          <w:p w:rsidR="00FB6137" w:rsidRPr="00217DDD" w:rsidRDefault="00FB6137" w:rsidP="0062477B">
            <w:pPr>
              <w:tabs>
                <w:tab w:val="left" w:pos="567"/>
              </w:tabs>
              <w:rPr>
                <w:rStyle w:val="CommentReference"/>
                <w:rFonts w:ascii="Times New Roman" w:hAnsi="Times New Roman"/>
                <w:sz w:val="24"/>
                <w:szCs w:val="24"/>
              </w:rPr>
            </w:pPr>
            <w:r w:rsidRPr="0062477B">
              <w:rPr>
                <w:rStyle w:val="CommentReference"/>
                <w:rFonts w:ascii="Times New Roman" w:hAnsi="Times New Roman"/>
                <w:sz w:val="24"/>
                <w:szCs w:val="24"/>
              </w:rPr>
              <w:t>Horizontaliųjų principų įgyvendinimas</w:t>
            </w:r>
          </w:p>
        </w:tc>
        <w:tc>
          <w:tcPr>
            <w:tcW w:w="6945" w:type="dxa"/>
            <w:shd w:val="clear" w:color="auto" w:fill="auto"/>
          </w:tcPr>
          <w:p w:rsidR="007B09DD" w:rsidRPr="00BC2651" w:rsidRDefault="00CA25D2" w:rsidP="00CA3067">
            <w:pPr>
              <w:tabs>
                <w:tab w:val="left" w:pos="567"/>
              </w:tabs>
              <w:spacing w:after="200"/>
              <w:jc w:val="both"/>
              <w:rPr>
                <w:rFonts w:ascii="Times New Roman" w:hAnsi="Times New Roman"/>
                <w:bCs/>
                <w:sz w:val="24"/>
                <w:szCs w:val="24"/>
              </w:rPr>
            </w:pPr>
            <w:r w:rsidRPr="00CA25D2">
              <w:rPr>
                <w:rFonts w:ascii="Times New Roman" w:hAnsi="Times New Roman"/>
                <w:sz w:val="24"/>
                <w:szCs w:val="24"/>
              </w:rPr>
              <w:t>Pagal šią priemonę nenumatoma apribojimų, kurie turėtų neigiamą poveikį lyčių lygybės ir nediskriminavimo, darnaus vystymosi ir jaunimo principų įgyvendinimui</w:t>
            </w:r>
            <w:r>
              <w:rPr>
                <w:rFonts w:ascii="Times New Roman" w:hAnsi="Times New Roman"/>
                <w:sz w:val="24"/>
                <w:szCs w:val="24"/>
              </w:rPr>
              <w:t>. D</w:t>
            </w:r>
            <w:r w:rsidR="002B4205" w:rsidRPr="008D4951">
              <w:rPr>
                <w:rFonts w:ascii="Times New Roman" w:hAnsi="Times New Roman"/>
                <w:sz w:val="24"/>
                <w:szCs w:val="24"/>
              </w:rPr>
              <w:t>ėl savo specifikos</w:t>
            </w:r>
            <w:r w:rsidR="007C1D09" w:rsidRPr="008D4951">
              <w:rPr>
                <w:rFonts w:ascii="Times New Roman" w:hAnsi="Times New Roman"/>
                <w:sz w:val="24"/>
                <w:szCs w:val="24"/>
              </w:rPr>
              <w:t xml:space="preserve"> nėra galimybių </w:t>
            </w:r>
            <w:r w:rsidR="007C1D09" w:rsidRPr="008D4951">
              <w:rPr>
                <w:rFonts w:ascii="Times New Roman" w:eastAsiaTheme="minorHAnsi" w:hAnsi="Times New Roman"/>
                <w:color w:val="000000"/>
                <w:sz w:val="24"/>
                <w:szCs w:val="24"/>
              </w:rPr>
              <w:t xml:space="preserve">nustatyti horizontaliųjų principų </w:t>
            </w:r>
            <w:r w:rsidR="007C1D09" w:rsidRPr="0062477B">
              <w:rPr>
                <w:rFonts w:ascii="Times New Roman" w:eastAsiaTheme="minorHAnsi" w:hAnsi="Times New Roman"/>
                <w:color w:val="000000"/>
                <w:sz w:val="24"/>
                <w:szCs w:val="24"/>
              </w:rPr>
              <w:t xml:space="preserve">įgyvendinimo </w:t>
            </w:r>
            <w:proofErr w:type="spellStart"/>
            <w:r w:rsidR="007C1D09" w:rsidRPr="0062477B">
              <w:rPr>
                <w:rFonts w:ascii="Times New Roman" w:eastAsiaTheme="minorHAnsi" w:hAnsi="Times New Roman"/>
                <w:color w:val="000000"/>
                <w:sz w:val="24"/>
                <w:szCs w:val="24"/>
              </w:rPr>
              <w:t>stebėsenos</w:t>
            </w:r>
            <w:proofErr w:type="spellEnd"/>
            <w:r w:rsidR="007C1D09" w:rsidRPr="0062477B">
              <w:rPr>
                <w:rFonts w:ascii="Times New Roman" w:eastAsiaTheme="minorHAnsi" w:hAnsi="Times New Roman"/>
                <w:color w:val="000000"/>
                <w:sz w:val="24"/>
                <w:szCs w:val="24"/>
              </w:rPr>
              <w:t xml:space="preserve"> rodikli</w:t>
            </w:r>
            <w:r w:rsidR="0076033E" w:rsidRPr="0062477B">
              <w:rPr>
                <w:rFonts w:ascii="Times New Roman" w:eastAsiaTheme="minorHAnsi" w:hAnsi="Times New Roman"/>
                <w:color w:val="000000"/>
                <w:sz w:val="24"/>
                <w:szCs w:val="24"/>
              </w:rPr>
              <w:t>ų</w:t>
            </w:r>
            <w:r w:rsidR="0049585B" w:rsidRPr="0062477B">
              <w:rPr>
                <w:rFonts w:ascii="Times New Roman" w:hAnsi="Times New Roman"/>
                <w:bCs/>
                <w:sz w:val="24"/>
                <w:szCs w:val="24"/>
              </w:rPr>
              <w:t xml:space="preserve">. </w:t>
            </w:r>
          </w:p>
          <w:p w:rsidR="00F046AD" w:rsidRPr="0062477B" w:rsidRDefault="00F046AD" w:rsidP="00CA3067">
            <w:pPr>
              <w:tabs>
                <w:tab w:val="left" w:pos="567"/>
              </w:tabs>
              <w:jc w:val="both"/>
              <w:rPr>
                <w:rFonts w:ascii="Times New Roman" w:hAnsi="Times New Roman"/>
                <w:b/>
                <w:sz w:val="24"/>
                <w:szCs w:val="24"/>
              </w:rPr>
            </w:pPr>
            <w:r w:rsidRPr="0062477B">
              <w:rPr>
                <w:rFonts w:ascii="Times New Roman" w:hAnsi="Times New Roman"/>
                <w:b/>
                <w:sz w:val="24"/>
                <w:szCs w:val="24"/>
              </w:rPr>
              <w:t>Darnusis vystymasis</w:t>
            </w:r>
          </w:p>
          <w:p w:rsidR="000772CD" w:rsidRPr="0062477B" w:rsidRDefault="00F046AD" w:rsidP="00905419">
            <w:pPr>
              <w:jc w:val="both"/>
              <w:rPr>
                <w:rFonts w:ascii="Times New Roman" w:hAnsi="Times New Roman"/>
                <w:b/>
                <w:sz w:val="24"/>
                <w:szCs w:val="24"/>
              </w:rPr>
            </w:pPr>
            <w:r w:rsidRPr="0062477B">
              <w:rPr>
                <w:rFonts w:ascii="Times New Roman" w:hAnsi="Times New Roman"/>
                <w:sz w:val="24"/>
                <w:szCs w:val="24"/>
              </w:rPr>
              <w:t>Įgyvendinant šią priemonę siekiama prisidėti prie darnių principų diegimo Lietuvoje. P</w:t>
            </w:r>
            <w:r w:rsidRPr="0062477B">
              <w:rPr>
                <w:rFonts w:ascii="Times New Roman" w:eastAsia="Times New Roman" w:hAnsi="Times New Roman"/>
                <w:sz w:val="24"/>
                <w:szCs w:val="24"/>
                <w:lang w:eastAsia="lt-LT"/>
              </w:rPr>
              <w:t>ažangi</w:t>
            </w:r>
            <w:r w:rsidR="00F605D0">
              <w:rPr>
                <w:rFonts w:ascii="Times New Roman" w:eastAsia="Times New Roman" w:hAnsi="Times New Roman"/>
                <w:sz w:val="24"/>
                <w:szCs w:val="24"/>
                <w:lang w:eastAsia="lt-LT"/>
              </w:rPr>
              <w:t>os</w:t>
            </w:r>
            <w:r w:rsidRPr="0062477B">
              <w:rPr>
                <w:rFonts w:ascii="Times New Roman" w:eastAsia="Times New Roman" w:hAnsi="Times New Roman"/>
                <w:sz w:val="24"/>
                <w:szCs w:val="24"/>
                <w:lang w:eastAsia="lt-LT"/>
              </w:rPr>
              <w:t xml:space="preserve"> </w:t>
            </w:r>
            <w:r w:rsidR="00F605D0">
              <w:rPr>
                <w:rFonts w:ascii="Times New Roman" w:eastAsia="Times New Roman" w:hAnsi="Times New Roman"/>
                <w:sz w:val="24"/>
                <w:szCs w:val="24"/>
                <w:lang w:eastAsia="lt-LT"/>
              </w:rPr>
              <w:t>elektros</w:t>
            </w:r>
            <w:r w:rsidRPr="0062477B">
              <w:rPr>
                <w:rFonts w:ascii="Times New Roman" w:eastAsia="Times New Roman" w:hAnsi="Times New Roman"/>
                <w:sz w:val="24"/>
                <w:szCs w:val="24"/>
                <w:lang w:eastAsia="lt-LT"/>
              </w:rPr>
              <w:t xml:space="preserve"> </w:t>
            </w:r>
            <w:r w:rsidR="00CE4CB2" w:rsidRPr="0062477B">
              <w:rPr>
                <w:rFonts w:ascii="Times New Roman" w:eastAsia="Times New Roman" w:hAnsi="Times New Roman"/>
                <w:sz w:val="24"/>
                <w:szCs w:val="24"/>
                <w:lang w:eastAsia="lt-LT"/>
              </w:rPr>
              <w:t>sistemos</w:t>
            </w:r>
            <w:r w:rsidRPr="0062477B">
              <w:rPr>
                <w:rFonts w:ascii="Times New Roman" w:eastAsia="Times New Roman" w:hAnsi="Times New Roman"/>
                <w:sz w:val="24"/>
                <w:szCs w:val="24"/>
                <w:lang w:eastAsia="lt-LT"/>
              </w:rPr>
              <w:t xml:space="preserve"> diegimas </w:t>
            </w:r>
            <w:r w:rsidR="00801345" w:rsidRPr="0062477B">
              <w:rPr>
                <w:rFonts w:ascii="Times New Roman" w:eastAsia="Times New Roman" w:hAnsi="Times New Roman"/>
                <w:sz w:val="24"/>
                <w:szCs w:val="24"/>
                <w:lang w:eastAsia="lt-LT"/>
              </w:rPr>
              <w:t xml:space="preserve">leis prisitaikyti prie kintančių energijos poreikių, </w:t>
            </w:r>
            <w:r w:rsidRPr="0062477B">
              <w:rPr>
                <w:rFonts w:ascii="Times New Roman" w:eastAsia="Times New Roman" w:hAnsi="Times New Roman"/>
                <w:sz w:val="24"/>
                <w:szCs w:val="24"/>
                <w:lang w:eastAsia="lt-LT"/>
              </w:rPr>
              <w:t>sukurs</w:t>
            </w:r>
            <w:r w:rsidR="00801345" w:rsidRPr="0062477B">
              <w:rPr>
                <w:rFonts w:ascii="Times New Roman" w:eastAsia="Times New Roman" w:hAnsi="Times New Roman"/>
                <w:sz w:val="24"/>
                <w:szCs w:val="24"/>
                <w:lang w:eastAsia="lt-LT"/>
              </w:rPr>
              <w:t xml:space="preserve"> galimybę</w:t>
            </w:r>
            <w:r w:rsidRPr="0062477B">
              <w:rPr>
                <w:rFonts w:ascii="Times New Roman" w:eastAsia="Times New Roman" w:hAnsi="Times New Roman"/>
                <w:sz w:val="24"/>
                <w:szCs w:val="24"/>
                <w:lang w:eastAsia="lt-LT"/>
              </w:rPr>
              <w:t xml:space="preserve"> efektyviau vartoti energiją</w:t>
            </w:r>
            <w:r w:rsidR="00905419">
              <w:rPr>
                <w:rFonts w:ascii="Times New Roman" w:eastAsia="Times New Roman" w:hAnsi="Times New Roman"/>
                <w:sz w:val="24"/>
                <w:szCs w:val="24"/>
                <w:lang w:eastAsia="lt-LT"/>
              </w:rPr>
              <w:t xml:space="preserve"> (žr. 2 punktą).</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s>
              <w:jc w:val="center"/>
              <w:rPr>
                <w:rFonts w:ascii="Times New Roman" w:hAnsi="Times New Roman"/>
                <w:b/>
                <w:sz w:val="24"/>
                <w:szCs w:val="24"/>
              </w:rPr>
            </w:pPr>
            <w:r w:rsidRPr="0062477B">
              <w:rPr>
                <w:rFonts w:ascii="Times New Roman" w:hAnsi="Times New Roman"/>
                <w:b/>
                <w:sz w:val="24"/>
                <w:szCs w:val="24"/>
              </w:rPr>
              <w:t>II. Finansavimo forma</w:t>
            </w:r>
          </w:p>
        </w:tc>
      </w:tr>
      <w:tr w:rsidR="00FB6137" w:rsidRPr="0062477B" w:rsidTr="00A62444">
        <w:tc>
          <w:tcPr>
            <w:tcW w:w="567" w:type="dxa"/>
          </w:tcPr>
          <w:p w:rsidR="00FB6137" w:rsidRPr="0062477B" w:rsidRDefault="00FB6137" w:rsidP="0062477B">
            <w:pPr>
              <w:pStyle w:val="ListParagraph"/>
              <w:numPr>
                <w:ilvl w:val="0"/>
                <w:numId w:val="1"/>
              </w:numPr>
              <w:tabs>
                <w:tab w:val="left" w:pos="567"/>
              </w:tabs>
              <w:ind w:hanging="1080"/>
              <w:rPr>
                <w:rFonts w:ascii="Times New Roman" w:hAnsi="Times New Roman"/>
                <w:sz w:val="24"/>
                <w:szCs w:val="24"/>
              </w:rPr>
            </w:pPr>
          </w:p>
        </w:tc>
        <w:tc>
          <w:tcPr>
            <w:tcW w:w="2836" w:type="dxa"/>
            <w:shd w:val="clear" w:color="auto" w:fill="auto"/>
          </w:tcPr>
          <w:p w:rsidR="00FB6137" w:rsidRPr="00217DDD"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finansavimo formos pasirinkimo pagrindimas</w:t>
            </w:r>
          </w:p>
        </w:tc>
        <w:tc>
          <w:tcPr>
            <w:tcW w:w="6945" w:type="dxa"/>
          </w:tcPr>
          <w:p w:rsidR="0054088F" w:rsidRPr="0062477B" w:rsidRDefault="0054088F" w:rsidP="00BC2651">
            <w:pPr>
              <w:spacing w:after="200"/>
              <w:jc w:val="both"/>
              <w:rPr>
                <w:rFonts w:ascii="Times New Roman" w:hAnsi="Times New Roman"/>
                <w:sz w:val="24"/>
                <w:szCs w:val="24"/>
              </w:rPr>
            </w:pPr>
            <w:r w:rsidRPr="008D4951">
              <w:rPr>
                <w:rFonts w:ascii="Times New Roman" w:eastAsia="Times New Roman" w:hAnsi="Times New Roman"/>
                <w:sz w:val="24"/>
                <w:szCs w:val="24"/>
                <w:lang w:eastAsia="lt-LT"/>
              </w:rPr>
              <w:t xml:space="preserve">Veiksmų programoje nurodyta, kad </w:t>
            </w:r>
            <w:r w:rsidR="001A2796">
              <w:rPr>
                <w:rFonts w:ascii="Times New Roman" w:eastAsia="Times New Roman" w:hAnsi="Times New Roman"/>
                <w:sz w:val="24"/>
                <w:szCs w:val="24"/>
                <w:lang w:eastAsia="lt-LT"/>
              </w:rPr>
              <w:t>4.4</w:t>
            </w:r>
            <w:r w:rsidRPr="008D4951">
              <w:rPr>
                <w:rFonts w:ascii="Times New Roman" w:eastAsia="Times New Roman" w:hAnsi="Times New Roman"/>
                <w:sz w:val="24"/>
                <w:szCs w:val="24"/>
                <w:lang w:eastAsia="lt-LT"/>
              </w:rPr>
              <w:t xml:space="preserve"> investicinį prioritetą įgyvendinantys projektai bus atrenkami projektų </w:t>
            </w:r>
            <w:r w:rsidR="001A2796">
              <w:rPr>
                <w:rFonts w:ascii="Times New Roman" w:eastAsia="Times New Roman" w:hAnsi="Times New Roman"/>
                <w:sz w:val="24"/>
                <w:szCs w:val="24"/>
                <w:lang w:eastAsia="lt-LT"/>
              </w:rPr>
              <w:t xml:space="preserve">konkurso </w:t>
            </w:r>
            <w:r w:rsidRPr="008D4951">
              <w:rPr>
                <w:rFonts w:ascii="Times New Roman" w:eastAsia="Times New Roman" w:hAnsi="Times New Roman"/>
                <w:sz w:val="24"/>
                <w:szCs w:val="24"/>
                <w:lang w:eastAsia="lt-LT"/>
              </w:rPr>
              <w:t xml:space="preserve">būdu. </w:t>
            </w:r>
            <w:r w:rsidRPr="008D4951">
              <w:rPr>
                <w:rFonts w:ascii="Times New Roman" w:hAnsi="Times New Roman"/>
                <w:sz w:val="24"/>
                <w:szCs w:val="24"/>
              </w:rPr>
              <w:t>Negrąžinamoji subsidija – finansavimo forma, kuri pasirinkta dėl jos skatinamojo poveikio</w:t>
            </w:r>
            <w:r w:rsidR="00FE1DB6" w:rsidRPr="008D4951">
              <w:rPr>
                <w:rFonts w:ascii="Times New Roman" w:hAnsi="Times New Roman"/>
                <w:sz w:val="24"/>
                <w:szCs w:val="24"/>
              </w:rPr>
              <w:t>, nes dažnai įgyvendinami projekt</w:t>
            </w:r>
            <w:r w:rsidR="00FE1DB6" w:rsidRPr="0062477B">
              <w:rPr>
                <w:rFonts w:ascii="Times New Roman" w:hAnsi="Times New Roman"/>
                <w:sz w:val="24"/>
                <w:szCs w:val="24"/>
              </w:rPr>
              <w:t>ai būna finansiškai neatsiperkantys</w:t>
            </w:r>
            <w:r w:rsidRPr="0062477B">
              <w:rPr>
                <w:rFonts w:ascii="Times New Roman" w:hAnsi="Times New Roman"/>
                <w:sz w:val="24"/>
                <w:szCs w:val="24"/>
              </w:rPr>
              <w:t xml:space="preserve">. </w:t>
            </w:r>
          </w:p>
          <w:p w:rsidR="00C716D9" w:rsidRPr="0080645D" w:rsidRDefault="001E1127" w:rsidP="00BC2651">
            <w:pPr>
              <w:spacing w:after="200"/>
              <w:jc w:val="both"/>
              <w:rPr>
                <w:rFonts w:ascii="Times New Roman" w:hAnsi="Times New Roman"/>
                <w:sz w:val="24"/>
                <w:szCs w:val="24"/>
              </w:rPr>
            </w:pPr>
            <w:r w:rsidRPr="0062477B">
              <w:rPr>
                <w:rFonts w:ascii="Times New Roman" w:hAnsi="Times New Roman"/>
                <w:sz w:val="24"/>
                <w:szCs w:val="24"/>
              </w:rPr>
              <w:t xml:space="preserve">Finansavimo forma numatyta vadovaujantis reguliuojamos veiklos kainodaros principų taikymu bei siekiant balanso tarp </w:t>
            </w:r>
            <w:r w:rsidR="00F605D0">
              <w:rPr>
                <w:rFonts w:ascii="Times New Roman" w:hAnsi="Times New Roman"/>
                <w:sz w:val="24"/>
                <w:szCs w:val="24"/>
              </w:rPr>
              <w:t xml:space="preserve">elektros </w:t>
            </w:r>
            <w:r w:rsidR="00F605D0" w:rsidRPr="0080645D">
              <w:rPr>
                <w:rFonts w:ascii="Times New Roman" w:hAnsi="Times New Roman"/>
                <w:sz w:val="24"/>
                <w:szCs w:val="24"/>
              </w:rPr>
              <w:t>energijos</w:t>
            </w:r>
            <w:r w:rsidRPr="0080645D">
              <w:rPr>
                <w:rFonts w:ascii="Times New Roman" w:hAnsi="Times New Roman"/>
                <w:sz w:val="24"/>
                <w:szCs w:val="24"/>
              </w:rPr>
              <w:t xml:space="preserve"> tarifo ir naštos </w:t>
            </w:r>
            <w:r w:rsidR="00F605D0" w:rsidRPr="0080645D">
              <w:rPr>
                <w:rFonts w:ascii="Times New Roman" w:hAnsi="Times New Roman"/>
                <w:sz w:val="24"/>
                <w:szCs w:val="24"/>
              </w:rPr>
              <w:t xml:space="preserve">elektros energijos </w:t>
            </w:r>
            <w:r w:rsidRPr="0080645D">
              <w:rPr>
                <w:rFonts w:ascii="Times New Roman" w:hAnsi="Times New Roman"/>
                <w:sz w:val="24"/>
                <w:szCs w:val="24"/>
              </w:rPr>
              <w:t>vartotojams užtikrinimu.</w:t>
            </w:r>
          </w:p>
          <w:p w:rsidR="00433740" w:rsidRPr="0080645D" w:rsidRDefault="00433740" w:rsidP="00BC2651">
            <w:pPr>
              <w:spacing w:after="200"/>
              <w:jc w:val="both"/>
              <w:rPr>
                <w:rFonts w:ascii="Times New Roman" w:hAnsi="Times New Roman"/>
                <w:sz w:val="24"/>
                <w:szCs w:val="24"/>
              </w:rPr>
            </w:pPr>
            <w:r w:rsidRPr="0080645D">
              <w:rPr>
                <w:rFonts w:ascii="Times New Roman" w:hAnsi="Times New Roman"/>
                <w:sz w:val="24"/>
                <w:szCs w:val="24"/>
              </w:rPr>
              <w:t>VKEKK rengia ir tvirtina valstybės reguliuojam</w:t>
            </w:r>
            <w:r w:rsidR="003604FF" w:rsidRPr="0080645D">
              <w:rPr>
                <w:rFonts w:ascii="Times New Roman" w:hAnsi="Times New Roman"/>
                <w:sz w:val="24"/>
                <w:szCs w:val="24"/>
              </w:rPr>
              <w:t>os</w:t>
            </w:r>
            <w:r w:rsidRPr="0080645D">
              <w:rPr>
                <w:rFonts w:ascii="Times New Roman" w:hAnsi="Times New Roman"/>
                <w:sz w:val="24"/>
                <w:szCs w:val="24"/>
              </w:rPr>
              <w:t xml:space="preserve"> </w:t>
            </w:r>
            <w:r w:rsidR="00204ED7" w:rsidRPr="0080645D">
              <w:rPr>
                <w:rFonts w:ascii="Times New Roman" w:hAnsi="Times New Roman"/>
                <w:sz w:val="24"/>
                <w:szCs w:val="24"/>
              </w:rPr>
              <w:t>elektros</w:t>
            </w:r>
            <w:r w:rsidR="003604FF" w:rsidRPr="0080645D">
              <w:rPr>
                <w:rFonts w:ascii="Times New Roman" w:hAnsi="Times New Roman"/>
                <w:sz w:val="24"/>
                <w:szCs w:val="24"/>
              </w:rPr>
              <w:t xml:space="preserve"> kainos</w:t>
            </w:r>
            <w:r w:rsidRPr="0080645D">
              <w:rPr>
                <w:rFonts w:ascii="Times New Roman" w:hAnsi="Times New Roman"/>
                <w:sz w:val="24"/>
                <w:szCs w:val="24"/>
              </w:rPr>
              <w:t xml:space="preserve"> nustatymo metodik</w:t>
            </w:r>
            <w:r w:rsidR="003604FF" w:rsidRPr="0080645D">
              <w:rPr>
                <w:rFonts w:ascii="Times New Roman" w:hAnsi="Times New Roman"/>
                <w:sz w:val="24"/>
                <w:szCs w:val="24"/>
              </w:rPr>
              <w:t>ą</w:t>
            </w:r>
            <w:r w:rsidR="00160491" w:rsidRPr="0080645D">
              <w:rPr>
                <w:rFonts w:ascii="Times New Roman" w:hAnsi="Times New Roman"/>
                <w:sz w:val="24"/>
                <w:szCs w:val="24"/>
              </w:rPr>
              <w:t xml:space="preserve"> (</w:t>
            </w:r>
            <w:r w:rsidR="00160491" w:rsidRPr="0080645D">
              <w:rPr>
                <w:rFonts w:ascii="Times New Roman" w:hAnsi="Times New Roman"/>
                <w:color w:val="000000"/>
                <w:sz w:val="24"/>
                <w:szCs w:val="24"/>
                <w:shd w:val="clear" w:color="auto" w:fill="FFFFFF"/>
              </w:rPr>
              <w:t xml:space="preserve">VKEKK </w:t>
            </w:r>
            <w:r w:rsidR="00281F42">
              <w:rPr>
                <w:rFonts w:ascii="Times New Roman" w:hAnsi="Times New Roman"/>
                <w:color w:val="000000"/>
                <w:sz w:val="24"/>
                <w:szCs w:val="24"/>
                <w:shd w:val="clear" w:color="auto" w:fill="FFFFFF"/>
              </w:rPr>
              <w:t>2015 m. sausio 15 d.</w:t>
            </w:r>
            <w:r w:rsidR="00403C04" w:rsidRPr="0080645D">
              <w:rPr>
                <w:rFonts w:ascii="Times New Roman" w:hAnsi="Times New Roman"/>
                <w:color w:val="000000"/>
                <w:sz w:val="24"/>
                <w:szCs w:val="24"/>
                <w:shd w:val="clear" w:color="auto" w:fill="FFFFFF"/>
              </w:rPr>
              <w:t xml:space="preserve"> </w:t>
            </w:r>
            <w:r w:rsidR="00086102" w:rsidRPr="0080645D">
              <w:rPr>
                <w:rFonts w:ascii="Times New Roman" w:hAnsi="Times New Roman"/>
                <w:color w:val="000000"/>
                <w:sz w:val="24"/>
                <w:szCs w:val="24"/>
                <w:shd w:val="clear" w:color="auto" w:fill="FFFFFF"/>
              </w:rPr>
              <w:t xml:space="preserve">nutarimas </w:t>
            </w:r>
            <w:r w:rsidR="00403C04" w:rsidRPr="0080645D">
              <w:rPr>
                <w:rFonts w:ascii="Times New Roman" w:hAnsi="Times New Roman"/>
                <w:color w:val="000000"/>
                <w:sz w:val="24"/>
                <w:szCs w:val="24"/>
                <w:shd w:val="clear" w:color="auto" w:fill="FFFFFF"/>
              </w:rPr>
              <w:t>Nr. O3-</w:t>
            </w:r>
            <w:r w:rsidR="00281F42">
              <w:rPr>
                <w:rFonts w:ascii="Times New Roman" w:hAnsi="Times New Roman"/>
                <w:color w:val="000000"/>
                <w:sz w:val="24"/>
                <w:szCs w:val="24"/>
                <w:shd w:val="clear" w:color="auto" w:fill="FFFFFF"/>
              </w:rPr>
              <w:t>3</w:t>
            </w:r>
            <w:r w:rsidR="00160491" w:rsidRPr="0080645D">
              <w:rPr>
                <w:rFonts w:ascii="Times New Roman" w:hAnsi="Times New Roman"/>
                <w:sz w:val="24"/>
                <w:szCs w:val="24"/>
              </w:rPr>
              <w:t>)</w:t>
            </w:r>
            <w:r w:rsidRPr="0080645D">
              <w:rPr>
                <w:rFonts w:ascii="Times New Roman" w:hAnsi="Times New Roman"/>
                <w:sz w:val="24"/>
                <w:szCs w:val="24"/>
              </w:rPr>
              <w:t>, nustato (koreguoja) ir</w:t>
            </w:r>
            <w:r w:rsidR="00245EF4" w:rsidRPr="0080645D">
              <w:rPr>
                <w:rFonts w:ascii="Times New Roman" w:hAnsi="Times New Roman"/>
                <w:sz w:val="24"/>
                <w:szCs w:val="24"/>
              </w:rPr>
              <w:t xml:space="preserve"> tvirtina reguliuojamos</w:t>
            </w:r>
            <w:r w:rsidR="00097F96" w:rsidRPr="0080645D">
              <w:rPr>
                <w:rFonts w:ascii="Times New Roman" w:hAnsi="Times New Roman"/>
                <w:sz w:val="24"/>
                <w:szCs w:val="24"/>
              </w:rPr>
              <w:t xml:space="preserve"> veikl</w:t>
            </w:r>
            <w:r w:rsidR="00245EF4" w:rsidRPr="0080645D">
              <w:rPr>
                <w:rFonts w:ascii="Times New Roman" w:hAnsi="Times New Roman"/>
                <w:sz w:val="24"/>
                <w:szCs w:val="24"/>
              </w:rPr>
              <w:t>os</w:t>
            </w:r>
            <w:r w:rsidRPr="0080645D">
              <w:rPr>
                <w:rFonts w:ascii="Times New Roman" w:hAnsi="Times New Roman"/>
                <w:sz w:val="24"/>
                <w:szCs w:val="24"/>
              </w:rPr>
              <w:t xml:space="preserve"> kainų viršutines ribas, skelbia tarifus.</w:t>
            </w:r>
          </w:p>
          <w:p w:rsidR="009F11BB" w:rsidRDefault="006635B7" w:rsidP="009F11BB">
            <w:pPr>
              <w:spacing w:before="160"/>
              <w:jc w:val="both"/>
              <w:rPr>
                <w:rFonts w:ascii="Times New Roman" w:hAnsi="Times New Roman"/>
                <w:sz w:val="24"/>
                <w:szCs w:val="24"/>
              </w:rPr>
            </w:pPr>
            <w:r w:rsidRPr="0080645D">
              <w:rPr>
                <w:rFonts w:ascii="Times New Roman" w:hAnsi="Times New Roman"/>
                <w:sz w:val="24"/>
                <w:szCs w:val="24"/>
              </w:rPr>
              <w:t xml:space="preserve">Viešosios infrastruktūros </w:t>
            </w:r>
            <w:r w:rsidR="00BC0660" w:rsidRPr="0080645D">
              <w:rPr>
                <w:rFonts w:ascii="Times New Roman" w:hAnsi="Times New Roman"/>
                <w:sz w:val="24"/>
                <w:szCs w:val="24"/>
              </w:rPr>
              <w:t>tinklų</w:t>
            </w:r>
            <w:r w:rsidRPr="0080645D">
              <w:rPr>
                <w:rFonts w:ascii="Times New Roman" w:hAnsi="Times New Roman"/>
                <w:sz w:val="24"/>
                <w:szCs w:val="24"/>
              </w:rPr>
              <w:t xml:space="preserve"> būklei palaikyti ir jos nusidėvėjimui atstatyti reikalingos nuolatinės l</w:t>
            </w:r>
            <w:r w:rsidR="00BC0660" w:rsidRPr="0080645D">
              <w:rPr>
                <w:rFonts w:ascii="Times New Roman" w:hAnsi="Times New Roman"/>
                <w:sz w:val="24"/>
                <w:szCs w:val="24"/>
              </w:rPr>
              <w:t xml:space="preserve">ėšos. Tai ypač aktualu </w:t>
            </w:r>
            <w:r w:rsidR="00A62215" w:rsidRPr="0080645D">
              <w:rPr>
                <w:rFonts w:ascii="Times New Roman" w:hAnsi="Times New Roman"/>
                <w:sz w:val="24"/>
                <w:szCs w:val="24"/>
              </w:rPr>
              <w:t>elektros</w:t>
            </w:r>
            <w:r w:rsidRPr="0080645D">
              <w:rPr>
                <w:rFonts w:ascii="Times New Roman" w:hAnsi="Times New Roman"/>
                <w:sz w:val="24"/>
                <w:szCs w:val="24"/>
              </w:rPr>
              <w:t xml:space="preserve"> infrastruktūr</w:t>
            </w:r>
            <w:r w:rsidR="00126D83" w:rsidRPr="0080645D">
              <w:rPr>
                <w:rFonts w:ascii="Times New Roman" w:hAnsi="Times New Roman"/>
                <w:sz w:val="24"/>
                <w:szCs w:val="24"/>
              </w:rPr>
              <w:t>ai</w:t>
            </w:r>
            <w:r w:rsidRPr="0080645D">
              <w:rPr>
                <w:rFonts w:ascii="Times New Roman" w:hAnsi="Times New Roman"/>
                <w:sz w:val="24"/>
                <w:szCs w:val="24"/>
              </w:rPr>
              <w:t>, kuri</w:t>
            </w:r>
            <w:r w:rsidR="00126D83" w:rsidRPr="0080645D">
              <w:rPr>
                <w:rFonts w:ascii="Times New Roman" w:hAnsi="Times New Roman"/>
                <w:sz w:val="24"/>
                <w:szCs w:val="24"/>
              </w:rPr>
              <w:t>os</w:t>
            </w:r>
            <w:r w:rsidRPr="0080645D">
              <w:rPr>
                <w:rFonts w:ascii="Times New Roman" w:hAnsi="Times New Roman"/>
                <w:sz w:val="24"/>
                <w:szCs w:val="24"/>
              </w:rPr>
              <w:t xml:space="preserve"> būklė artėja prie naudingo </w:t>
            </w:r>
            <w:r w:rsidR="005771D8" w:rsidRPr="0080645D">
              <w:rPr>
                <w:rFonts w:ascii="Times New Roman" w:hAnsi="Times New Roman"/>
                <w:sz w:val="24"/>
                <w:szCs w:val="24"/>
              </w:rPr>
              <w:t>jos</w:t>
            </w:r>
            <w:r w:rsidRPr="0080645D">
              <w:rPr>
                <w:rFonts w:ascii="Times New Roman" w:hAnsi="Times New Roman"/>
                <w:sz w:val="24"/>
                <w:szCs w:val="24"/>
              </w:rPr>
              <w:t xml:space="preserve"> tarnavimo laiko pabaigos, tuo pat metu energetinės nepriklausomybės užtikrinimui, paslaugų kokybės pagerinimui, aplinkosauginių reikalavimų įgyvendinimui bei efektyvumo padidinimui reikalingos didžiulės papildomos lėšos. </w:t>
            </w:r>
            <w:r w:rsidR="00087936" w:rsidRPr="0080645D">
              <w:rPr>
                <w:rFonts w:ascii="Times New Roman" w:hAnsi="Times New Roman"/>
                <w:sz w:val="24"/>
                <w:szCs w:val="24"/>
              </w:rPr>
              <w:t>Į</w:t>
            </w:r>
            <w:r w:rsidRPr="0080645D">
              <w:rPr>
                <w:rFonts w:ascii="Times New Roman" w:hAnsi="Times New Roman"/>
                <w:sz w:val="24"/>
                <w:szCs w:val="24"/>
              </w:rPr>
              <w:t xml:space="preserve">monės yra nepajėgios savarankiškai finansuoti </w:t>
            </w:r>
            <w:r w:rsidR="0011366A" w:rsidRPr="0080645D">
              <w:rPr>
                <w:rFonts w:ascii="Times New Roman" w:hAnsi="Times New Roman"/>
                <w:sz w:val="24"/>
                <w:szCs w:val="24"/>
              </w:rPr>
              <w:t xml:space="preserve">visų </w:t>
            </w:r>
            <w:r w:rsidRPr="0080645D">
              <w:rPr>
                <w:rFonts w:ascii="Times New Roman" w:hAnsi="Times New Roman"/>
                <w:sz w:val="24"/>
                <w:szCs w:val="24"/>
              </w:rPr>
              <w:t>infrastruktūros</w:t>
            </w:r>
            <w:r w:rsidRPr="0080645D" w:rsidDel="00810EBA">
              <w:rPr>
                <w:rFonts w:ascii="Times New Roman" w:hAnsi="Times New Roman"/>
                <w:sz w:val="24"/>
                <w:szCs w:val="24"/>
              </w:rPr>
              <w:t xml:space="preserve"> </w:t>
            </w:r>
            <w:r w:rsidRPr="0080645D">
              <w:rPr>
                <w:rFonts w:ascii="Times New Roman" w:hAnsi="Times New Roman"/>
                <w:sz w:val="24"/>
                <w:szCs w:val="24"/>
              </w:rPr>
              <w:t>modernizavimo bei plėtros</w:t>
            </w:r>
            <w:r w:rsidR="0011366A" w:rsidRPr="0080645D">
              <w:rPr>
                <w:rFonts w:ascii="Times New Roman" w:hAnsi="Times New Roman"/>
                <w:sz w:val="24"/>
                <w:szCs w:val="24"/>
              </w:rPr>
              <w:t xml:space="preserve"> priemonių</w:t>
            </w:r>
            <w:r w:rsidRPr="0080645D">
              <w:rPr>
                <w:rFonts w:ascii="Times New Roman" w:hAnsi="Times New Roman"/>
                <w:sz w:val="24"/>
                <w:szCs w:val="24"/>
              </w:rPr>
              <w:t xml:space="preserve">. </w:t>
            </w:r>
            <w:r w:rsidR="00A77EBA" w:rsidRPr="0080645D">
              <w:rPr>
                <w:rFonts w:ascii="Times New Roman" w:hAnsi="Times New Roman"/>
                <w:sz w:val="24"/>
                <w:szCs w:val="24"/>
              </w:rPr>
              <w:t>Taip pat reikia pabrėžti, kad</w:t>
            </w:r>
            <w:r w:rsidR="000C11D5" w:rsidRPr="0080645D">
              <w:rPr>
                <w:rFonts w:ascii="Times New Roman" w:hAnsi="Times New Roman"/>
                <w:sz w:val="24"/>
                <w:szCs w:val="24"/>
              </w:rPr>
              <w:t>,</w:t>
            </w:r>
            <w:r w:rsidR="00A77EBA" w:rsidRPr="0080645D">
              <w:rPr>
                <w:rFonts w:ascii="Times New Roman" w:hAnsi="Times New Roman"/>
                <w:sz w:val="24"/>
                <w:szCs w:val="24"/>
              </w:rPr>
              <w:t xml:space="preserve"> </w:t>
            </w:r>
            <w:r w:rsidR="000C11D5" w:rsidRPr="0080645D">
              <w:rPr>
                <w:rFonts w:ascii="Times New Roman" w:hAnsi="Times New Roman"/>
                <w:sz w:val="24"/>
                <w:szCs w:val="24"/>
              </w:rPr>
              <w:t xml:space="preserve">vadovaujantis </w:t>
            </w:r>
            <w:r w:rsidR="00D950F5" w:rsidRPr="0080645D">
              <w:rPr>
                <w:rFonts w:ascii="Times New Roman" w:hAnsi="Times New Roman"/>
                <w:color w:val="000000"/>
                <w:sz w:val="24"/>
                <w:szCs w:val="24"/>
                <w:shd w:val="clear" w:color="auto" w:fill="FFFFFF"/>
              </w:rPr>
              <w:t>VKEKK</w:t>
            </w:r>
            <w:r w:rsidR="00023457" w:rsidRPr="0080645D">
              <w:rPr>
                <w:rFonts w:ascii="Times New Roman" w:hAnsi="Times New Roman"/>
                <w:color w:val="000000"/>
                <w:sz w:val="24"/>
                <w:szCs w:val="24"/>
                <w:shd w:val="clear" w:color="auto" w:fill="FFFFFF"/>
              </w:rPr>
              <w:t xml:space="preserve"> </w:t>
            </w:r>
            <w:r w:rsidR="00281F42">
              <w:rPr>
                <w:rFonts w:ascii="Times New Roman" w:hAnsi="Times New Roman"/>
                <w:color w:val="000000"/>
                <w:sz w:val="24"/>
                <w:szCs w:val="24"/>
                <w:shd w:val="clear" w:color="auto" w:fill="FFFFFF"/>
              </w:rPr>
              <w:t>2015 m. sausio 15 d.</w:t>
            </w:r>
            <w:r w:rsidR="00281F42" w:rsidRPr="0080645D">
              <w:rPr>
                <w:rFonts w:ascii="Times New Roman" w:hAnsi="Times New Roman"/>
                <w:color w:val="000000"/>
                <w:sz w:val="24"/>
                <w:szCs w:val="24"/>
                <w:shd w:val="clear" w:color="auto" w:fill="FFFFFF"/>
              </w:rPr>
              <w:t xml:space="preserve"> </w:t>
            </w:r>
            <w:r w:rsidR="00086102" w:rsidRPr="0080645D">
              <w:rPr>
                <w:rFonts w:ascii="Times New Roman" w:hAnsi="Times New Roman"/>
                <w:sz w:val="24"/>
                <w:szCs w:val="24"/>
              </w:rPr>
              <w:t xml:space="preserve">nutarimo </w:t>
            </w:r>
            <w:r w:rsidR="00403C04" w:rsidRPr="0080645D">
              <w:rPr>
                <w:rFonts w:ascii="Times New Roman" w:hAnsi="Times New Roman"/>
                <w:sz w:val="24"/>
                <w:szCs w:val="24"/>
              </w:rPr>
              <w:t>Nr. O3-</w:t>
            </w:r>
            <w:r w:rsidR="00281F42" w:rsidRPr="00FD1422">
              <w:rPr>
                <w:rFonts w:ascii="Times New Roman" w:hAnsi="Times New Roman"/>
                <w:sz w:val="24"/>
                <w:szCs w:val="24"/>
              </w:rPr>
              <w:t xml:space="preserve">3 </w:t>
            </w:r>
            <w:r w:rsidR="00086102" w:rsidRPr="00FD1422">
              <w:rPr>
                <w:rFonts w:ascii="Times New Roman" w:hAnsi="Times New Roman"/>
                <w:sz w:val="24"/>
                <w:szCs w:val="24"/>
              </w:rPr>
              <w:t>„</w:t>
            </w:r>
            <w:r w:rsidR="00281F42" w:rsidRPr="00FD1422">
              <w:rPr>
                <w:rFonts w:ascii="Times New Roman" w:hAnsi="Times New Roman"/>
                <w:sz w:val="24"/>
                <w:szCs w:val="24"/>
              </w:rPr>
              <w:t xml:space="preserve">Dėl Elektros energijos perdavimo, skirstymo ir visuomeninio tiekimo paslaugų bei visuomeninės kainos viršutinės ribos nustatymo metodikos </w:t>
            </w:r>
            <w:r w:rsidR="00086102" w:rsidRPr="00FD1422">
              <w:rPr>
                <w:rFonts w:ascii="Times New Roman" w:hAnsi="Times New Roman"/>
                <w:sz w:val="24"/>
                <w:szCs w:val="24"/>
              </w:rPr>
              <w:t xml:space="preserve"> </w:t>
            </w:r>
            <w:r w:rsidR="00281F42" w:rsidRPr="00FD1422">
              <w:rPr>
                <w:rFonts w:ascii="Times New Roman" w:hAnsi="Times New Roman"/>
                <w:sz w:val="24"/>
                <w:szCs w:val="24"/>
              </w:rPr>
              <w:t>patvirtinimo</w:t>
            </w:r>
            <w:r w:rsidR="00086102" w:rsidRPr="00FD1422">
              <w:rPr>
                <w:rFonts w:ascii="Times New Roman" w:hAnsi="Times New Roman"/>
                <w:sz w:val="24"/>
                <w:szCs w:val="24"/>
              </w:rPr>
              <w:t xml:space="preserve">“ </w:t>
            </w:r>
            <w:r w:rsidR="00323B08" w:rsidRPr="00FD1422">
              <w:rPr>
                <w:rFonts w:ascii="Times New Roman" w:hAnsi="Times New Roman"/>
                <w:sz w:val="24"/>
                <w:szCs w:val="24"/>
              </w:rPr>
              <w:t>7.2.4 papunkčiu</w:t>
            </w:r>
            <w:r w:rsidR="00086102" w:rsidRPr="00FD1422">
              <w:rPr>
                <w:rFonts w:ascii="Times New Roman" w:hAnsi="Times New Roman"/>
                <w:sz w:val="24"/>
                <w:szCs w:val="24"/>
              </w:rPr>
              <w:t>,</w:t>
            </w:r>
            <w:r w:rsidR="000C11D5" w:rsidRPr="00FD1422">
              <w:rPr>
                <w:rFonts w:ascii="Times New Roman" w:hAnsi="Times New Roman"/>
                <w:sz w:val="24"/>
                <w:szCs w:val="24"/>
              </w:rPr>
              <w:t xml:space="preserve"> </w:t>
            </w:r>
            <w:r w:rsidRPr="00FD1422">
              <w:rPr>
                <w:rFonts w:ascii="Times New Roman" w:hAnsi="Times New Roman"/>
                <w:sz w:val="24"/>
                <w:szCs w:val="24"/>
              </w:rPr>
              <w:t xml:space="preserve">iš </w:t>
            </w:r>
            <w:r w:rsidR="00D072AF" w:rsidRPr="00FD1422">
              <w:rPr>
                <w:rFonts w:ascii="Times New Roman" w:hAnsi="Times New Roman"/>
                <w:sz w:val="24"/>
                <w:szCs w:val="24"/>
              </w:rPr>
              <w:t>ES struktūrinių fondų</w:t>
            </w:r>
            <w:r w:rsidRPr="00FD1422">
              <w:rPr>
                <w:rFonts w:ascii="Times New Roman" w:hAnsi="Times New Roman"/>
                <w:sz w:val="24"/>
                <w:szCs w:val="24"/>
              </w:rPr>
              <w:t xml:space="preserve"> įgytam turtui nėra kaupiamas</w:t>
            </w:r>
            <w:r w:rsidRPr="0080645D">
              <w:rPr>
                <w:rFonts w:ascii="Times New Roman" w:hAnsi="Times New Roman"/>
                <w:sz w:val="24"/>
                <w:szCs w:val="24"/>
              </w:rPr>
              <w:t xml:space="preserve"> nusidėvėjimas</w:t>
            </w:r>
            <w:r w:rsidR="000C11D5" w:rsidRPr="0080645D">
              <w:rPr>
                <w:rFonts w:ascii="Times New Roman" w:hAnsi="Times New Roman"/>
                <w:sz w:val="24"/>
                <w:szCs w:val="24"/>
              </w:rPr>
              <w:t xml:space="preserve"> </w:t>
            </w:r>
            <w:r w:rsidR="00073861" w:rsidRPr="0080645D">
              <w:rPr>
                <w:rFonts w:ascii="Times New Roman" w:hAnsi="Times New Roman"/>
                <w:sz w:val="24"/>
                <w:szCs w:val="24"/>
              </w:rPr>
              <w:t>–</w:t>
            </w:r>
            <w:r w:rsidRPr="0080645D">
              <w:rPr>
                <w:rFonts w:ascii="Times New Roman" w:hAnsi="Times New Roman"/>
                <w:sz w:val="24"/>
                <w:szCs w:val="24"/>
              </w:rPr>
              <w:t xml:space="preserve"> jis </w:t>
            </w:r>
            <w:r w:rsidR="000D1FA9" w:rsidRPr="0080645D">
              <w:rPr>
                <w:rFonts w:ascii="Times New Roman" w:hAnsi="Times New Roman"/>
                <w:sz w:val="24"/>
                <w:szCs w:val="24"/>
              </w:rPr>
              <w:t xml:space="preserve">nėra </w:t>
            </w:r>
            <w:r w:rsidRPr="0080645D">
              <w:rPr>
                <w:rFonts w:ascii="Times New Roman" w:hAnsi="Times New Roman"/>
                <w:sz w:val="24"/>
                <w:szCs w:val="24"/>
              </w:rPr>
              <w:t>įskaičiuojamas į tarifus</w:t>
            </w:r>
            <w:r w:rsidR="000D1FA9" w:rsidRPr="0080645D">
              <w:rPr>
                <w:rFonts w:ascii="Times New Roman" w:hAnsi="Times New Roman"/>
                <w:sz w:val="24"/>
                <w:szCs w:val="24"/>
              </w:rPr>
              <w:t>, nes</w:t>
            </w:r>
            <w:r w:rsidRPr="0080645D">
              <w:rPr>
                <w:rFonts w:ascii="Times New Roman" w:hAnsi="Times New Roman"/>
                <w:sz w:val="24"/>
                <w:szCs w:val="24"/>
              </w:rPr>
              <w:t xml:space="preserve"> prieštarauja finansinio tvarumo principams</w:t>
            </w:r>
            <w:r w:rsidR="000D1FA9" w:rsidRPr="0080645D">
              <w:rPr>
                <w:rFonts w:ascii="Times New Roman" w:hAnsi="Times New Roman"/>
                <w:sz w:val="24"/>
                <w:szCs w:val="24"/>
              </w:rPr>
              <w:t xml:space="preserve">. </w:t>
            </w:r>
          </w:p>
          <w:p w:rsidR="002B38A5" w:rsidRPr="0062477B" w:rsidRDefault="00DA4494" w:rsidP="009F11BB">
            <w:pPr>
              <w:spacing w:before="160"/>
              <w:jc w:val="both"/>
              <w:rPr>
                <w:rFonts w:ascii="Times New Roman" w:hAnsi="Times New Roman"/>
                <w:sz w:val="24"/>
                <w:szCs w:val="24"/>
              </w:rPr>
            </w:pPr>
            <w:r w:rsidRPr="00DA4494">
              <w:rPr>
                <w:rFonts w:ascii="Times New Roman" w:hAnsi="Times New Roman"/>
                <w:sz w:val="24"/>
                <w:szCs w:val="24"/>
              </w:rPr>
              <w:lastRenderedPageBreak/>
              <w:t xml:space="preserve">Atsižvelgiant į elektros energetikos sistemos griežtą reguliacinę aplinką ir saugumo aspektus, finansinių instrumentų taikymas elektros </w:t>
            </w:r>
            <w:r w:rsidR="00D950F5">
              <w:rPr>
                <w:rFonts w:ascii="Times New Roman" w:hAnsi="Times New Roman"/>
                <w:sz w:val="24"/>
                <w:szCs w:val="24"/>
              </w:rPr>
              <w:t xml:space="preserve">skirstymo </w:t>
            </w:r>
            <w:r w:rsidRPr="00DA4494">
              <w:rPr>
                <w:rFonts w:ascii="Times New Roman" w:hAnsi="Times New Roman"/>
                <w:sz w:val="24"/>
                <w:szCs w:val="24"/>
              </w:rPr>
              <w:t>sistemos investicijoms nėra tinkamas.</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left="34" w:firstLine="0"/>
              <w:rPr>
                <w:rFonts w:ascii="Times New Roman" w:hAnsi="Times New Roman"/>
                <w:sz w:val="24"/>
                <w:szCs w:val="24"/>
              </w:rPr>
            </w:pPr>
          </w:p>
        </w:tc>
        <w:tc>
          <w:tcPr>
            <w:tcW w:w="2836" w:type="dxa"/>
          </w:tcPr>
          <w:p w:rsidR="00FB6137" w:rsidRPr="0062477B" w:rsidRDefault="00FB6137" w:rsidP="001A2796">
            <w:pPr>
              <w:tabs>
                <w:tab w:val="left" w:pos="567"/>
              </w:tabs>
              <w:rPr>
                <w:rFonts w:ascii="Times New Roman" w:hAnsi="Times New Roman"/>
                <w:sz w:val="24"/>
                <w:szCs w:val="24"/>
              </w:rPr>
            </w:pPr>
            <w:r w:rsidRPr="0062477B">
              <w:rPr>
                <w:rFonts w:ascii="Times New Roman" w:hAnsi="Times New Roman"/>
                <w:sz w:val="24"/>
                <w:szCs w:val="24"/>
              </w:rPr>
              <w:t>Galimybė taikyti finansines priemones (jei taikoma)</w:t>
            </w:r>
          </w:p>
        </w:tc>
        <w:tc>
          <w:tcPr>
            <w:tcW w:w="6945" w:type="dxa"/>
          </w:tcPr>
          <w:p w:rsidR="005B5317" w:rsidRPr="0062477B" w:rsidRDefault="00AC789B" w:rsidP="00BC2651">
            <w:pPr>
              <w:tabs>
                <w:tab w:val="left" w:pos="175"/>
              </w:tabs>
              <w:jc w:val="both"/>
              <w:rPr>
                <w:rFonts w:ascii="Times New Roman" w:hAnsi="Times New Roman"/>
                <w:i/>
                <w:sz w:val="24"/>
                <w:szCs w:val="24"/>
              </w:rPr>
            </w:pPr>
            <w:r w:rsidRPr="0062477B">
              <w:rPr>
                <w:rFonts w:ascii="Times New Roman" w:hAnsi="Times New Roman"/>
                <w:sz w:val="24"/>
                <w:szCs w:val="24"/>
              </w:rPr>
              <w:t xml:space="preserve">Netaikoma. </w:t>
            </w:r>
          </w:p>
        </w:tc>
      </w:tr>
      <w:tr w:rsidR="00FB6137" w:rsidRPr="0062477B" w:rsidTr="00265C0B">
        <w:tc>
          <w:tcPr>
            <w:tcW w:w="567" w:type="dxa"/>
          </w:tcPr>
          <w:p w:rsidR="00FB6137" w:rsidRPr="0062477B" w:rsidRDefault="00FB6137" w:rsidP="0062477B">
            <w:pPr>
              <w:pStyle w:val="ListParagraph"/>
              <w:numPr>
                <w:ilvl w:val="0"/>
                <w:numId w:val="1"/>
              </w:numPr>
              <w:tabs>
                <w:tab w:val="left" w:pos="567"/>
              </w:tabs>
              <w:ind w:left="34" w:firstLine="0"/>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Galimybė taikyti grąžinamąją subsidiją </w:t>
            </w:r>
          </w:p>
        </w:tc>
        <w:tc>
          <w:tcPr>
            <w:tcW w:w="6945" w:type="dxa"/>
          </w:tcPr>
          <w:p w:rsidR="005B06CA" w:rsidRPr="0062477B" w:rsidRDefault="00DD0130" w:rsidP="00BC2651">
            <w:pPr>
              <w:tabs>
                <w:tab w:val="left" w:pos="175"/>
              </w:tabs>
              <w:spacing w:after="200"/>
              <w:jc w:val="both"/>
              <w:rPr>
                <w:rFonts w:ascii="Times New Roman" w:hAnsi="Times New Roman"/>
                <w:sz w:val="24"/>
                <w:szCs w:val="24"/>
              </w:rPr>
            </w:pPr>
            <w:r>
              <w:rPr>
                <w:rFonts w:ascii="Times New Roman" w:hAnsi="Times New Roman"/>
                <w:sz w:val="24"/>
                <w:szCs w:val="24"/>
              </w:rPr>
              <w:t>G</w:t>
            </w:r>
            <w:r w:rsidR="00923385" w:rsidRPr="0062477B">
              <w:rPr>
                <w:rFonts w:ascii="Times New Roman" w:hAnsi="Times New Roman"/>
                <w:sz w:val="24"/>
                <w:szCs w:val="24"/>
              </w:rPr>
              <w:t xml:space="preserve">rąžinamosios subsidijos </w:t>
            </w:r>
            <w:r w:rsidR="00265C0B" w:rsidRPr="0062477B">
              <w:rPr>
                <w:rFonts w:ascii="Times New Roman" w:hAnsi="Times New Roman"/>
                <w:sz w:val="24"/>
                <w:szCs w:val="24"/>
              </w:rPr>
              <w:t xml:space="preserve">taikymas </w:t>
            </w:r>
            <w:r w:rsidR="00265C0B" w:rsidRPr="0062477B">
              <w:rPr>
                <w:rFonts w:ascii="Times New Roman" w:eastAsiaTheme="minorHAnsi" w:hAnsi="Times New Roman"/>
                <w:color w:val="000000"/>
                <w:sz w:val="24"/>
                <w:szCs w:val="24"/>
              </w:rPr>
              <w:t>šios priemonės projektų</w:t>
            </w:r>
            <w:r w:rsidR="00265C0B" w:rsidRPr="0062477B">
              <w:rPr>
                <w:rFonts w:ascii="Times New Roman" w:hAnsi="Times New Roman"/>
                <w:sz w:val="24"/>
                <w:szCs w:val="24"/>
              </w:rPr>
              <w:t xml:space="preserve"> </w:t>
            </w:r>
            <w:r w:rsidR="005B06CA" w:rsidRPr="00217DDD">
              <w:rPr>
                <w:rFonts w:ascii="Times New Roman" w:hAnsi="Times New Roman"/>
                <w:sz w:val="24"/>
                <w:szCs w:val="24"/>
              </w:rPr>
              <w:t xml:space="preserve">įgyvendinimui, </w:t>
            </w:r>
            <w:r w:rsidR="00265C0B" w:rsidRPr="008D4951">
              <w:rPr>
                <w:rFonts w:ascii="Times New Roman" w:hAnsi="Times New Roman"/>
                <w:sz w:val="24"/>
                <w:szCs w:val="24"/>
              </w:rPr>
              <w:t>dėl esamos šios reguliuojamos veiklos kainodaros principų</w:t>
            </w:r>
            <w:r w:rsidR="001B6A5A" w:rsidRPr="008D4951">
              <w:rPr>
                <w:rFonts w:ascii="Times New Roman" w:hAnsi="Times New Roman"/>
                <w:sz w:val="24"/>
                <w:szCs w:val="24"/>
              </w:rPr>
              <w:t xml:space="preserve"> (balanso tarp </w:t>
            </w:r>
            <w:r w:rsidR="00204ED7">
              <w:rPr>
                <w:rFonts w:ascii="Times New Roman" w:hAnsi="Times New Roman"/>
                <w:sz w:val="24"/>
                <w:szCs w:val="24"/>
              </w:rPr>
              <w:t>elektros energijos</w:t>
            </w:r>
            <w:r w:rsidR="001B6A5A" w:rsidRPr="008D4951">
              <w:rPr>
                <w:rFonts w:ascii="Times New Roman" w:hAnsi="Times New Roman"/>
                <w:sz w:val="24"/>
                <w:szCs w:val="24"/>
              </w:rPr>
              <w:t xml:space="preserve"> tarifo ir naštos </w:t>
            </w:r>
            <w:r w:rsidR="00204ED7">
              <w:rPr>
                <w:rFonts w:ascii="Times New Roman" w:hAnsi="Times New Roman"/>
                <w:sz w:val="24"/>
                <w:szCs w:val="24"/>
              </w:rPr>
              <w:t>elektros energijos</w:t>
            </w:r>
            <w:r w:rsidR="001B6A5A" w:rsidRPr="0062477B">
              <w:rPr>
                <w:rFonts w:ascii="Times New Roman" w:hAnsi="Times New Roman"/>
                <w:sz w:val="24"/>
                <w:szCs w:val="24"/>
              </w:rPr>
              <w:t xml:space="preserve"> vartotojams)</w:t>
            </w:r>
            <w:r w:rsidR="005B06CA" w:rsidRPr="0062477B">
              <w:rPr>
                <w:rFonts w:ascii="Times New Roman" w:hAnsi="Times New Roman"/>
                <w:sz w:val="24"/>
                <w:szCs w:val="24"/>
              </w:rPr>
              <w:t>,</w:t>
            </w:r>
            <w:r w:rsidR="00265C0B" w:rsidRPr="0062477B">
              <w:rPr>
                <w:rFonts w:ascii="Times New Roman" w:hAnsi="Times New Roman"/>
                <w:sz w:val="24"/>
                <w:szCs w:val="24"/>
              </w:rPr>
              <w:t xml:space="preserve"> </w:t>
            </w:r>
            <w:r w:rsidR="005B06CA" w:rsidRPr="0062477B">
              <w:rPr>
                <w:rFonts w:ascii="Times New Roman" w:hAnsi="Times New Roman"/>
                <w:sz w:val="24"/>
                <w:szCs w:val="24"/>
              </w:rPr>
              <w:t>neleis</w:t>
            </w:r>
            <w:r w:rsidR="000201BB">
              <w:rPr>
                <w:rFonts w:ascii="Times New Roman" w:hAnsi="Times New Roman"/>
                <w:sz w:val="24"/>
                <w:szCs w:val="24"/>
              </w:rPr>
              <w:t>tų</w:t>
            </w:r>
            <w:r w:rsidR="005B06CA" w:rsidRPr="0062477B">
              <w:rPr>
                <w:rFonts w:ascii="Times New Roman" w:hAnsi="Times New Roman"/>
                <w:sz w:val="24"/>
                <w:szCs w:val="24"/>
              </w:rPr>
              <w:t xml:space="preserve"> pasiekti </w:t>
            </w:r>
            <w:r w:rsidR="00106125" w:rsidRPr="0062477B">
              <w:rPr>
                <w:rFonts w:ascii="Times New Roman" w:hAnsi="Times New Roman"/>
                <w:sz w:val="24"/>
                <w:szCs w:val="24"/>
              </w:rPr>
              <w:t>Nacionalinėje energetikos strategijoje, Nacionalinėje pažangos programoje</w:t>
            </w:r>
            <w:r w:rsidR="001B6A5A" w:rsidRPr="0062477B">
              <w:rPr>
                <w:rFonts w:ascii="Times New Roman" w:hAnsi="Times New Roman"/>
                <w:sz w:val="24"/>
                <w:szCs w:val="24"/>
              </w:rPr>
              <w:t xml:space="preserve"> ir</w:t>
            </w:r>
            <w:r w:rsidR="00106125" w:rsidRPr="0062477B">
              <w:rPr>
                <w:rFonts w:ascii="Times New Roman" w:hAnsi="Times New Roman"/>
                <w:sz w:val="24"/>
                <w:szCs w:val="24"/>
              </w:rPr>
              <w:t xml:space="preserve"> veiksmų programoje nustatytų tikslų</w:t>
            </w:r>
            <w:r w:rsidR="00265C0B" w:rsidRPr="0062477B">
              <w:rPr>
                <w:rFonts w:ascii="Times New Roman" w:hAnsi="Times New Roman"/>
                <w:sz w:val="24"/>
                <w:szCs w:val="24"/>
              </w:rPr>
              <w:t xml:space="preserve">. </w:t>
            </w:r>
            <w:r w:rsidR="00D3144A" w:rsidRPr="0062477B">
              <w:rPr>
                <w:rFonts w:ascii="Times New Roman" w:hAnsi="Times New Roman"/>
                <w:sz w:val="24"/>
                <w:szCs w:val="24"/>
              </w:rPr>
              <w:t>Taip pat žr.</w:t>
            </w:r>
            <w:r w:rsidR="00EF45B7" w:rsidRPr="0062477B">
              <w:rPr>
                <w:rFonts w:ascii="Times New Roman" w:hAnsi="Times New Roman"/>
                <w:sz w:val="24"/>
                <w:szCs w:val="24"/>
              </w:rPr>
              <w:t xml:space="preserve"> </w:t>
            </w:r>
            <w:r w:rsidR="007A29ED" w:rsidRPr="0062477B">
              <w:rPr>
                <w:rFonts w:ascii="Times New Roman" w:hAnsi="Times New Roman"/>
                <w:sz w:val="24"/>
                <w:szCs w:val="24"/>
              </w:rPr>
              <w:t>14 punkt</w:t>
            </w:r>
            <w:r w:rsidR="00C261C9" w:rsidRPr="0062477B">
              <w:rPr>
                <w:rFonts w:ascii="Times New Roman" w:hAnsi="Times New Roman"/>
                <w:sz w:val="24"/>
                <w:szCs w:val="24"/>
              </w:rPr>
              <w:t>ą.</w:t>
            </w:r>
          </w:p>
          <w:p w:rsidR="00AF3070" w:rsidRPr="0062477B" w:rsidRDefault="00E323DB" w:rsidP="00204ED7">
            <w:pPr>
              <w:tabs>
                <w:tab w:val="left" w:pos="175"/>
              </w:tabs>
              <w:spacing w:after="200"/>
              <w:jc w:val="both"/>
              <w:rPr>
                <w:rFonts w:ascii="Times New Roman" w:eastAsiaTheme="minorHAnsi" w:hAnsi="Times New Roman"/>
                <w:color w:val="000000"/>
                <w:sz w:val="24"/>
                <w:szCs w:val="24"/>
              </w:rPr>
            </w:pPr>
            <w:r w:rsidRPr="0062477B">
              <w:rPr>
                <w:rFonts w:ascii="Times New Roman" w:hAnsi="Times New Roman"/>
                <w:sz w:val="24"/>
                <w:szCs w:val="24"/>
              </w:rPr>
              <w:t xml:space="preserve">Atsižvelgiant į aukščiau išvardintas priežastis, </w:t>
            </w:r>
            <w:r w:rsidR="00204ED7">
              <w:rPr>
                <w:rFonts w:ascii="Times New Roman" w:hAnsi="Times New Roman"/>
                <w:sz w:val="24"/>
                <w:szCs w:val="24"/>
              </w:rPr>
              <w:t>skirstymo tinklų</w:t>
            </w:r>
            <w:r w:rsidRPr="0062477B">
              <w:rPr>
                <w:rFonts w:ascii="Times New Roman" w:hAnsi="Times New Roman"/>
                <w:sz w:val="24"/>
                <w:szCs w:val="24"/>
              </w:rPr>
              <w:t xml:space="preserve"> projektų įgyvendinimui </w:t>
            </w:r>
            <w:r w:rsidRPr="0062477B">
              <w:rPr>
                <w:rFonts w:ascii="Times New Roman" w:eastAsiaTheme="minorHAnsi" w:hAnsi="Times New Roman"/>
                <w:color w:val="000000"/>
                <w:sz w:val="24"/>
                <w:szCs w:val="24"/>
              </w:rPr>
              <w:t>ketinama taikyti negrąžinamąją subsidiją.</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s>
              <w:ind w:left="34"/>
              <w:jc w:val="center"/>
              <w:rPr>
                <w:rFonts w:ascii="Times New Roman" w:hAnsi="Times New Roman"/>
                <w:sz w:val="24"/>
                <w:szCs w:val="24"/>
              </w:rPr>
            </w:pPr>
            <w:r w:rsidRPr="0062477B">
              <w:rPr>
                <w:rFonts w:ascii="Times New Roman" w:hAnsi="Times New Roman"/>
                <w:b/>
                <w:sz w:val="24"/>
                <w:szCs w:val="24"/>
              </w:rPr>
              <w:t>III. Atrankos būdas</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Projektų atrankos būdo pagrįstumas </w:t>
            </w:r>
          </w:p>
        </w:tc>
        <w:tc>
          <w:tcPr>
            <w:tcW w:w="6945" w:type="dxa"/>
          </w:tcPr>
          <w:p w:rsidR="00E1165A" w:rsidRPr="0062477B" w:rsidRDefault="00C716D9" w:rsidP="00914C83">
            <w:pPr>
              <w:jc w:val="both"/>
              <w:rPr>
                <w:rFonts w:ascii="Times New Roman" w:eastAsia="Times New Roman" w:hAnsi="Times New Roman"/>
                <w:sz w:val="24"/>
                <w:szCs w:val="24"/>
                <w:shd w:val="clear" w:color="auto" w:fill="FFFFFF"/>
              </w:rPr>
            </w:pPr>
            <w:r w:rsidRPr="0062477B">
              <w:rPr>
                <w:rFonts w:ascii="Times New Roman" w:eastAsia="Times New Roman" w:hAnsi="Times New Roman"/>
                <w:sz w:val="24"/>
                <w:szCs w:val="24"/>
                <w:lang w:eastAsia="lt-LT"/>
              </w:rPr>
              <w:t xml:space="preserve">Veiksmų programoje nurodyta, kad </w:t>
            </w:r>
            <w:r w:rsidR="009A3212">
              <w:rPr>
                <w:rFonts w:ascii="Times New Roman" w:eastAsia="Times New Roman" w:hAnsi="Times New Roman"/>
                <w:sz w:val="24"/>
                <w:szCs w:val="24"/>
                <w:lang w:eastAsia="lt-LT"/>
              </w:rPr>
              <w:t>4.4</w:t>
            </w:r>
            <w:r w:rsidRPr="0062477B">
              <w:rPr>
                <w:rFonts w:ascii="Times New Roman" w:eastAsia="Times New Roman" w:hAnsi="Times New Roman"/>
                <w:sz w:val="24"/>
                <w:szCs w:val="24"/>
                <w:lang w:eastAsia="lt-LT"/>
              </w:rPr>
              <w:t xml:space="preserve"> investicinį prioritetą įgyvendinantys projektai bus atrenkami </w:t>
            </w:r>
            <w:r w:rsidR="00204ED7">
              <w:rPr>
                <w:rFonts w:ascii="Times New Roman" w:eastAsia="Times New Roman" w:hAnsi="Times New Roman"/>
                <w:sz w:val="24"/>
                <w:szCs w:val="24"/>
                <w:lang w:eastAsia="lt-LT"/>
              </w:rPr>
              <w:t>p</w:t>
            </w:r>
            <w:r w:rsidR="00204ED7" w:rsidRPr="00204ED7">
              <w:rPr>
                <w:rFonts w:ascii="Times New Roman" w:eastAsia="Times New Roman" w:hAnsi="Times New Roman"/>
                <w:sz w:val="24"/>
                <w:szCs w:val="24"/>
                <w:lang w:eastAsia="lt-LT"/>
              </w:rPr>
              <w:t>rojektų konkurs</w:t>
            </w:r>
            <w:r w:rsidR="00204ED7">
              <w:rPr>
                <w:rFonts w:ascii="Times New Roman" w:eastAsia="Times New Roman" w:hAnsi="Times New Roman"/>
                <w:sz w:val="24"/>
                <w:szCs w:val="24"/>
                <w:lang w:eastAsia="lt-LT"/>
              </w:rPr>
              <w:t>o</w:t>
            </w:r>
            <w:r w:rsidR="00204ED7" w:rsidRPr="00204ED7">
              <w:rPr>
                <w:rFonts w:ascii="Times New Roman" w:eastAsia="Times New Roman" w:hAnsi="Times New Roman"/>
                <w:sz w:val="24"/>
                <w:szCs w:val="24"/>
                <w:lang w:eastAsia="lt-LT"/>
              </w:rPr>
              <w:t xml:space="preserve"> </w:t>
            </w:r>
            <w:r w:rsidRPr="0062477B">
              <w:rPr>
                <w:rFonts w:ascii="Times New Roman" w:eastAsia="Times New Roman" w:hAnsi="Times New Roman"/>
                <w:sz w:val="24"/>
                <w:szCs w:val="24"/>
                <w:lang w:eastAsia="lt-LT"/>
              </w:rPr>
              <w:t xml:space="preserve">būdu. </w:t>
            </w:r>
          </w:p>
        </w:tc>
      </w:tr>
      <w:tr w:rsidR="00FB6137" w:rsidRPr="0062477B" w:rsidTr="00D80DEB">
        <w:tc>
          <w:tcPr>
            <w:tcW w:w="10348" w:type="dxa"/>
            <w:gridSpan w:val="3"/>
            <w:shd w:val="clear" w:color="auto" w:fill="F2F2F2" w:themeFill="background1" w:themeFillShade="F2"/>
          </w:tcPr>
          <w:p w:rsidR="00FB6137" w:rsidRPr="0062477B" w:rsidRDefault="00FB6137" w:rsidP="00BC2651">
            <w:pPr>
              <w:tabs>
                <w:tab w:val="left" w:pos="567"/>
              </w:tabs>
              <w:ind w:left="34"/>
              <w:jc w:val="center"/>
              <w:rPr>
                <w:rFonts w:ascii="Times New Roman" w:hAnsi="Times New Roman"/>
                <w:b/>
                <w:sz w:val="24"/>
                <w:szCs w:val="24"/>
              </w:rPr>
            </w:pPr>
            <w:r w:rsidRPr="0062477B">
              <w:rPr>
                <w:rFonts w:ascii="Times New Roman" w:hAnsi="Times New Roman"/>
                <w:b/>
                <w:sz w:val="24"/>
                <w:szCs w:val="24"/>
              </w:rPr>
              <w:t>IV. Įgyvendinančioji institucija</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Įgyvendinančiosios  institucijos pasirinkimas (jei taikoma)</w:t>
            </w:r>
          </w:p>
        </w:tc>
        <w:tc>
          <w:tcPr>
            <w:tcW w:w="6945" w:type="dxa"/>
          </w:tcPr>
          <w:p w:rsidR="0090359E" w:rsidRPr="0062477B" w:rsidRDefault="00875AB6" w:rsidP="000B3C5E">
            <w:pPr>
              <w:tabs>
                <w:tab w:val="left" w:pos="178"/>
              </w:tabs>
              <w:spacing w:after="200"/>
              <w:jc w:val="both"/>
              <w:rPr>
                <w:rFonts w:ascii="Times New Roman" w:hAnsi="Times New Roman"/>
                <w:sz w:val="24"/>
                <w:szCs w:val="24"/>
              </w:rPr>
            </w:pPr>
            <w:r w:rsidRPr="0062477B">
              <w:rPr>
                <w:rFonts w:ascii="Times New Roman" w:hAnsi="Times New Roman"/>
                <w:sz w:val="24"/>
                <w:szCs w:val="24"/>
              </w:rPr>
              <w:t>V</w:t>
            </w:r>
            <w:r w:rsidR="000B3C5E">
              <w:rPr>
                <w:rFonts w:ascii="Times New Roman" w:hAnsi="Times New Roman"/>
                <w:sz w:val="24"/>
                <w:szCs w:val="24"/>
              </w:rPr>
              <w:t>Š</w:t>
            </w:r>
            <w:r w:rsidRPr="0062477B">
              <w:rPr>
                <w:rFonts w:ascii="Times New Roman" w:hAnsi="Times New Roman"/>
                <w:sz w:val="24"/>
                <w:szCs w:val="24"/>
              </w:rPr>
              <w:t xml:space="preserve">Į </w:t>
            </w:r>
            <w:r w:rsidR="0090359E" w:rsidRPr="0062477B">
              <w:rPr>
                <w:rFonts w:ascii="Times New Roman" w:hAnsi="Times New Roman"/>
                <w:sz w:val="24"/>
                <w:szCs w:val="24"/>
              </w:rPr>
              <w:t>L</w:t>
            </w:r>
            <w:r w:rsidRPr="0062477B">
              <w:rPr>
                <w:rFonts w:ascii="Times New Roman" w:hAnsi="Times New Roman"/>
                <w:sz w:val="24"/>
                <w:szCs w:val="24"/>
              </w:rPr>
              <w:t>ietuvos verslo paramos agentūra (toliau – LVPA)</w:t>
            </w:r>
            <w:r w:rsidR="008B2A40" w:rsidRPr="0062477B">
              <w:rPr>
                <w:rFonts w:ascii="Times New Roman" w:hAnsi="Times New Roman"/>
                <w:sz w:val="24"/>
                <w:szCs w:val="24"/>
              </w:rPr>
              <w:t xml:space="preserve"> pasirinkta dėl turimos patirties įgy</w:t>
            </w:r>
            <w:r w:rsidR="00AA3DD1" w:rsidRPr="00217DDD">
              <w:rPr>
                <w:rFonts w:ascii="Times New Roman" w:hAnsi="Times New Roman"/>
                <w:sz w:val="24"/>
                <w:szCs w:val="24"/>
              </w:rPr>
              <w:t>vendinant energetikos priemones</w:t>
            </w:r>
            <w:r w:rsidR="00AA3DD1" w:rsidRPr="008D4951">
              <w:rPr>
                <w:rFonts w:ascii="Times New Roman" w:hAnsi="Times New Roman"/>
                <w:sz w:val="24"/>
                <w:szCs w:val="24"/>
              </w:rPr>
              <w:t xml:space="preserve"> ir vadovaujantis </w:t>
            </w:r>
            <w:r w:rsidR="00E944D5">
              <w:rPr>
                <w:rFonts w:ascii="Times New Roman" w:hAnsi="Times New Roman"/>
                <w:sz w:val="24"/>
                <w:szCs w:val="24"/>
              </w:rPr>
              <w:t>A</w:t>
            </w:r>
            <w:r w:rsidR="00E944D5" w:rsidRPr="00E944D5">
              <w:rPr>
                <w:rFonts w:ascii="Times New Roman" w:hAnsi="Times New Roman"/>
                <w:sz w:val="24"/>
                <w:szCs w:val="24"/>
              </w:rPr>
              <w:t>tsakomybės ir funkcijų paskirstymo tarp institucijų, įgyvendinant 2014</w:t>
            </w:r>
            <w:r w:rsidR="00086102" w:rsidRPr="00E944D5">
              <w:rPr>
                <w:rFonts w:ascii="Times New Roman" w:hAnsi="Times New Roman"/>
                <w:sz w:val="24"/>
                <w:szCs w:val="24"/>
              </w:rPr>
              <w:t>–</w:t>
            </w:r>
            <w:r w:rsidR="00E944D5" w:rsidRPr="00E944D5">
              <w:rPr>
                <w:rFonts w:ascii="Times New Roman" w:hAnsi="Times New Roman"/>
                <w:sz w:val="24"/>
                <w:szCs w:val="24"/>
              </w:rPr>
              <w:t>2020 metų Europos Sąjungos struktūrinių fondų investicijų veiksmų programą</w:t>
            </w:r>
            <w:r w:rsidR="00E944D5">
              <w:rPr>
                <w:rFonts w:ascii="Times New Roman" w:hAnsi="Times New Roman"/>
                <w:sz w:val="24"/>
                <w:szCs w:val="24"/>
              </w:rPr>
              <w:t xml:space="preserve"> taisyklėmis, patvirtintomis</w:t>
            </w:r>
            <w:r w:rsidR="00E944D5" w:rsidRPr="00E944D5" w:rsidDel="007406BA">
              <w:rPr>
                <w:rFonts w:ascii="Times New Roman" w:hAnsi="Times New Roman"/>
                <w:sz w:val="24"/>
                <w:szCs w:val="24"/>
              </w:rPr>
              <w:t xml:space="preserve"> </w:t>
            </w:r>
            <w:r w:rsidR="00676644" w:rsidRPr="008D4951">
              <w:rPr>
                <w:rFonts w:ascii="Times New Roman" w:hAnsi="Times New Roman"/>
                <w:sz w:val="24"/>
                <w:szCs w:val="24"/>
              </w:rPr>
              <w:t xml:space="preserve">Vyriausybės </w:t>
            </w:r>
            <w:r w:rsidR="007406BA" w:rsidRPr="008D4951">
              <w:rPr>
                <w:rFonts w:ascii="Times New Roman" w:hAnsi="Times New Roman"/>
                <w:sz w:val="24"/>
                <w:szCs w:val="24"/>
              </w:rPr>
              <w:t xml:space="preserve">2014 m. birželio 4 d. </w:t>
            </w:r>
            <w:r w:rsidR="007C519C" w:rsidRPr="008D4951">
              <w:rPr>
                <w:rFonts w:ascii="Times New Roman" w:hAnsi="Times New Roman"/>
                <w:sz w:val="24"/>
                <w:szCs w:val="24"/>
              </w:rPr>
              <w:t>nutarimu Nr. 528</w:t>
            </w:r>
            <w:r w:rsidR="00E944D5">
              <w:rPr>
                <w:rFonts w:ascii="Times New Roman" w:hAnsi="Times New Roman"/>
                <w:sz w:val="24"/>
                <w:szCs w:val="24"/>
              </w:rPr>
              <w:t xml:space="preserve"> „</w:t>
            </w:r>
            <w:r w:rsidR="00E944D5" w:rsidRPr="00E944D5">
              <w:rPr>
                <w:rFonts w:ascii="Times New Roman" w:hAnsi="Times New Roman"/>
                <w:sz w:val="24"/>
                <w:szCs w:val="24"/>
              </w:rPr>
              <w:t>Dėl atsakomybės ir funkcijų paskirstymo tarp institucijų, įgyvendinant 2014-2020 metų Europos Sąjungos struktūrinių fondų investicijų veiksmų programą</w:t>
            </w:r>
            <w:r w:rsidR="00E944D5">
              <w:rPr>
                <w:rFonts w:ascii="Times New Roman" w:hAnsi="Times New Roman"/>
                <w:sz w:val="24"/>
                <w:szCs w:val="24"/>
              </w:rPr>
              <w:t>“</w:t>
            </w:r>
            <w:r w:rsidR="00A30BB7" w:rsidRPr="0062477B">
              <w:rPr>
                <w:rFonts w:ascii="Times New Roman" w:hAnsi="Times New Roman"/>
                <w:sz w:val="24"/>
                <w:szCs w:val="24"/>
              </w:rPr>
              <w:t>.</w:t>
            </w:r>
            <w:r w:rsidR="007C519C" w:rsidRPr="0062477B">
              <w:rPr>
                <w:rFonts w:ascii="Times New Roman" w:hAnsi="Times New Roman"/>
                <w:sz w:val="24"/>
                <w:szCs w:val="24"/>
              </w:rPr>
              <w:t xml:space="preserve"> </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 w:val="left" w:pos="709"/>
              </w:tabs>
              <w:ind w:left="34"/>
              <w:jc w:val="center"/>
              <w:rPr>
                <w:rFonts w:ascii="Times New Roman" w:hAnsi="Times New Roman"/>
                <w:b/>
                <w:sz w:val="24"/>
                <w:szCs w:val="24"/>
              </w:rPr>
            </w:pPr>
            <w:r w:rsidRPr="0062477B">
              <w:rPr>
                <w:rFonts w:ascii="Times New Roman" w:hAnsi="Times New Roman"/>
                <w:b/>
                <w:sz w:val="24"/>
                <w:szCs w:val="24"/>
              </w:rPr>
              <w:t>V.</w:t>
            </w:r>
            <w:r w:rsidRPr="0062477B">
              <w:rPr>
                <w:rFonts w:ascii="Times New Roman" w:hAnsi="Times New Roman"/>
                <w:b/>
                <w:bCs/>
                <w:sz w:val="24"/>
                <w:szCs w:val="24"/>
              </w:rPr>
              <w:t xml:space="preserve"> Reikalavimai, susiję su paramos pagal kitas iš ES finansuojamas programas ir kitą tarptautinę paramą atskyrimu</w:t>
            </w:r>
          </w:p>
        </w:tc>
      </w:tr>
      <w:tr w:rsidR="00FB6137" w:rsidRPr="0062477B" w:rsidTr="009C0809">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Priemonės sankirtų su kitomis veiksmų programos priemonėmis įvertinimas ir nustatymas </w:t>
            </w:r>
          </w:p>
        </w:tc>
        <w:tc>
          <w:tcPr>
            <w:tcW w:w="6945" w:type="dxa"/>
          </w:tcPr>
          <w:p w:rsidR="00321B9A" w:rsidRPr="004667C7" w:rsidRDefault="002B697A" w:rsidP="001A5AD4">
            <w:pPr>
              <w:pStyle w:val="CommentText"/>
              <w:spacing w:after="200"/>
              <w:jc w:val="both"/>
              <w:rPr>
                <w:rFonts w:ascii="Times New Roman" w:hAnsi="Times New Roman"/>
                <w:sz w:val="24"/>
                <w:szCs w:val="24"/>
              </w:rPr>
            </w:pPr>
            <w:r>
              <w:rPr>
                <w:rFonts w:ascii="Times New Roman" w:hAnsi="Times New Roman"/>
                <w:sz w:val="24"/>
                <w:szCs w:val="24"/>
              </w:rPr>
              <w:t>P</w:t>
            </w:r>
            <w:r w:rsidR="00370EAE">
              <w:rPr>
                <w:rFonts w:ascii="Times New Roman" w:hAnsi="Times New Roman"/>
                <w:sz w:val="24"/>
                <w:szCs w:val="24"/>
              </w:rPr>
              <w:t xml:space="preserve">riemonė gali sietis su </w:t>
            </w:r>
            <w:r w:rsidR="00370EAE" w:rsidRPr="00370EAE">
              <w:rPr>
                <w:rFonts w:ascii="Times New Roman" w:hAnsi="Times New Roman"/>
                <w:sz w:val="24"/>
                <w:szCs w:val="24"/>
              </w:rPr>
              <w:t xml:space="preserve">veiksmų programos </w:t>
            </w:r>
            <w:r w:rsidR="00BD0266" w:rsidRPr="0062477B">
              <w:rPr>
                <w:rFonts w:ascii="Times New Roman" w:hAnsi="Times New Roman"/>
                <w:sz w:val="24"/>
                <w:szCs w:val="24"/>
              </w:rPr>
              <w:t>7.1 investicinio prioriteto veiklomis</w:t>
            </w:r>
            <w:r w:rsidR="00370EAE">
              <w:rPr>
                <w:rFonts w:ascii="Times New Roman" w:hAnsi="Times New Roman"/>
                <w:sz w:val="24"/>
                <w:szCs w:val="24"/>
              </w:rPr>
              <w:t>, kuriomis</w:t>
            </w:r>
            <w:r w:rsidR="00BD0266" w:rsidRPr="0062477B">
              <w:rPr>
                <w:rFonts w:ascii="Times New Roman" w:hAnsi="Times New Roman"/>
                <w:sz w:val="24"/>
                <w:szCs w:val="24"/>
              </w:rPr>
              <w:t xml:space="preserve"> numatyta modernizuoti viešąsias erdves, investuoti į infrastruktūrą, skatinančią teritorijos patrauklumą investicijoms i</w:t>
            </w:r>
            <w:r w:rsidR="004667C7">
              <w:rPr>
                <w:rFonts w:ascii="Times New Roman" w:hAnsi="Times New Roman"/>
                <w:sz w:val="24"/>
                <w:szCs w:val="24"/>
              </w:rPr>
              <w:t>r gerinančią gyvenamąją aplinką</w:t>
            </w:r>
            <w:r w:rsidR="00AF2004">
              <w:rPr>
                <w:rFonts w:ascii="Times New Roman" w:hAnsi="Times New Roman"/>
                <w:sz w:val="24"/>
                <w:szCs w:val="24"/>
              </w:rPr>
              <w:t>.</w:t>
            </w:r>
            <w:r w:rsidR="00BD0266" w:rsidRPr="0062477B">
              <w:rPr>
                <w:rFonts w:ascii="Times New Roman" w:hAnsi="Times New Roman"/>
                <w:sz w:val="24"/>
                <w:szCs w:val="24"/>
              </w:rPr>
              <w:t xml:space="preserve"> </w:t>
            </w:r>
            <w:r w:rsidR="001A5AD4" w:rsidRPr="0062477B">
              <w:rPr>
                <w:rFonts w:ascii="Times New Roman" w:hAnsi="Times New Roman"/>
                <w:sz w:val="24"/>
                <w:szCs w:val="24"/>
              </w:rPr>
              <w:t>7.1 investicinio prioriteto veiklos</w:t>
            </w:r>
            <w:r w:rsidR="001A5AD4" w:rsidRPr="001A2796">
              <w:rPr>
                <w:rFonts w:ascii="Times New Roman" w:hAnsi="Times New Roman"/>
                <w:sz w:val="24"/>
                <w:szCs w:val="24"/>
              </w:rPr>
              <w:t xml:space="preserve"> </w:t>
            </w:r>
            <w:r w:rsidR="001A2796" w:rsidRPr="001A2796">
              <w:rPr>
                <w:rFonts w:ascii="Times New Roman" w:hAnsi="Times New Roman"/>
                <w:sz w:val="24"/>
                <w:szCs w:val="24"/>
              </w:rPr>
              <w:t>susijusi</w:t>
            </w:r>
            <w:r w:rsidR="006872C1">
              <w:rPr>
                <w:rFonts w:ascii="Times New Roman" w:hAnsi="Times New Roman"/>
                <w:sz w:val="24"/>
                <w:szCs w:val="24"/>
              </w:rPr>
              <w:t>os</w:t>
            </w:r>
            <w:r w:rsidR="001A2796" w:rsidRPr="001A2796">
              <w:rPr>
                <w:rFonts w:ascii="Times New Roman" w:hAnsi="Times New Roman"/>
                <w:sz w:val="24"/>
                <w:szCs w:val="24"/>
              </w:rPr>
              <w:t xml:space="preserve"> su energijos</w:t>
            </w:r>
            <w:r w:rsidR="006872C1">
              <w:rPr>
                <w:rFonts w:ascii="Times New Roman" w:hAnsi="Times New Roman"/>
                <w:sz w:val="24"/>
                <w:szCs w:val="24"/>
              </w:rPr>
              <w:t xml:space="preserve"> gamybos ir vartojimo efektyvumo didinimu</w:t>
            </w:r>
            <w:r w:rsidR="001A2796" w:rsidRPr="001A2796">
              <w:rPr>
                <w:rFonts w:ascii="Times New Roman" w:hAnsi="Times New Roman"/>
                <w:sz w:val="24"/>
                <w:szCs w:val="24"/>
              </w:rPr>
              <w:t xml:space="preserve"> savivaldybių valdomoje viešojoje infrastruktūroje.</w:t>
            </w:r>
            <w:r w:rsidR="001A2796">
              <w:rPr>
                <w:rFonts w:ascii="Times New Roman" w:hAnsi="Times New Roman"/>
                <w:sz w:val="24"/>
                <w:szCs w:val="24"/>
              </w:rPr>
              <w:t xml:space="preserve"> </w:t>
            </w:r>
            <w:r w:rsidR="001A5AD4">
              <w:rPr>
                <w:rFonts w:ascii="Times New Roman" w:hAnsi="Times New Roman"/>
                <w:sz w:val="24"/>
                <w:szCs w:val="24"/>
              </w:rPr>
              <w:t>Šios</w:t>
            </w:r>
            <w:r w:rsidR="004667C7">
              <w:rPr>
                <w:rFonts w:ascii="Times New Roman" w:hAnsi="Times New Roman"/>
                <w:sz w:val="24"/>
                <w:szCs w:val="24"/>
              </w:rPr>
              <w:t xml:space="preserve"> </w:t>
            </w:r>
            <w:r w:rsidR="00BD0266" w:rsidRPr="0062477B">
              <w:rPr>
                <w:rFonts w:ascii="Times New Roman" w:hAnsi="Times New Roman"/>
                <w:sz w:val="24"/>
                <w:szCs w:val="24"/>
              </w:rPr>
              <w:t>priemonės remiamos veiklos</w:t>
            </w:r>
            <w:r w:rsidR="001A2796">
              <w:rPr>
                <w:rFonts w:ascii="Times New Roman" w:hAnsi="Times New Roman"/>
                <w:sz w:val="24"/>
                <w:szCs w:val="24"/>
              </w:rPr>
              <w:t>,</w:t>
            </w:r>
            <w:r w:rsidR="00BD0266" w:rsidRPr="0062477B">
              <w:rPr>
                <w:rFonts w:ascii="Times New Roman" w:hAnsi="Times New Roman"/>
                <w:sz w:val="24"/>
                <w:szCs w:val="24"/>
              </w:rPr>
              <w:t xml:space="preserve"> </w:t>
            </w:r>
            <w:r w:rsidR="00566ABC" w:rsidRPr="0062477B">
              <w:rPr>
                <w:rFonts w:ascii="Times New Roman" w:hAnsi="Times New Roman"/>
                <w:sz w:val="24"/>
                <w:szCs w:val="24"/>
              </w:rPr>
              <w:t xml:space="preserve">skirtos </w:t>
            </w:r>
            <w:r w:rsidR="00BD0266" w:rsidRPr="0062477B">
              <w:rPr>
                <w:rFonts w:ascii="Times New Roman" w:hAnsi="Times New Roman"/>
                <w:sz w:val="24"/>
                <w:szCs w:val="24"/>
              </w:rPr>
              <w:t xml:space="preserve">tik </w:t>
            </w:r>
            <w:r w:rsidR="004667C7">
              <w:rPr>
                <w:rFonts w:ascii="Times New Roman" w:hAnsi="Times New Roman"/>
                <w:sz w:val="24"/>
                <w:szCs w:val="24"/>
              </w:rPr>
              <w:t xml:space="preserve">elektros skirstomiesiems </w:t>
            </w:r>
            <w:r w:rsidR="00BD0266" w:rsidRPr="0062477B">
              <w:rPr>
                <w:rFonts w:ascii="Times New Roman" w:hAnsi="Times New Roman"/>
                <w:sz w:val="24"/>
                <w:szCs w:val="24"/>
              </w:rPr>
              <w:t>tink</w:t>
            </w:r>
            <w:r w:rsidR="003B5823" w:rsidRPr="0062477B">
              <w:rPr>
                <w:rFonts w:ascii="Times New Roman" w:hAnsi="Times New Roman"/>
                <w:sz w:val="24"/>
                <w:szCs w:val="24"/>
              </w:rPr>
              <w:t xml:space="preserve">lams, kurie atitinka </w:t>
            </w:r>
            <w:r w:rsidR="003B5823" w:rsidRPr="0062477B">
              <w:rPr>
                <w:rFonts w:ascii="Times New Roman" w:hAnsi="Times New Roman"/>
                <w:bCs/>
                <w:iCs/>
                <w:sz w:val="24"/>
                <w:szCs w:val="24"/>
                <w:lang w:eastAsia="lt-LT"/>
              </w:rPr>
              <w:t xml:space="preserve">2014 m. vasario </w:t>
            </w:r>
            <w:r w:rsidR="0063184E">
              <w:rPr>
                <w:rFonts w:ascii="Times New Roman" w:hAnsi="Times New Roman"/>
                <w:bCs/>
                <w:iCs/>
                <w:sz w:val="24"/>
                <w:szCs w:val="24"/>
                <w:lang w:eastAsia="lt-LT"/>
              </w:rPr>
              <w:t xml:space="preserve">    </w:t>
            </w:r>
            <w:r w:rsidR="003B5823" w:rsidRPr="0062477B">
              <w:rPr>
                <w:rFonts w:ascii="Times New Roman" w:hAnsi="Times New Roman"/>
                <w:bCs/>
                <w:iCs/>
                <w:sz w:val="24"/>
                <w:szCs w:val="24"/>
                <w:lang w:eastAsia="lt-LT"/>
              </w:rPr>
              <w:t xml:space="preserve">13 d. Europos Komisijos rekomendacijose dėl </w:t>
            </w:r>
            <w:proofErr w:type="spellStart"/>
            <w:r w:rsidR="0062477B">
              <w:rPr>
                <w:rFonts w:ascii="Times New Roman" w:hAnsi="Times New Roman"/>
                <w:bCs/>
                <w:iCs/>
                <w:sz w:val="24"/>
                <w:szCs w:val="24"/>
                <w:lang w:eastAsia="lt-LT"/>
              </w:rPr>
              <w:t>e</w:t>
            </w:r>
            <w:r w:rsidR="0062477B" w:rsidRPr="00A37C40">
              <w:rPr>
                <w:rFonts w:ascii="Times New Roman" w:hAnsi="Times New Roman"/>
                <w:bCs/>
                <w:iCs/>
                <w:sz w:val="24"/>
                <w:szCs w:val="24"/>
                <w:lang w:eastAsia="lt-LT"/>
              </w:rPr>
              <w:t>x</w:t>
            </w:r>
            <w:r w:rsidR="0062477B">
              <w:rPr>
                <w:rFonts w:ascii="Times New Roman" w:hAnsi="Times New Roman"/>
                <w:bCs/>
                <w:iCs/>
                <w:sz w:val="24"/>
                <w:szCs w:val="24"/>
                <w:lang w:eastAsia="lt-LT"/>
              </w:rPr>
              <w:t>-a</w:t>
            </w:r>
            <w:r w:rsidR="0062477B" w:rsidRPr="0062477B">
              <w:rPr>
                <w:rFonts w:ascii="Times New Roman" w:hAnsi="Times New Roman"/>
                <w:bCs/>
                <w:iCs/>
                <w:sz w:val="24"/>
                <w:szCs w:val="24"/>
                <w:lang w:eastAsia="lt-LT"/>
              </w:rPr>
              <w:t>nte</w:t>
            </w:r>
            <w:proofErr w:type="spellEnd"/>
            <w:r w:rsidR="003B5823" w:rsidRPr="00217DDD">
              <w:rPr>
                <w:rFonts w:ascii="Times New Roman" w:hAnsi="Times New Roman"/>
                <w:bCs/>
                <w:iCs/>
                <w:sz w:val="24"/>
                <w:szCs w:val="24"/>
                <w:lang w:eastAsia="lt-LT"/>
              </w:rPr>
              <w:t xml:space="preserve"> sąlygų Europos struktūrinių ir investicijų fondams nustatyt</w:t>
            </w:r>
            <w:r w:rsidR="009217F3" w:rsidRPr="00217DDD">
              <w:rPr>
                <w:rFonts w:ascii="Times New Roman" w:hAnsi="Times New Roman"/>
                <w:bCs/>
                <w:iCs/>
                <w:sz w:val="24"/>
                <w:szCs w:val="24"/>
                <w:lang w:eastAsia="lt-LT"/>
              </w:rPr>
              <w:t>ą</w:t>
            </w:r>
            <w:r w:rsidR="003B5823" w:rsidRPr="008D4951">
              <w:rPr>
                <w:rFonts w:ascii="Times New Roman" w:hAnsi="Times New Roman"/>
                <w:bCs/>
                <w:iCs/>
                <w:sz w:val="24"/>
                <w:szCs w:val="24"/>
                <w:lang w:eastAsia="lt-LT"/>
              </w:rPr>
              <w:t xml:space="preserve"> </w:t>
            </w:r>
            <w:r w:rsidR="003B5823" w:rsidRPr="008D4951">
              <w:rPr>
                <w:rFonts w:ascii="Times New Roman" w:hAnsi="Times New Roman"/>
                <w:bCs/>
                <w:sz w:val="24"/>
                <w:szCs w:val="24"/>
                <w:lang w:eastAsia="lt-LT"/>
              </w:rPr>
              <w:t>p</w:t>
            </w:r>
            <w:r w:rsidR="003B5823" w:rsidRPr="008D4951">
              <w:rPr>
                <w:rFonts w:ascii="Times New Roman" w:hAnsi="Times New Roman"/>
                <w:bCs/>
                <w:iCs/>
                <w:sz w:val="24"/>
                <w:szCs w:val="24"/>
              </w:rPr>
              <w:t>ažangio</w:t>
            </w:r>
            <w:r w:rsidR="004667C7">
              <w:rPr>
                <w:rFonts w:ascii="Times New Roman" w:hAnsi="Times New Roman"/>
                <w:bCs/>
                <w:iCs/>
                <w:sz w:val="24"/>
                <w:szCs w:val="24"/>
              </w:rPr>
              <w:t>si</w:t>
            </w:r>
            <w:r w:rsidR="003B5823" w:rsidRPr="008D4951">
              <w:rPr>
                <w:rFonts w:ascii="Times New Roman" w:hAnsi="Times New Roman"/>
                <w:bCs/>
                <w:iCs/>
                <w:sz w:val="24"/>
                <w:szCs w:val="24"/>
              </w:rPr>
              <w:t>o</w:t>
            </w:r>
            <w:r w:rsidR="004667C7">
              <w:rPr>
                <w:rFonts w:ascii="Times New Roman" w:hAnsi="Times New Roman"/>
                <w:bCs/>
                <w:iCs/>
                <w:sz w:val="24"/>
                <w:szCs w:val="24"/>
              </w:rPr>
              <w:t>s</w:t>
            </w:r>
            <w:r w:rsidR="003B5823" w:rsidRPr="008D4951">
              <w:rPr>
                <w:rFonts w:ascii="Times New Roman" w:hAnsi="Times New Roman"/>
                <w:bCs/>
                <w:iCs/>
                <w:sz w:val="24"/>
                <w:szCs w:val="24"/>
              </w:rPr>
              <w:t xml:space="preserve"> </w:t>
            </w:r>
            <w:r w:rsidR="004667C7">
              <w:rPr>
                <w:rFonts w:ascii="Times New Roman" w:hAnsi="Times New Roman"/>
                <w:bCs/>
                <w:iCs/>
                <w:sz w:val="24"/>
                <w:szCs w:val="24"/>
              </w:rPr>
              <w:t>elektros</w:t>
            </w:r>
            <w:r w:rsidR="003B5823" w:rsidRPr="008D4951">
              <w:rPr>
                <w:rFonts w:ascii="Times New Roman" w:hAnsi="Times New Roman"/>
                <w:bCs/>
                <w:iCs/>
                <w:sz w:val="24"/>
                <w:szCs w:val="24"/>
              </w:rPr>
              <w:t xml:space="preserve"> infrastruktūros</w:t>
            </w:r>
            <w:r w:rsidR="009217F3" w:rsidRPr="008D4951">
              <w:rPr>
                <w:rFonts w:ascii="Times New Roman" w:hAnsi="Times New Roman"/>
                <w:bCs/>
                <w:iCs/>
                <w:sz w:val="24"/>
                <w:szCs w:val="24"/>
              </w:rPr>
              <w:t xml:space="preserve"> apibrėžimą</w:t>
            </w:r>
            <w:r w:rsidR="00786271" w:rsidRPr="008D4951">
              <w:rPr>
                <w:rFonts w:ascii="Times New Roman" w:hAnsi="Times New Roman"/>
                <w:sz w:val="24"/>
                <w:szCs w:val="24"/>
              </w:rPr>
              <w:t xml:space="preserve">. </w:t>
            </w:r>
            <w:r w:rsidR="00BD0266" w:rsidRPr="0062477B">
              <w:rPr>
                <w:rFonts w:ascii="Times New Roman" w:hAnsi="Times New Roman"/>
                <w:sz w:val="24"/>
                <w:szCs w:val="24"/>
              </w:rPr>
              <w:t xml:space="preserve">7.1 investicinio prioriteto veiklos </w:t>
            </w:r>
            <w:r w:rsidR="00301B34" w:rsidRPr="0062477B">
              <w:rPr>
                <w:rFonts w:ascii="Times New Roman" w:hAnsi="Times New Roman"/>
                <w:sz w:val="24"/>
                <w:szCs w:val="24"/>
              </w:rPr>
              <w:t xml:space="preserve">skirtos </w:t>
            </w:r>
            <w:r w:rsidR="00BD0266" w:rsidRPr="0062477B">
              <w:rPr>
                <w:rFonts w:ascii="Times New Roman" w:hAnsi="Times New Roman"/>
                <w:sz w:val="24"/>
                <w:szCs w:val="24"/>
              </w:rPr>
              <w:t xml:space="preserve">ne </w:t>
            </w:r>
            <w:r w:rsidR="004667C7">
              <w:rPr>
                <w:rFonts w:ascii="Times New Roman" w:hAnsi="Times New Roman"/>
                <w:sz w:val="24"/>
                <w:szCs w:val="24"/>
              </w:rPr>
              <w:t>elektros skirstymo</w:t>
            </w:r>
            <w:r w:rsidR="00BD0266" w:rsidRPr="0062477B">
              <w:rPr>
                <w:rFonts w:ascii="Times New Roman" w:hAnsi="Times New Roman"/>
                <w:sz w:val="24"/>
                <w:szCs w:val="24"/>
              </w:rPr>
              <w:t xml:space="preserve"> sistemos modernizavimo </w:t>
            </w:r>
            <w:r w:rsidR="00301B34" w:rsidRPr="0062477B">
              <w:rPr>
                <w:rFonts w:ascii="Times New Roman" w:hAnsi="Times New Roman"/>
                <w:sz w:val="24"/>
                <w:szCs w:val="24"/>
              </w:rPr>
              <w:t xml:space="preserve">ir </w:t>
            </w:r>
            <w:r w:rsidR="00BD0266" w:rsidRPr="0062477B">
              <w:rPr>
                <w:rFonts w:ascii="Times New Roman" w:hAnsi="Times New Roman"/>
                <w:sz w:val="24"/>
                <w:szCs w:val="24"/>
              </w:rPr>
              <w:t>plėtros priemone</w:t>
            </w:r>
            <w:r w:rsidR="00301B34" w:rsidRPr="0062477B">
              <w:rPr>
                <w:rFonts w:ascii="Times New Roman" w:hAnsi="Times New Roman"/>
                <w:sz w:val="24"/>
                <w:szCs w:val="24"/>
              </w:rPr>
              <w:t>i</w:t>
            </w:r>
            <w:r w:rsidR="004667C7">
              <w:rPr>
                <w:rFonts w:ascii="Times New Roman" w:hAnsi="Times New Roman"/>
                <w:sz w:val="24"/>
                <w:szCs w:val="24"/>
              </w:rPr>
              <w:t>.</w:t>
            </w:r>
            <w:r>
              <w:rPr>
                <w:rFonts w:ascii="Times New Roman" w:hAnsi="Times New Roman"/>
                <w:sz w:val="24"/>
                <w:szCs w:val="24"/>
              </w:rPr>
              <w:t xml:space="preserve"> Priemonės į</w:t>
            </w:r>
            <w:r w:rsidR="00321B9A" w:rsidRPr="00321B9A">
              <w:rPr>
                <w:rFonts w:ascii="Times New Roman" w:hAnsi="Times New Roman"/>
                <w:sz w:val="24"/>
                <w:szCs w:val="24"/>
              </w:rPr>
              <w:t>gyvendin</w:t>
            </w:r>
            <w:r>
              <w:rPr>
                <w:rFonts w:ascii="Times New Roman" w:hAnsi="Times New Roman"/>
                <w:sz w:val="24"/>
                <w:szCs w:val="24"/>
              </w:rPr>
              <w:t>imui</w:t>
            </w:r>
            <w:r w:rsidR="00321B9A" w:rsidRPr="00321B9A">
              <w:rPr>
                <w:rFonts w:ascii="Times New Roman" w:hAnsi="Times New Roman"/>
                <w:sz w:val="24"/>
                <w:szCs w:val="24"/>
              </w:rPr>
              <w:t xml:space="preserve"> ITI </w:t>
            </w:r>
            <w:r w:rsidR="00871FE1">
              <w:rPr>
                <w:rFonts w:ascii="Times New Roman" w:hAnsi="Times New Roman"/>
                <w:sz w:val="24"/>
                <w:szCs w:val="24"/>
              </w:rPr>
              <w:t>(</w:t>
            </w:r>
            <w:r w:rsidR="00871FE1" w:rsidRPr="00321B9A">
              <w:rPr>
                <w:rFonts w:ascii="Times New Roman" w:hAnsi="Times New Roman"/>
                <w:sz w:val="24"/>
                <w:szCs w:val="24"/>
              </w:rPr>
              <w:t>integruotos teritorinės investicijos)</w:t>
            </w:r>
            <w:r w:rsidR="00871FE1">
              <w:rPr>
                <w:rFonts w:ascii="Times New Roman" w:hAnsi="Times New Roman"/>
                <w:sz w:val="24"/>
                <w:szCs w:val="24"/>
              </w:rPr>
              <w:t xml:space="preserve"> </w:t>
            </w:r>
            <w:r w:rsidR="00321B9A" w:rsidRPr="00321B9A">
              <w:rPr>
                <w:rFonts w:ascii="Times New Roman" w:hAnsi="Times New Roman"/>
                <w:sz w:val="24"/>
                <w:szCs w:val="24"/>
              </w:rPr>
              <w:t>netaikomos.</w:t>
            </w:r>
          </w:p>
        </w:tc>
      </w:tr>
      <w:tr w:rsidR="00FB6137" w:rsidRPr="0062477B" w:rsidTr="007D5462">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Priemonės sankirtų su kitų ES struktūrinių fondų, kitos ES finansinės paramos ar kitos </w:t>
            </w:r>
            <w:r w:rsidRPr="0062477B">
              <w:rPr>
                <w:rFonts w:ascii="Times New Roman" w:hAnsi="Times New Roman"/>
                <w:sz w:val="24"/>
                <w:szCs w:val="24"/>
              </w:rPr>
              <w:lastRenderedPageBreak/>
              <w:t xml:space="preserve">tarptautinės paramos priemonėmis įvertinimas ir nustatymas </w:t>
            </w:r>
          </w:p>
        </w:tc>
        <w:tc>
          <w:tcPr>
            <w:tcW w:w="6945" w:type="dxa"/>
          </w:tcPr>
          <w:p w:rsidR="00547094" w:rsidRPr="008D4951" w:rsidRDefault="000227A2" w:rsidP="00B43E9F">
            <w:pPr>
              <w:spacing w:after="200"/>
              <w:jc w:val="both"/>
              <w:rPr>
                <w:rFonts w:ascii="Times New Roman" w:hAnsi="Times New Roman"/>
                <w:sz w:val="24"/>
                <w:szCs w:val="24"/>
              </w:rPr>
            </w:pPr>
            <w:r w:rsidRPr="000227A2">
              <w:rPr>
                <w:rFonts w:ascii="Times New Roman" w:hAnsi="Times New Roman"/>
                <w:sz w:val="24"/>
                <w:szCs w:val="24"/>
              </w:rPr>
              <w:lastRenderedPageBreak/>
              <w:t>Šioje priemonėje numatytų veiklų nenumatoma finansuoti kitų ES struktūrinių fondų, kitos ES finansinės paramos ar kitos tarptautinės paramos priemonių lėšomis.</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sankirtos su iš valstybės biudžeto programų finansuojamomis veiklomis</w:t>
            </w:r>
          </w:p>
        </w:tc>
        <w:tc>
          <w:tcPr>
            <w:tcW w:w="6945" w:type="dxa"/>
          </w:tcPr>
          <w:p w:rsidR="0012518C" w:rsidRPr="0062477B" w:rsidRDefault="00B12C63" w:rsidP="00BC2651">
            <w:pPr>
              <w:tabs>
                <w:tab w:val="left" w:pos="567"/>
              </w:tabs>
              <w:spacing w:after="200"/>
              <w:jc w:val="both"/>
              <w:rPr>
                <w:rFonts w:ascii="Times New Roman" w:hAnsi="Times New Roman"/>
                <w:sz w:val="24"/>
                <w:szCs w:val="24"/>
              </w:rPr>
            </w:pPr>
            <w:r w:rsidRPr="0062477B">
              <w:rPr>
                <w:rFonts w:ascii="Times New Roman" w:hAnsi="Times New Roman"/>
                <w:sz w:val="24"/>
                <w:szCs w:val="24"/>
              </w:rPr>
              <w:t>I</w:t>
            </w:r>
            <w:r w:rsidR="003F7B6E" w:rsidRPr="0062477B">
              <w:rPr>
                <w:rFonts w:ascii="Times New Roman" w:hAnsi="Times New Roman"/>
                <w:sz w:val="24"/>
                <w:szCs w:val="24"/>
              </w:rPr>
              <w:t>š valstybės biudžeto programų nėra finansuojamos į priemonės veiklas panašios veiklos</w:t>
            </w:r>
            <w:r w:rsidRPr="00217DDD">
              <w:rPr>
                <w:rFonts w:ascii="Times New Roman" w:hAnsi="Times New Roman"/>
                <w:sz w:val="24"/>
                <w:szCs w:val="24"/>
              </w:rPr>
              <w:t xml:space="preserve">, todėl </w:t>
            </w:r>
            <w:r w:rsidR="006506B9" w:rsidRPr="00217DDD">
              <w:rPr>
                <w:rFonts w:ascii="Times New Roman" w:hAnsi="Times New Roman"/>
                <w:sz w:val="24"/>
                <w:szCs w:val="24"/>
              </w:rPr>
              <w:t>priemonės veikl</w:t>
            </w:r>
            <w:r w:rsidR="00463181" w:rsidRPr="008D4951">
              <w:rPr>
                <w:rFonts w:ascii="Times New Roman" w:hAnsi="Times New Roman"/>
                <w:sz w:val="24"/>
                <w:szCs w:val="24"/>
              </w:rPr>
              <w:t xml:space="preserve">ų sankirtų su iš </w:t>
            </w:r>
            <w:r w:rsidR="006506B9" w:rsidRPr="008D4951">
              <w:rPr>
                <w:rFonts w:ascii="Times New Roman" w:hAnsi="Times New Roman"/>
                <w:sz w:val="24"/>
                <w:szCs w:val="24"/>
              </w:rPr>
              <w:t>valstybės biudžeto programų finansuojam</w:t>
            </w:r>
            <w:r w:rsidR="00463181" w:rsidRPr="008D4951">
              <w:rPr>
                <w:rFonts w:ascii="Times New Roman" w:hAnsi="Times New Roman"/>
                <w:sz w:val="24"/>
                <w:szCs w:val="24"/>
              </w:rPr>
              <w:t>omis</w:t>
            </w:r>
            <w:r w:rsidR="006506B9" w:rsidRPr="008D4951">
              <w:rPr>
                <w:rFonts w:ascii="Times New Roman" w:hAnsi="Times New Roman"/>
                <w:sz w:val="24"/>
                <w:szCs w:val="24"/>
              </w:rPr>
              <w:t xml:space="preserve"> veikl</w:t>
            </w:r>
            <w:r w:rsidR="00463181" w:rsidRPr="0062477B">
              <w:rPr>
                <w:rFonts w:ascii="Times New Roman" w:hAnsi="Times New Roman"/>
                <w:sz w:val="24"/>
                <w:szCs w:val="24"/>
              </w:rPr>
              <w:t>omis nenustatyta</w:t>
            </w:r>
            <w:r w:rsidR="006506B9" w:rsidRPr="0062477B">
              <w:rPr>
                <w:rFonts w:ascii="Times New Roman" w:hAnsi="Times New Roman"/>
                <w:sz w:val="24"/>
                <w:szCs w:val="24"/>
              </w:rPr>
              <w:t>.</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s>
              <w:jc w:val="center"/>
              <w:rPr>
                <w:rFonts w:ascii="Times New Roman" w:hAnsi="Times New Roman"/>
                <w:sz w:val="24"/>
                <w:szCs w:val="24"/>
              </w:rPr>
            </w:pPr>
            <w:r w:rsidRPr="0062477B">
              <w:rPr>
                <w:rFonts w:ascii="Times New Roman" w:hAnsi="Times New Roman"/>
                <w:b/>
                <w:sz w:val="24"/>
                <w:szCs w:val="24"/>
              </w:rPr>
              <w:t>VI. P</w:t>
            </w:r>
            <w:r w:rsidRPr="0062477B">
              <w:rPr>
                <w:rFonts w:ascii="Times New Roman" w:hAnsi="Times New Roman"/>
                <w:b/>
                <w:bCs/>
                <w:sz w:val="24"/>
                <w:szCs w:val="24"/>
              </w:rPr>
              <w:t xml:space="preserve">riemonės įgyvendinimo </w:t>
            </w:r>
            <w:proofErr w:type="spellStart"/>
            <w:r w:rsidRPr="0062477B">
              <w:rPr>
                <w:rFonts w:ascii="Times New Roman" w:hAnsi="Times New Roman"/>
                <w:b/>
                <w:bCs/>
                <w:sz w:val="24"/>
                <w:szCs w:val="24"/>
              </w:rPr>
              <w:t>stebėsenos</w:t>
            </w:r>
            <w:proofErr w:type="spellEnd"/>
            <w:r w:rsidRPr="0062477B">
              <w:rPr>
                <w:rFonts w:ascii="Times New Roman" w:hAnsi="Times New Roman"/>
                <w:b/>
                <w:bCs/>
                <w:sz w:val="24"/>
                <w:szCs w:val="24"/>
              </w:rPr>
              <w:t xml:space="preserve"> rodikliai</w:t>
            </w:r>
          </w:p>
        </w:tc>
      </w:tr>
      <w:tr w:rsidR="00FB6137" w:rsidRPr="0062477B" w:rsidTr="00354224">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Nacionalinių </w:t>
            </w:r>
            <w:proofErr w:type="spellStart"/>
            <w:r w:rsidRPr="0062477B">
              <w:rPr>
                <w:rFonts w:ascii="Times New Roman" w:hAnsi="Times New Roman"/>
                <w:sz w:val="24"/>
                <w:szCs w:val="24"/>
              </w:rPr>
              <w:t>stebėsenos</w:t>
            </w:r>
            <w:proofErr w:type="spellEnd"/>
            <w:r w:rsidRPr="0062477B">
              <w:rPr>
                <w:rFonts w:ascii="Times New Roman" w:hAnsi="Times New Roman"/>
                <w:sz w:val="24"/>
                <w:szCs w:val="24"/>
              </w:rPr>
              <w:t xml:space="preserve"> rodiklių nustatymo poreikis</w:t>
            </w:r>
          </w:p>
        </w:tc>
        <w:tc>
          <w:tcPr>
            <w:tcW w:w="6945" w:type="dxa"/>
          </w:tcPr>
          <w:p w:rsidR="009231F6" w:rsidRPr="0062477B" w:rsidRDefault="0026365D" w:rsidP="00403C04">
            <w:pPr>
              <w:tabs>
                <w:tab w:val="left" w:pos="567"/>
              </w:tabs>
              <w:jc w:val="both"/>
              <w:rPr>
                <w:rFonts w:ascii="Times New Roman" w:hAnsi="Times New Roman"/>
                <w:sz w:val="24"/>
                <w:szCs w:val="24"/>
              </w:rPr>
            </w:pPr>
            <w:r w:rsidRPr="0062477B">
              <w:rPr>
                <w:rFonts w:ascii="Times New Roman" w:hAnsi="Times New Roman"/>
                <w:sz w:val="24"/>
                <w:szCs w:val="24"/>
              </w:rPr>
              <w:t xml:space="preserve">Nacionaliniai </w:t>
            </w:r>
            <w:proofErr w:type="spellStart"/>
            <w:r w:rsidRPr="0062477B">
              <w:rPr>
                <w:rFonts w:ascii="Times New Roman" w:hAnsi="Times New Roman"/>
                <w:sz w:val="24"/>
                <w:szCs w:val="24"/>
              </w:rPr>
              <w:t>stebėsenos</w:t>
            </w:r>
            <w:proofErr w:type="spellEnd"/>
            <w:r w:rsidRPr="0062477B">
              <w:rPr>
                <w:rFonts w:ascii="Times New Roman" w:hAnsi="Times New Roman"/>
                <w:sz w:val="24"/>
                <w:szCs w:val="24"/>
              </w:rPr>
              <w:t xml:space="preserve"> rodikliai </w:t>
            </w:r>
            <w:r w:rsidR="003232EA" w:rsidRPr="0062477B">
              <w:rPr>
                <w:rFonts w:ascii="Times New Roman" w:hAnsi="Times New Roman"/>
                <w:sz w:val="24"/>
                <w:szCs w:val="24"/>
              </w:rPr>
              <w:t xml:space="preserve">šiai priemonei </w:t>
            </w:r>
            <w:r w:rsidRPr="0062477B">
              <w:rPr>
                <w:rFonts w:ascii="Times New Roman" w:hAnsi="Times New Roman"/>
                <w:sz w:val="24"/>
                <w:szCs w:val="24"/>
              </w:rPr>
              <w:t xml:space="preserve">nėra nustatomi, nes veiksmų programoje </w:t>
            </w:r>
            <w:r w:rsidR="000B3C5E">
              <w:rPr>
                <w:rFonts w:ascii="Times New Roman" w:hAnsi="Times New Roman"/>
                <w:sz w:val="24"/>
                <w:szCs w:val="24"/>
              </w:rPr>
              <w:t>nustatytų</w:t>
            </w:r>
            <w:r w:rsidR="00AE346E" w:rsidRPr="00217DDD">
              <w:rPr>
                <w:rFonts w:ascii="Times New Roman" w:hAnsi="Times New Roman"/>
                <w:sz w:val="24"/>
                <w:szCs w:val="24"/>
              </w:rPr>
              <w:t xml:space="preserve"> </w:t>
            </w:r>
            <w:proofErr w:type="spellStart"/>
            <w:r w:rsidRPr="008D4951">
              <w:rPr>
                <w:rFonts w:ascii="Times New Roman" w:hAnsi="Times New Roman"/>
                <w:sz w:val="24"/>
                <w:szCs w:val="24"/>
              </w:rPr>
              <w:t>stebėsenos</w:t>
            </w:r>
            <w:proofErr w:type="spellEnd"/>
            <w:r w:rsidRPr="008D4951">
              <w:rPr>
                <w:rFonts w:ascii="Times New Roman" w:hAnsi="Times New Roman"/>
                <w:sz w:val="24"/>
                <w:szCs w:val="24"/>
              </w:rPr>
              <w:t xml:space="preserve"> </w:t>
            </w:r>
            <w:r w:rsidR="000B3C5E">
              <w:rPr>
                <w:rFonts w:ascii="Times New Roman" w:hAnsi="Times New Roman"/>
                <w:sz w:val="24"/>
                <w:szCs w:val="24"/>
              </w:rPr>
              <w:t>rodiklių</w:t>
            </w:r>
            <w:r w:rsidR="00AE346E" w:rsidRPr="008D4951">
              <w:rPr>
                <w:rFonts w:ascii="Times New Roman" w:hAnsi="Times New Roman"/>
                <w:sz w:val="24"/>
                <w:szCs w:val="24"/>
              </w:rPr>
              <w:t xml:space="preserve"> </w:t>
            </w:r>
            <w:r w:rsidR="000B3C5E" w:rsidRPr="000B3C5E">
              <w:rPr>
                <w:rFonts w:ascii="Times New Roman" w:hAnsi="Times New Roman"/>
                <w:sz w:val="24"/>
                <w:szCs w:val="24"/>
              </w:rPr>
              <w:t xml:space="preserve">pakanka </w:t>
            </w:r>
            <w:r w:rsidR="00403C04">
              <w:rPr>
                <w:rFonts w:ascii="Times New Roman" w:hAnsi="Times New Roman"/>
                <w:sz w:val="24"/>
                <w:szCs w:val="24"/>
              </w:rPr>
              <w:t>(</w:t>
            </w:r>
            <w:r w:rsidR="000B3C5E" w:rsidRPr="000B3C5E">
              <w:rPr>
                <w:rFonts w:ascii="Times New Roman" w:hAnsi="Times New Roman"/>
                <w:sz w:val="24"/>
                <w:szCs w:val="24"/>
              </w:rPr>
              <w:t>nėra poreikio rinkti papildomus duomenis atliekant poveikio vertinimus</w:t>
            </w:r>
            <w:r w:rsidR="00403C04">
              <w:rPr>
                <w:rFonts w:ascii="Times New Roman" w:hAnsi="Times New Roman"/>
                <w:sz w:val="24"/>
                <w:szCs w:val="24"/>
              </w:rPr>
              <w:t>)</w:t>
            </w:r>
            <w:r w:rsidR="000B3C5E" w:rsidRPr="000B3C5E">
              <w:rPr>
                <w:rFonts w:ascii="Times New Roman" w:hAnsi="Times New Roman"/>
                <w:sz w:val="24"/>
                <w:szCs w:val="24"/>
              </w:rPr>
              <w:t xml:space="preserve"> </w:t>
            </w:r>
            <w:r w:rsidRPr="0062477B">
              <w:rPr>
                <w:rFonts w:ascii="Times New Roman" w:hAnsi="Times New Roman"/>
                <w:sz w:val="24"/>
                <w:szCs w:val="24"/>
              </w:rPr>
              <w:t>tinkam</w:t>
            </w:r>
            <w:r w:rsidR="00403C04">
              <w:rPr>
                <w:rFonts w:ascii="Times New Roman" w:hAnsi="Times New Roman"/>
                <w:sz w:val="24"/>
                <w:szCs w:val="24"/>
              </w:rPr>
              <w:t>ai</w:t>
            </w:r>
            <w:r w:rsidRPr="0062477B">
              <w:rPr>
                <w:rFonts w:ascii="Times New Roman" w:hAnsi="Times New Roman"/>
                <w:sz w:val="24"/>
                <w:szCs w:val="24"/>
              </w:rPr>
              <w:t xml:space="preserve"> ir kokybišk</w:t>
            </w:r>
            <w:r w:rsidR="00403C04">
              <w:rPr>
                <w:rFonts w:ascii="Times New Roman" w:hAnsi="Times New Roman"/>
                <w:sz w:val="24"/>
                <w:szCs w:val="24"/>
              </w:rPr>
              <w:t>ai</w:t>
            </w:r>
            <w:r w:rsidRPr="0062477B">
              <w:rPr>
                <w:rFonts w:ascii="Times New Roman" w:hAnsi="Times New Roman"/>
                <w:sz w:val="24"/>
                <w:szCs w:val="24"/>
              </w:rPr>
              <w:t xml:space="preserve"> šios p</w:t>
            </w:r>
            <w:r w:rsidR="003B504E" w:rsidRPr="0062477B">
              <w:rPr>
                <w:rFonts w:ascii="Times New Roman" w:hAnsi="Times New Roman"/>
                <w:sz w:val="24"/>
                <w:szCs w:val="24"/>
              </w:rPr>
              <w:t xml:space="preserve">riemonės įgyvendinimo </w:t>
            </w:r>
            <w:proofErr w:type="spellStart"/>
            <w:r w:rsidR="003B504E" w:rsidRPr="0062477B">
              <w:rPr>
                <w:rFonts w:ascii="Times New Roman" w:hAnsi="Times New Roman"/>
                <w:sz w:val="24"/>
                <w:szCs w:val="24"/>
              </w:rPr>
              <w:t>stebėsen</w:t>
            </w:r>
            <w:r w:rsidR="00403C04">
              <w:rPr>
                <w:rFonts w:ascii="Times New Roman" w:hAnsi="Times New Roman"/>
                <w:sz w:val="24"/>
                <w:szCs w:val="24"/>
              </w:rPr>
              <w:t>ai</w:t>
            </w:r>
            <w:proofErr w:type="spellEnd"/>
            <w:r w:rsidR="00403C04">
              <w:t xml:space="preserve"> </w:t>
            </w:r>
            <w:r w:rsidR="00403C04">
              <w:rPr>
                <w:rFonts w:ascii="Times New Roman" w:hAnsi="Times New Roman"/>
                <w:sz w:val="24"/>
                <w:szCs w:val="24"/>
              </w:rPr>
              <w:t>užtikrinti</w:t>
            </w:r>
            <w:r w:rsidR="00AC7CD1" w:rsidRPr="0062477B">
              <w:rPr>
                <w:rFonts w:ascii="Times New Roman" w:hAnsi="Times New Roman"/>
                <w:sz w:val="24"/>
                <w:szCs w:val="24"/>
              </w:rPr>
              <w:t>, t.</w:t>
            </w:r>
            <w:r w:rsidR="000B3C5E">
              <w:rPr>
                <w:rFonts w:ascii="Times New Roman" w:hAnsi="Times New Roman"/>
                <w:sz w:val="24"/>
                <w:szCs w:val="24"/>
              </w:rPr>
              <w:t> </w:t>
            </w:r>
            <w:r w:rsidR="00AC7CD1" w:rsidRPr="00BC2651">
              <w:rPr>
                <w:rFonts w:ascii="Times New Roman" w:hAnsi="Times New Roman"/>
                <w:sz w:val="24"/>
                <w:szCs w:val="24"/>
              </w:rPr>
              <w:t xml:space="preserve">y veiksmų programos </w:t>
            </w:r>
            <w:proofErr w:type="spellStart"/>
            <w:r w:rsidR="00AC7CD1" w:rsidRPr="00BC2651">
              <w:rPr>
                <w:rFonts w:ascii="Times New Roman" w:hAnsi="Times New Roman"/>
                <w:sz w:val="24"/>
                <w:szCs w:val="24"/>
              </w:rPr>
              <w:t>stebėsenos</w:t>
            </w:r>
            <w:proofErr w:type="spellEnd"/>
            <w:r w:rsidR="00AC7CD1" w:rsidRPr="00BC2651">
              <w:rPr>
                <w:rFonts w:ascii="Times New Roman" w:hAnsi="Times New Roman"/>
                <w:sz w:val="24"/>
                <w:szCs w:val="24"/>
              </w:rPr>
              <w:t xml:space="preserve"> rodikliai atspindi pagal veiksmų programos</w:t>
            </w:r>
            <w:r w:rsidR="000625FA" w:rsidRPr="00BC2651">
              <w:rPr>
                <w:rFonts w:ascii="Times New Roman" w:hAnsi="Times New Roman"/>
                <w:sz w:val="24"/>
                <w:szCs w:val="24"/>
              </w:rPr>
              <w:t xml:space="preserve"> </w:t>
            </w:r>
            <w:r w:rsidR="00781F1F">
              <w:rPr>
                <w:rFonts w:ascii="Times New Roman" w:hAnsi="Times New Roman"/>
                <w:sz w:val="24"/>
                <w:szCs w:val="24"/>
              </w:rPr>
              <w:t xml:space="preserve">prioriteto </w:t>
            </w:r>
            <w:r w:rsidR="000625FA" w:rsidRPr="00BC2651">
              <w:rPr>
                <w:rFonts w:ascii="Times New Roman" w:hAnsi="Times New Roman"/>
                <w:sz w:val="24"/>
                <w:szCs w:val="24"/>
              </w:rPr>
              <w:t>įgyvendinimo</w:t>
            </w:r>
            <w:r w:rsidR="00AC7CD1" w:rsidRPr="00BC2651">
              <w:rPr>
                <w:rFonts w:ascii="Times New Roman" w:hAnsi="Times New Roman"/>
                <w:sz w:val="24"/>
                <w:szCs w:val="24"/>
              </w:rPr>
              <w:t xml:space="preserve"> priemonę remiamų veiklų pobūdį</w:t>
            </w:r>
            <w:r w:rsidR="00ED3A5A" w:rsidRPr="0062477B">
              <w:rPr>
                <w:rFonts w:ascii="Times New Roman" w:hAnsi="Times New Roman"/>
                <w:sz w:val="24"/>
                <w:szCs w:val="24"/>
              </w:rPr>
              <w:t>.</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s>
              <w:ind w:left="34"/>
              <w:jc w:val="center"/>
              <w:rPr>
                <w:rFonts w:ascii="Times New Roman" w:hAnsi="Times New Roman"/>
                <w:b/>
                <w:sz w:val="24"/>
                <w:szCs w:val="24"/>
              </w:rPr>
            </w:pPr>
            <w:r w:rsidRPr="0062477B">
              <w:rPr>
                <w:rFonts w:ascii="Times New Roman" w:hAnsi="Times New Roman"/>
                <w:b/>
                <w:bCs/>
                <w:sz w:val="24"/>
                <w:szCs w:val="24"/>
              </w:rPr>
              <w:t>VII. Priemonės finansavimo šaltiniai</w:t>
            </w:r>
          </w:p>
        </w:tc>
      </w:tr>
      <w:tr w:rsidR="00FB6137" w:rsidRPr="0062477B" w:rsidTr="00DB03A6">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Priemonei skiriamo finansavimo sumos pagrindimas</w:t>
            </w:r>
          </w:p>
        </w:tc>
        <w:tc>
          <w:tcPr>
            <w:tcW w:w="6945" w:type="dxa"/>
          </w:tcPr>
          <w:p w:rsidR="004A072F" w:rsidRPr="0062477B" w:rsidRDefault="0080359E" w:rsidP="0080790E">
            <w:pPr>
              <w:tabs>
                <w:tab w:val="left" w:pos="567"/>
              </w:tabs>
              <w:jc w:val="both"/>
              <w:rPr>
                <w:rFonts w:ascii="Times New Roman" w:hAnsi="Times New Roman"/>
                <w:sz w:val="24"/>
                <w:szCs w:val="24"/>
              </w:rPr>
            </w:pPr>
            <w:r w:rsidRPr="0062477B">
              <w:rPr>
                <w:rFonts w:ascii="Times New Roman" w:hAnsi="Times New Roman"/>
                <w:sz w:val="24"/>
                <w:szCs w:val="24"/>
              </w:rPr>
              <w:t xml:space="preserve">Šiai priemonei numatoma skirti </w:t>
            </w:r>
            <w:r w:rsidR="0080790E">
              <w:rPr>
                <w:rFonts w:ascii="Times New Roman" w:eastAsia="Times New Roman" w:hAnsi="Times New Roman"/>
                <w:bCs/>
                <w:color w:val="000000"/>
                <w:sz w:val="24"/>
                <w:szCs w:val="24"/>
                <w:lang w:eastAsia="lt-LT"/>
              </w:rPr>
              <w:t>20</w:t>
            </w:r>
            <w:r w:rsidR="00FD4AFA">
              <w:rPr>
                <w:rFonts w:ascii="Times New Roman" w:eastAsia="Times New Roman" w:hAnsi="Times New Roman"/>
                <w:bCs/>
                <w:color w:val="000000"/>
                <w:sz w:val="24"/>
                <w:szCs w:val="24"/>
                <w:lang w:eastAsia="lt-LT"/>
              </w:rPr>
              <w:t>.</w:t>
            </w:r>
            <w:r w:rsidR="0080790E">
              <w:rPr>
                <w:rFonts w:ascii="Times New Roman" w:eastAsia="Times New Roman" w:hAnsi="Times New Roman"/>
                <w:bCs/>
                <w:color w:val="000000"/>
                <w:sz w:val="24"/>
                <w:szCs w:val="24"/>
                <w:lang w:eastAsia="lt-LT"/>
              </w:rPr>
              <w:t>273</w:t>
            </w:r>
            <w:r w:rsidR="00FD4AFA">
              <w:rPr>
                <w:rFonts w:ascii="Times New Roman" w:eastAsia="Times New Roman" w:hAnsi="Times New Roman"/>
                <w:bCs/>
                <w:color w:val="000000"/>
                <w:sz w:val="24"/>
                <w:szCs w:val="24"/>
                <w:lang w:eastAsia="lt-LT"/>
              </w:rPr>
              <w:t>.</w:t>
            </w:r>
            <w:r w:rsidR="0080790E" w:rsidRPr="00EE20EA">
              <w:rPr>
                <w:rFonts w:ascii="Times New Roman" w:eastAsia="Times New Roman" w:hAnsi="Times New Roman"/>
                <w:bCs/>
                <w:color w:val="000000"/>
                <w:sz w:val="24"/>
                <w:szCs w:val="24"/>
                <w:lang w:eastAsia="lt-LT"/>
              </w:rPr>
              <w:t>401</w:t>
            </w:r>
            <w:r w:rsidR="0080790E">
              <w:rPr>
                <w:rFonts w:ascii="Times New Roman" w:eastAsia="Times New Roman" w:hAnsi="Times New Roman"/>
                <w:bCs/>
                <w:color w:val="000000"/>
                <w:sz w:val="24"/>
                <w:szCs w:val="24"/>
                <w:lang w:eastAsia="lt-LT"/>
              </w:rPr>
              <w:t xml:space="preserve"> </w:t>
            </w:r>
            <w:r w:rsidR="003B1DBD" w:rsidRPr="0062477B">
              <w:rPr>
                <w:rFonts w:ascii="Times New Roman" w:hAnsi="Times New Roman"/>
                <w:sz w:val="24"/>
                <w:szCs w:val="24"/>
              </w:rPr>
              <w:t>eurų</w:t>
            </w:r>
            <w:r w:rsidR="00266661" w:rsidRPr="0062477B">
              <w:rPr>
                <w:rFonts w:ascii="Times New Roman" w:hAnsi="Times New Roman"/>
                <w:sz w:val="24"/>
                <w:szCs w:val="24"/>
              </w:rPr>
              <w:t>.</w:t>
            </w:r>
            <w:r w:rsidR="00087349" w:rsidRPr="0062477B">
              <w:rPr>
                <w:rFonts w:ascii="Times New Roman" w:hAnsi="Times New Roman"/>
                <w:sz w:val="24"/>
                <w:szCs w:val="24"/>
              </w:rPr>
              <w:t xml:space="preserve"> Minėta</w:t>
            </w:r>
            <w:r w:rsidRPr="0062477B">
              <w:rPr>
                <w:rFonts w:ascii="Times New Roman" w:hAnsi="Times New Roman"/>
                <w:sz w:val="24"/>
                <w:szCs w:val="24"/>
              </w:rPr>
              <w:t xml:space="preserve"> suma buvo nustatyta </w:t>
            </w:r>
            <w:r w:rsidR="001625A6" w:rsidRPr="0062477B">
              <w:rPr>
                <w:rFonts w:ascii="Times New Roman" w:hAnsi="Times New Roman"/>
                <w:sz w:val="24"/>
                <w:szCs w:val="24"/>
              </w:rPr>
              <w:t>įvertinus</w:t>
            </w:r>
            <w:r w:rsidR="001C0218">
              <w:rPr>
                <w:rFonts w:ascii="Times New Roman" w:hAnsi="Times New Roman"/>
                <w:sz w:val="24"/>
                <w:szCs w:val="24"/>
              </w:rPr>
              <w:t xml:space="preserve"> v</w:t>
            </w:r>
            <w:r w:rsidR="00781F1F">
              <w:rPr>
                <w:rFonts w:ascii="Times New Roman" w:hAnsi="Times New Roman"/>
                <w:sz w:val="24"/>
                <w:szCs w:val="24"/>
              </w:rPr>
              <w:t>eik</w:t>
            </w:r>
            <w:r w:rsidR="001C0218">
              <w:rPr>
                <w:rFonts w:ascii="Times New Roman" w:hAnsi="Times New Roman"/>
                <w:sz w:val="24"/>
                <w:szCs w:val="24"/>
              </w:rPr>
              <w:t>s</w:t>
            </w:r>
            <w:r w:rsidR="00781F1F">
              <w:rPr>
                <w:rFonts w:ascii="Times New Roman" w:hAnsi="Times New Roman"/>
                <w:sz w:val="24"/>
                <w:szCs w:val="24"/>
              </w:rPr>
              <w:t>mų programos</w:t>
            </w:r>
            <w:r w:rsidR="001625A6" w:rsidRPr="0062477B">
              <w:rPr>
                <w:rFonts w:ascii="Times New Roman" w:hAnsi="Times New Roman"/>
                <w:sz w:val="24"/>
                <w:szCs w:val="24"/>
              </w:rPr>
              <w:t xml:space="preserve"> </w:t>
            </w:r>
            <w:r w:rsidR="00714F8F">
              <w:rPr>
                <w:rFonts w:ascii="Times New Roman" w:hAnsi="Times New Roman"/>
                <w:sz w:val="24"/>
                <w:szCs w:val="24"/>
              </w:rPr>
              <w:t>4.4.1</w:t>
            </w:r>
            <w:r w:rsidR="001625A6" w:rsidRPr="0062477B">
              <w:rPr>
                <w:rFonts w:ascii="Times New Roman" w:hAnsi="Times New Roman"/>
                <w:sz w:val="24"/>
                <w:szCs w:val="24"/>
              </w:rPr>
              <w:t xml:space="preserve"> uždaviniui numatytas </w:t>
            </w:r>
            <w:r w:rsidR="0056197D">
              <w:rPr>
                <w:rFonts w:ascii="Times New Roman" w:hAnsi="Times New Roman"/>
                <w:sz w:val="24"/>
                <w:szCs w:val="24"/>
              </w:rPr>
              <w:t>priemones ir tikslus.</w:t>
            </w:r>
            <w:r w:rsidR="009557C0">
              <w:rPr>
                <w:rFonts w:ascii="Times New Roman" w:hAnsi="Times New Roman"/>
                <w:sz w:val="24"/>
                <w:szCs w:val="24"/>
              </w:rPr>
              <w:t xml:space="preserve"> </w:t>
            </w:r>
          </w:p>
        </w:tc>
      </w:tr>
      <w:tr w:rsidR="00FB6137" w:rsidRPr="0062477B" w:rsidTr="009D76A8">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62477B" w:rsidDel="00A8791D"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Priemonei skiriamų ES struktūrinių fondų lėšų pagrindimas</w:t>
            </w:r>
          </w:p>
        </w:tc>
        <w:tc>
          <w:tcPr>
            <w:tcW w:w="6945" w:type="dxa"/>
          </w:tcPr>
          <w:p w:rsidR="00512DDD" w:rsidRPr="001A2796" w:rsidRDefault="00512DDD" w:rsidP="0062477B">
            <w:pPr>
              <w:jc w:val="both"/>
              <w:rPr>
                <w:rFonts w:ascii="Times New Roman" w:hAnsi="Times New Roman"/>
                <w:sz w:val="24"/>
                <w:szCs w:val="24"/>
              </w:rPr>
            </w:pPr>
            <w:r w:rsidRPr="001A2796">
              <w:rPr>
                <w:rFonts w:ascii="Times New Roman" w:hAnsi="Times New Roman"/>
                <w:sz w:val="24"/>
                <w:szCs w:val="24"/>
              </w:rPr>
              <w:t>Priemonei skiriam</w:t>
            </w:r>
            <w:r w:rsidR="0062477B" w:rsidRPr="001A2796">
              <w:rPr>
                <w:rFonts w:ascii="Times New Roman" w:hAnsi="Times New Roman"/>
                <w:sz w:val="24"/>
                <w:szCs w:val="24"/>
              </w:rPr>
              <w:t>os</w:t>
            </w:r>
            <w:r w:rsidRPr="001A2796">
              <w:rPr>
                <w:rFonts w:ascii="Times New Roman" w:hAnsi="Times New Roman"/>
                <w:sz w:val="24"/>
                <w:szCs w:val="24"/>
              </w:rPr>
              <w:t xml:space="preserve"> ES struktūrinių fondų lėš</w:t>
            </w:r>
            <w:r w:rsidR="0062477B" w:rsidRPr="001A2796">
              <w:rPr>
                <w:rFonts w:ascii="Times New Roman" w:hAnsi="Times New Roman"/>
                <w:sz w:val="24"/>
                <w:szCs w:val="24"/>
              </w:rPr>
              <w:t>os</w:t>
            </w:r>
            <w:r w:rsidR="00217DDD" w:rsidRPr="001A2796">
              <w:rPr>
                <w:rFonts w:ascii="Times New Roman" w:hAnsi="Times New Roman"/>
                <w:sz w:val="24"/>
                <w:szCs w:val="24"/>
              </w:rPr>
              <w:t xml:space="preserve"> buvo numatytos atsižvelgiant</w:t>
            </w:r>
            <w:r w:rsidRPr="001A2796">
              <w:rPr>
                <w:rFonts w:ascii="Times New Roman" w:hAnsi="Times New Roman"/>
                <w:sz w:val="24"/>
                <w:szCs w:val="24"/>
              </w:rPr>
              <w:t>:</w:t>
            </w:r>
          </w:p>
          <w:p w:rsidR="00512DDD" w:rsidRPr="001A2796" w:rsidRDefault="00512DDD" w:rsidP="00217DDD">
            <w:pPr>
              <w:pStyle w:val="ListParagraph"/>
              <w:numPr>
                <w:ilvl w:val="0"/>
                <w:numId w:val="6"/>
              </w:numPr>
              <w:jc w:val="both"/>
              <w:rPr>
                <w:rFonts w:ascii="Times New Roman" w:hAnsi="Times New Roman"/>
                <w:sz w:val="24"/>
                <w:szCs w:val="24"/>
              </w:rPr>
            </w:pPr>
            <w:r w:rsidRPr="001A2796">
              <w:rPr>
                <w:rFonts w:ascii="Times New Roman" w:hAnsi="Times New Roman"/>
                <w:sz w:val="24"/>
                <w:szCs w:val="24"/>
              </w:rPr>
              <w:t>Nacionalinėje energetikos strategijoje, Nacionalinėje pažangos programoje ir veiksmų programoje nustatyt</w:t>
            </w:r>
            <w:r w:rsidR="00217DDD" w:rsidRPr="001A2796">
              <w:rPr>
                <w:rFonts w:ascii="Times New Roman" w:hAnsi="Times New Roman"/>
                <w:sz w:val="24"/>
                <w:szCs w:val="24"/>
              </w:rPr>
              <w:t>us</w:t>
            </w:r>
            <w:r w:rsidRPr="001A2796">
              <w:rPr>
                <w:rFonts w:ascii="Times New Roman" w:hAnsi="Times New Roman"/>
                <w:sz w:val="24"/>
                <w:szCs w:val="24"/>
              </w:rPr>
              <w:t xml:space="preserve"> tiksl</w:t>
            </w:r>
            <w:r w:rsidR="00217DDD" w:rsidRPr="001A2796">
              <w:rPr>
                <w:rFonts w:ascii="Times New Roman" w:hAnsi="Times New Roman"/>
                <w:sz w:val="24"/>
                <w:szCs w:val="24"/>
              </w:rPr>
              <w:t>us</w:t>
            </w:r>
            <w:r w:rsidRPr="001A2796">
              <w:rPr>
                <w:rFonts w:ascii="Times New Roman" w:hAnsi="Times New Roman"/>
                <w:sz w:val="24"/>
                <w:szCs w:val="24"/>
              </w:rPr>
              <w:t xml:space="preserve">; </w:t>
            </w:r>
          </w:p>
          <w:p w:rsidR="00512DDD" w:rsidRPr="001A2796" w:rsidRDefault="00512DDD" w:rsidP="00217DDD">
            <w:pPr>
              <w:pStyle w:val="ListParagraph"/>
              <w:numPr>
                <w:ilvl w:val="0"/>
                <w:numId w:val="6"/>
              </w:numPr>
              <w:jc w:val="both"/>
              <w:rPr>
                <w:rFonts w:ascii="Times New Roman" w:hAnsi="Times New Roman"/>
                <w:sz w:val="24"/>
                <w:szCs w:val="24"/>
              </w:rPr>
            </w:pPr>
            <w:r w:rsidRPr="001A2796">
              <w:rPr>
                <w:rFonts w:ascii="Times New Roman" w:hAnsi="Times New Roman"/>
                <w:sz w:val="24"/>
                <w:szCs w:val="24"/>
              </w:rPr>
              <w:t xml:space="preserve">į </w:t>
            </w:r>
            <w:r w:rsidR="009C1ABD" w:rsidRPr="001A2796">
              <w:rPr>
                <w:rFonts w:ascii="Times New Roman" w:hAnsi="Times New Roman"/>
                <w:sz w:val="24"/>
                <w:szCs w:val="24"/>
              </w:rPr>
              <w:t xml:space="preserve">tokių projektų įgyvendinimo </w:t>
            </w:r>
            <w:r w:rsidRPr="001A2796">
              <w:rPr>
                <w:rFonts w:ascii="Times New Roman" w:hAnsi="Times New Roman"/>
                <w:sz w:val="24"/>
                <w:szCs w:val="24"/>
              </w:rPr>
              <w:t>patirtį</w:t>
            </w:r>
            <w:r w:rsidR="009C1ABD" w:rsidRPr="001A2796">
              <w:rPr>
                <w:rFonts w:ascii="Times New Roman" w:hAnsi="Times New Roman"/>
                <w:sz w:val="24"/>
                <w:szCs w:val="24"/>
              </w:rPr>
              <w:t xml:space="preserve"> </w:t>
            </w:r>
            <w:r w:rsidR="0005008C" w:rsidRPr="001A2796">
              <w:rPr>
                <w:rFonts w:ascii="Times New Roman" w:hAnsi="Times New Roman"/>
                <w:sz w:val="24"/>
                <w:szCs w:val="24"/>
              </w:rPr>
              <w:t>2007</w:t>
            </w:r>
            <w:r w:rsidR="00217DDD" w:rsidRPr="001A2796">
              <w:rPr>
                <w:rFonts w:ascii="Times New Roman" w:hAnsi="Times New Roman"/>
                <w:sz w:val="24"/>
                <w:szCs w:val="24"/>
              </w:rPr>
              <w:t>–</w:t>
            </w:r>
            <w:r w:rsidR="0005008C" w:rsidRPr="001A2796">
              <w:rPr>
                <w:rFonts w:ascii="Times New Roman" w:hAnsi="Times New Roman"/>
                <w:sz w:val="24"/>
                <w:szCs w:val="24"/>
              </w:rPr>
              <w:t>2013</w:t>
            </w:r>
            <w:r w:rsidR="00217DDD" w:rsidRPr="001A2796">
              <w:rPr>
                <w:rFonts w:ascii="Times New Roman" w:hAnsi="Times New Roman"/>
                <w:sz w:val="24"/>
                <w:szCs w:val="24"/>
              </w:rPr>
              <w:t xml:space="preserve"> </w:t>
            </w:r>
            <w:r w:rsidR="0005008C" w:rsidRPr="001A2796">
              <w:rPr>
                <w:rFonts w:ascii="Times New Roman" w:hAnsi="Times New Roman"/>
                <w:sz w:val="24"/>
                <w:szCs w:val="24"/>
              </w:rPr>
              <w:t>m. finansavimo laikotarpi</w:t>
            </w:r>
            <w:r w:rsidR="009C1ABD" w:rsidRPr="001A2796">
              <w:rPr>
                <w:rFonts w:ascii="Times New Roman" w:hAnsi="Times New Roman"/>
                <w:sz w:val="24"/>
                <w:szCs w:val="24"/>
              </w:rPr>
              <w:t>u</w:t>
            </w:r>
            <w:r w:rsidRPr="001A2796">
              <w:rPr>
                <w:rFonts w:ascii="Times New Roman" w:hAnsi="Times New Roman"/>
                <w:sz w:val="24"/>
                <w:szCs w:val="24"/>
              </w:rPr>
              <w:t>;</w:t>
            </w:r>
            <w:r w:rsidR="004249D4" w:rsidRPr="001A2796">
              <w:rPr>
                <w:rFonts w:ascii="Times New Roman" w:hAnsi="Times New Roman"/>
                <w:sz w:val="24"/>
                <w:szCs w:val="24"/>
              </w:rPr>
              <w:t xml:space="preserve"> </w:t>
            </w:r>
          </w:p>
          <w:p w:rsidR="00512DDD" w:rsidRPr="001A2796" w:rsidRDefault="00647639" w:rsidP="00217DDD">
            <w:pPr>
              <w:pStyle w:val="ListParagraph"/>
              <w:numPr>
                <w:ilvl w:val="0"/>
                <w:numId w:val="6"/>
              </w:numPr>
              <w:jc w:val="both"/>
              <w:rPr>
                <w:rFonts w:ascii="Times New Roman" w:hAnsi="Times New Roman"/>
                <w:sz w:val="24"/>
                <w:szCs w:val="24"/>
              </w:rPr>
            </w:pPr>
            <w:r w:rsidRPr="001A2796">
              <w:rPr>
                <w:rFonts w:ascii="Times New Roman" w:hAnsi="Times New Roman"/>
                <w:sz w:val="24"/>
                <w:szCs w:val="24"/>
              </w:rPr>
              <w:t xml:space="preserve">įvertinus </w:t>
            </w:r>
            <w:r w:rsidR="006C3BF5" w:rsidRPr="001A2796">
              <w:rPr>
                <w:rFonts w:ascii="Times New Roman" w:hAnsi="Times New Roman"/>
                <w:sz w:val="24"/>
                <w:szCs w:val="24"/>
              </w:rPr>
              <w:t xml:space="preserve">pagal </w:t>
            </w:r>
            <w:r w:rsidR="001C0218" w:rsidRPr="001A2796">
              <w:rPr>
                <w:rFonts w:ascii="Times New Roman" w:hAnsi="Times New Roman"/>
                <w:sz w:val="24"/>
                <w:szCs w:val="24"/>
              </w:rPr>
              <w:t xml:space="preserve">veiksmų programos </w:t>
            </w:r>
            <w:r w:rsidR="009557C0" w:rsidRPr="001A2796">
              <w:rPr>
                <w:rFonts w:ascii="Times New Roman" w:hAnsi="Times New Roman"/>
                <w:sz w:val="24"/>
                <w:szCs w:val="24"/>
              </w:rPr>
              <w:t>4.4</w:t>
            </w:r>
            <w:r w:rsidRPr="001A2796">
              <w:rPr>
                <w:rFonts w:ascii="Times New Roman" w:hAnsi="Times New Roman"/>
                <w:sz w:val="24"/>
                <w:szCs w:val="24"/>
              </w:rPr>
              <w:t>.1</w:t>
            </w:r>
            <w:r w:rsidR="006C3BF5" w:rsidRPr="001A2796">
              <w:rPr>
                <w:rFonts w:ascii="Times New Roman" w:hAnsi="Times New Roman"/>
                <w:sz w:val="24"/>
                <w:szCs w:val="24"/>
              </w:rPr>
              <w:t xml:space="preserve"> konkretų</w:t>
            </w:r>
            <w:r w:rsidRPr="001A2796">
              <w:rPr>
                <w:rFonts w:ascii="Times New Roman" w:hAnsi="Times New Roman"/>
                <w:sz w:val="24"/>
                <w:szCs w:val="24"/>
              </w:rPr>
              <w:t xml:space="preserve"> uždavin</w:t>
            </w:r>
            <w:r w:rsidR="006C3BF5" w:rsidRPr="001A2796">
              <w:rPr>
                <w:rFonts w:ascii="Times New Roman" w:hAnsi="Times New Roman"/>
                <w:sz w:val="24"/>
                <w:szCs w:val="24"/>
              </w:rPr>
              <w:t>į priemonėms</w:t>
            </w:r>
            <w:r w:rsidRPr="001A2796">
              <w:rPr>
                <w:rFonts w:ascii="Times New Roman" w:hAnsi="Times New Roman"/>
                <w:sz w:val="24"/>
                <w:szCs w:val="24"/>
              </w:rPr>
              <w:t xml:space="preserve"> numatytų</w:t>
            </w:r>
            <w:r w:rsidR="006C3BF5" w:rsidRPr="001A2796">
              <w:rPr>
                <w:rFonts w:ascii="Times New Roman" w:hAnsi="Times New Roman"/>
                <w:sz w:val="24"/>
                <w:szCs w:val="24"/>
              </w:rPr>
              <w:t xml:space="preserve"> paskirstyti </w:t>
            </w:r>
            <w:r w:rsidRPr="001A2796">
              <w:rPr>
                <w:rFonts w:ascii="Times New Roman" w:hAnsi="Times New Roman"/>
                <w:sz w:val="24"/>
                <w:szCs w:val="24"/>
              </w:rPr>
              <w:t>lėšų ir planuojamų finansuoti projektų</w:t>
            </w:r>
            <w:r w:rsidR="00217DDD" w:rsidRPr="001A2796">
              <w:rPr>
                <w:rFonts w:ascii="Times New Roman" w:hAnsi="Times New Roman"/>
                <w:sz w:val="24"/>
                <w:szCs w:val="24"/>
              </w:rPr>
              <w:t xml:space="preserve"> pagal minėtą uždavinį</w:t>
            </w:r>
            <w:r w:rsidRPr="001A2796">
              <w:rPr>
                <w:rFonts w:ascii="Times New Roman" w:hAnsi="Times New Roman"/>
                <w:sz w:val="24"/>
                <w:szCs w:val="24"/>
              </w:rPr>
              <w:t xml:space="preserve"> san</w:t>
            </w:r>
            <w:r w:rsidR="00512DDD" w:rsidRPr="001A2796">
              <w:rPr>
                <w:rFonts w:ascii="Times New Roman" w:hAnsi="Times New Roman"/>
                <w:sz w:val="24"/>
                <w:szCs w:val="24"/>
              </w:rPr>
              <w:t>tykį</w:t>
            </w:r>
            <w:r w:rsidR="00217DDD" w:rsidRPr="001A2796">
              <w:rPr>
                <w:rFonts w:ascii="Times New Roman" w:hAnsi="Times New Roman"/>
                <w:sz w:val="24"/>
                <w:szCs w:val="24"/>
              </w:rPr>
              <w:t>.</w:t>
            </w:r>
          </w:p>
          <w:p w:rsidR="0069604C" w:rsidRPr="001A2796" w:rsidRDefault="00512DDD" w:rsidP="00217DDD">
            <w:pPr>
              <w:pStyle w:val="ListParagraph"/>
              <w:numPr>
                <w:ilvl w:val="0"/>
                <w:numId w:val="6"/>
              </w:numPr>
              <w:jc w:val="both"/>
              <w:rPr>
                <w:rFonts w:ascii="Times New Roman" w:hAnsi="Times New Roman"/>
                <w:sz w:val="24"/>
                <w:szCs w:val="24"/>
              </w:rPr>
            </w:pPr>
            <w:r w:rsidRPr="001A2796">
              <w:rPr>
                <w:rFonts w:ascii="Times New Roman" w:hAnsi="Times New Roman"/>
                <w:sz w:val="24"/>
                <w:szCs w:val="24"/>
              </w:rPr>
              <w:t>vadovaujantis</w:t>
            </w:r>
            <w:r w:rsidR="007D470A" w:rsidRPr="001A2796">
              <w:rPr>
                <w:rFonts w:ascii="Times New Roman" w:hAnsi="Times New Roman"/>
                <w:sz w:val="24"/>
                <w:szCs w:val="24"/>
              </w:rPr>
              <w:t xml:space="preserve"> </w:t>
            </w:r>
            <w:r w:rsidR="00414168" w:rsidRPr="001A2796">
              <w:rPr>
                <w:rFonts w:ascii="Times New Roman" w:hAnsi="Times New Roman"/>
                <w:sz w:val="24"/>
                <w:szCs w:val="24"/>
              </w:rPr>
              <w:t>reguliuojamos veiklos kainodaros principų taikym</w:t>
            </w:r>
            <w:r w:rsidRPr="001A2796">
              <w:rPr>
                <w:rFonts w:ascii="Times New Roman" w:hAnsi="Times New Roman"/>
                <w:sz w:val="24"/>
                <w:szCs w:val="24"/>
              </w:rPr>
              <w:t>u</w:t>
            </w:r>
            <w:r w:rsidR="009C1ABD" w:rsidRPr="001A2796">
              <w:rPr>
                <w:rFonts w:ascii="Times New Roman" w:hAnsi="Times New Roman"/>
                <w:sz w:val="24"/>
                <w:szCs w:val="24"/>
              </w:rPr>
              <w:t xml:space="preserve"> </w:t>
            </w:r>
            <w:r w:rsidR="00FD2CD2" w:rsidRPr="001A2796">
              <w:rPr>
                <w:rFonts w:ascii="Times New Roman" w:hAnsi="Times New Roman"/>
                <w:sz w:val="24"/>
                <w:szCs w:val="24"/>
              </w:rPr>
              <w:t>bei balans</w:t>
            </w:r>
            <w:r w:rsidR="00250D8C" w:rsidRPr="001A2796">
              <w:rPr>
                <w:rFonts w:ascii="Times New Roman" w:hAnsi="Times New Roman"/>
                <w:sz w:val="24"/>
                <w:szCs w:val="24"/>
              </w:rPr>
              <w:t>o</w:t>
            </w:r>
            <w:r w:rsidR="00FD2CD2" w:rsidRPr="001A2796">
              <w:rPr>
                <w:rFonts w:ascii="Times New Roman" w:hAnsi="Times New Roman"/>
                <w:sz w:val="24"/>
                <w:szCs w:val="24"/>
              </w:rPr>
              <w:t xml:space="preserve"> tarp </w:t>
            </w:r>
            <w:r w:rsidR="003B455E" w:rsidRPr="001A2796">
              <w:rPr>
                <w:rFonts w:ascii="Times New Roman" w:hAnsi="Times New Roman"/>
                <w:sz w:val="24"/>
                <w:szCs w:val="24"/>
              </w:rPr>
              <w:t>elektros energijos</w:t>
            </w:r>
            <w:r w:rsidR="00FD2CD2" w:rsidRPr="001A2796">
              <w:rPr>
                <w:rFonts w:ascii="Times New Roman" w:hAnsi="Times New Roman"/>
                <w:sz w:val="24"/>
                <w:szCs w:val="24"/>
              </w:rPr>
              <w:t xml:space="preserve"> tarifo ir naštos </w:t>
            </w:r>
            <w:r w:rsidR="003B455E" w:rsidRPr="001A2796">
              <w:rPr>
                <w:rFonts w:ascii="Times New Roman" w:hAnsi="Times New Roman"/>
                <w:sz w:val="24"/>
                <w:szCs w:val="24"/>
              </w:rPr>
              <w:t>elektros energijos</w:t>
            </w:r>
            <w:r w:rsidR="00FD2CD2" w:rsidRPr="001A2796">
              <w:rPr>
                <w:rFonts w:ascii="Times New Roman" w:hAnsi="Times New Roman"/>
                <w:sz w:val="24"/>
                <w:szCs w:val="24"/>
              </w:rPr>
              <w:t xml:space="preserve"> vartotojams</w:t>
            </w:r>
            <w:r w:rsidR="00250D8C" w:rsidRPr="001A2796">
              <w:rPr>
                <w:rFonts w:ascii="Times New Roman" w:hAnsi="Times New Roman"/>
                <w:sz w:val="24"/>
                <w:szCs w:val="24"/>
              </w:rPr>
              <w:t xml:space="preserve"> užtikrinimu</w:t>
            </w:r>
            <w:r w:rsidR="00FD2CD2" w:rsidRPr="001A2796">
              <w:rPr>
                <w:rFonts w:ascii="Times New Roman" w:hAnsi="Times New Roman"/>
                <w:sz w:val="24"/>
                <w:szCs w:val="24"/>
              </w:rPr>
              <w:t>.</w:t>
            </w:r>
          </w:p>
          <w:p w:rsidR="00512DDD" w:rsidRPr="001A2796" w:rsidRDefault="00512DDD" w:rsidP="00217DDD">
            <w:pPr>
              <w:jc w:val="both"/>
              <w:rPr>
                <w:rFonts w:ascii="Times New Roman" w:hAnsi="Times New Roman"/>
                <w:sz w:val="24"/>
                <w:szCs w:val="24"/>
              </w:rPr>
            </w:pPr>
          </w:p>
          <w:p w:rsidR="005536BA" w:rsidRPr="001A2796" w:rsidDel="00A8791D" w:rsidRDefault="00217DDD" w:rsidP="009557C0">
            <w:pPr>
              <w:jc w:val="both"/>
              <w:rPr>
                <w:rFonts w:ascii="Times New Roman" w:hAnsi="Times New Roman"/>
                <w:sz w:val="24"/>
                <w:szCs w:val="24"/>
              </w:rPr>
            </w:pPr>
            <w:r w:rsidRPr="001A2796">
              <w:rPr>
                <w:rFonts w:ascii="Times New Roman" w:hAnsi="Times New Roman"/>
                <w:sz w:val="24"/>
                <w:szCs w:val="24"/>
              </w:rPr>
              <w:t>Planuojama</w:t>
            </w:r>
            <w:r w:rsidR="005536BA" w:rsidRPr="001A2796">
              <w:rPr>
                <w:rFonts w:ascii="Times New Roman" w:hAnsi="Times New Roman"/>
                <w:sz w:val="24"/>
                <w:szCs w:val="24"/>
              </w:rPr>
              <w:t xml:space="preserve"> finansuoti 50</w:t>
            </w:r>
            <w:r w:rsidR="003B455E" w:rsidRPr="001A2796">
              <w:rPr>
                <w:rFonts w:ascii="Times New Roman" w:hAnsi="Times New Roman"/>
                <w:sz w:val="24"/>
                <w:szCs w:val="24"/>
              </w:rPr>
              <w:t> </w:t>
            </w:r>
            <w:r w:rsidR="009557C0" w:rsidRPr="001A2796">
              <w:rPr>
                <w:rFonts w:ascii="Times New Roman" w:hAnsi="Times New Roman"/>
                <w:sz w:val="24"/>
                <w:szCs w:val="24"/>
              </w:rPr>
              <w:t>proc.</w:t>
            </w:r>
            <w:r w:rsidR="007A12A3" w:rsidRPr="001A2796">
              <w:rPr>
                <w:rFonts w:ascii="Times New Roman" w:hAnsi="Times New Roman"/>
                <w:sz w:val="24"/>
                <w:szCs w:val="24"/>
              </w:rPr>
              <w:t xml:space="preserve"> </w:t>
            </w:r>
            <w:r w:rsidRPr="001A2796">
              <w:rPr>
                <w:rFonts w:ascii="Times New Roman" w:hAnsi="Times New Roman"/>
                <w:sz w:val="24"/>
                <w:szCs w:val="24"/>
              </w:rPr>
              <w:t>tinkamų finansuoti išlaidų</w:t>
            </w:r>
            <w:r w:rsidR="007A12A3" w:rsidRPr="001A2796">
              <w:rPr>
                <w:rFonts w:ascii="Times New Roman" w:hAnsi="Times New Roman"/>
                <w:sz w:val="24"/>
                <w:szCs w:val="24"/>
              </w:rPr>
              <w:t xml:space="preserve"> sumos, kuri neviršija tinkamų finansuoti išlaidų ir investicijos veiklos pelno skirtumo, kaip </w:t>
            </w:r>
            <w:r w:rsidRPr="001A2796">
              <w:rPr>
                <w:rFonts w:ascii="Times New Roman" w:hAnsi="Times New Roman"/>
                <w:sz w:val="24"/>
                <w:szCs w:val="24"/>
              </w:rPr>
              <w:t>numatyta</w:t>
            </w:r>
            <w:r w:rsidR="007A12A3" w:rsidRPr="001A2796">
              <w:rPr>
                <w:rFonts w:ascii="Times New Roman" w:hAnsi="Times New Roman"/>
                <w:sz w:val="24"/>
                <w:szCs w:val="24"/>
              </w:rPr>
              <w:t xml:space="preserve"> 2014 m. birželio 17 d. </w:t>
            </w:r>
            <w:r w:rsidR="001114F4" w:rsidRPr="001A2796">
              <w:rPr>
                <w:rFonts w:ascii="Times New Roman" w:hAnsi="Times New Roman"/>
                <w:sz w:val="24"/>
                <w:szCs w:val="24"/>
              </w:rPr>
              <w:t>Komisijos reglamento Nr. 651/2014</w:t>
            </w:r>
            <w:r w:rsidRPr="001A2796">
              <w:rPr>
                <w:rFonts w:ascii="Times New Roman" w:hAnsi="Times New Roman"/>
                <w:sz w:val="24"/>
                <w:szCs w:val="24"/>
              </w:rPr>
              <w:t xml:space="preserve"> kuriuo tam tikrų kategorijų pagalba skelbiama suderinama su vidaus rinka taikant Sutarties 107 ir 108 straipsnius</w:t>
            </w:r>
            <w:r w:rsidR="001114F4" w:rsidRPr="001A2796">
              <w:rPr>
                <w:rFonts w:ascii="Times New Roman" w:hAnsi="Times New Roman"/>
                <w:sz w:val="24"/>
                <w:szCs w:val="24"/>
              </w:rPr>
              <w:t xml:space="preserve"> </w:t>
            </w:r>
            <w:r w:rsidR="007A12A3" w:rsidRPr="001A2796">
              <w:rPr>
                <w:rFonts w:ascii="Times New Roman" w:hAnsi="Times New Roman"/>
                <w:sz w:val="24"/>
                <w:szCs w:val="24"/>
              </w:rPr>
              <w:t xml:space="preserve">48 straipsnyje. </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finansavimo iš Lietuvos Respublikos valstybės biudžeto poreikio pagrindimas (jei taikoma)</w:t>
            </w:r>
          </w:p>
        </w:tc>
        <w:tc>
          <w:tcPr>
            <w:tcW w:w="6945" w:type="dxa"/>
          </w:tcPr>
          <w:p w:rsidR="00345CD7" w:rsidRPr="0062477B" w:rsidRDefault="00345CD7" w:rsidP="0062477B">
            <w:pPr>
              <w:tabs>
                <w:tab w:val="left" w:pos="567"/>
              </w:tabs>
              <w:jc w:val="both"/>
              <w:rPr>
                <w:rFonts w:ascii="Times New Roman" w:hAnsi="Times New Roman"/>
                <w:sz w:val="24"/>
                <w:szCs w:val="24"/>
              </w:rPr>
            </w:pPr>
            <w:r w:rsidRPr="0062477B">
              <w:rPr>
                <w:rFonts w:ascii="Times New Roman" w:hAnsi="Times New Roman"/>
                <w:sz w:val="24"/>
                <w:szCs w:val="24"/>
              </w:rPr>
              <w:t>Netaikoma.</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finansavimo iš savivaldybių biudžetų poreikio pagrindimas (jei taikoma)</w:t>
            </w:r>
          </w:p>
        </w:tc>
        <w:tc>
          <w:tcPr>
            <w:tcW w:w="6945" w:type="dxa"/>
          </w:tcPr>
          <w:p w:rsidR="00703FA4" w:rsidRPr="0062477B" w:rsidRDefault="00703FA4" w:rsidP="0062477B">
            <w:pPr>
              <w:tabs>
                <w:tab w:val="left" w:pos="567"/>
              </w:tabs>
              <w:jc w:val="both"/>
              <w:rPr>
                <w:rFonts w:ascii="Times New Roman" w:hAnsi="Times New Roman"/>
                <w:sz w:val="24"/>
                <w:szCs w:val="24"/>
              </w:rPr>
            </w:pPr>
            <w:r w:rsidRPr="0062477B">
              <w:rPr>
                <w:rFonts w:ascii="Times New Roman" w:hAnsi="Times New Roman"/>
                <w:sz w:val="24"/>
                <w:szCs w:val="24"/>
              </w:rPr>
              <w:t>Netaikoma.</w:t>
            </w:r>
          </w:p>
        </w:tc>
      </w:tr>
      <w:tr w:rsidR="00FB6137" w:rsidRPr="0062477B" w:rsidTr="00014B7E">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shd w:val="clear" w:color="auto" w:fill="auto"/>
          </w:tcPr>
          <w:p w:rsidR="00FB6137" w:rsidRPr="00217DDD" w:rsidRDefault="00FB6137" w:rsidP="0062477B">
            <w:pPr>
              <w:tabs>
                <w:tab w:val="left" w:pos="567"/>
              </w:tabs>
              <w:rPr>
                <w:rFonts w:ascii="Times New Roman" w:hAnsi="Times New Roman"/>
                <w:sz w:val="24"/>
                <w:szCs w:val="24"/>
              </w:rPr>
            </w:pPr>
            <w:r w:rsidRPr="0062477B">
              <w:rPr>
                <w:rFonts w:ascii="Times New Roman" w:hAnsi="Times New Roman"/>
                <w:sz w:val="24"/>
                <w:szCs w:val="24"/>
              </w:rPr>
              <w:t xml:space="preserve">Priemonės finansavimo iš </w:t>
            </w:r>
            <w:r w:rsidRPr="0062477B">
              <w:rPr>
                <w:rFonts w:ascii="Times New Roman" w:hAnsi="Times New Roman"/>
                <w:sz w:val="24"/>
                <w:szCs w:val="24"/>
              </w:rPr>
              <w:lastRenderedPageBreak/>
              <w:t>projektų vykdytojų ir (arba) partnerių lėšų, finansuojamų iš valstybės biudžeto arba viešųjų lėšų, poreikio pagrindimas (jei taikoma)</w:t>
            </w:r>
          </w:p>
        </w:tc>
        <w:tc>
          <w:tcPr>
            <w:tcW w:w="6945" w:type="dxa"/>
          </w:tcPr>
          <w:p w:rsidR="00D858E2" w:rsidRDefault="0016786F" w:rsidP="00BC2651">
            <w:pPr>
              <w:spacing w:after="200"/>
              <w:jc w:val="both"/>
              <w:rPr>
                <w:rFonts w:ascii="Times New Roman" w:hAnsi="Times New Roman"/>
                <w:sz w:val="24"/>
                <w:szCs w:val="24"/>
              </w:rPr>
            </w:pPr>
            <w:r w:rsidRPr="008D4951">
              <w:rPr>
                <w:rFonts w:ascii="Times New Roman" w:hAnsi="Times New Roman"/>
                <w:sz w:val="24"/>
                <w:szCs w:val="24"/>
              </w:rPr>
              <w:lastRenderedPageBreak/>
              <w:t>Priemonės galimi pareiškėjai –</w:t>
            </w:r>
            <w:r w:rsidR="001D0B67">
              <w:rPr>
                <w:rFonts w:ascii="Times New Roman" w:hAnsi="Times New Roman"/>
                <w:sz w:val="24"/>
                <w:szCs w:val="24"/>
              </w:rPr>
              <w:t xml:space="preserve"> </w:t>
            </w:r>
            <w:r w:rsidR="001D0B67" w:rsidRPr="001D0B67">
              <w:rPr>
                <w:rFonts w:ascii="Times New Roman" w:hAnsi="Times New Roman"/>
                <w:sz w:val="24"/>
                <w:szCs w:val="24"/>
              </w:rPr>
              <w:t xml:space="preserve">juridiniai asmenys, nuosavybės ar kita </w:t>
            </w:r>
            <w:r w:rsidR="001D0B67" w:rsidRPr="001D0B67">
              <w:rPr>
                <w:rFonts w:ascii="Times New Roman" w:hAnsi="Times New Roman"/>
                <w:sz w:val="24"/>
                <w:szCs w:val="24"/>
              </w:rPr>
              <w:lastRenderedPageBreak/>
              <w:t>teise valdantys elektros skirstomuosius tinklus</w:t>
            </w:r>
            <w:r w:rsidR="00D858E2" w:rsidRPr="00A529E2">
              <w:rPr>
                <w:rFonts w:ascii="Times New Roman" w:hAnsi="Times New Roman"/>
                <w:bCs/>
                <w:sz w:val="24"/>
                <w:szCs w:val="24"/>
              </w:rPr>
              <w:t xml:space="preserve"> </w:t>
            </w:r>
            <w:r w:rsidR="00D858E2">
              <w:rPr>
                <w:rFonts w:ascii="Times New Roman" w:hAnsi="Times New Roman"/>
                <w:sz w:val="24"/>
                <w:szCs w:val="24"/>
              </w:rPr>
              <w:t>(žr. 9 punkt</w:t>
            </w:r>
            <w:r w:rsidR="00403C04">
              <w:rPr>
                <w:rFonts w:ascii="Times New Roman" w:hAnsi="Times New Roman"/>
                <w:sz w:val="24"/>
                <w:szCs w:val="24"/>
              </w:rPr>
              <w:t>ą</w:t>
            </w:r>
            <w:r w:rsidR="00D858E2">
              <w:rPr>
                <w:rFonts w:ascii="Times New Roman" w:hAnsi="Times New Roman"/>
                <w:sz w:val="24"/>
                <w:szCs w:val="24"/>
              </w:rPr>
              <w:t>).</w:t>
            </w:r>
          </w:p>
          <w:p w:rsidR="0016786F" w:rsidRPr="00BC2651" w:rsidRDefault="00403C04" w:rsidP="00BC2651">
            <w:pPr>
              <w:spacing w:after="200"/>
              <w:jc w:val="both"/>
              <w:rPr>
                <w:rFonts w:ascii="Times New Roman" w:hAnsi="Times New Roman"/>
                <w:sz w:val="24"/>
                <w:szCs w:val="24"/>
              </w:rPr>
            </w:pPr>
            <w:r w:rsidRPr="00A148AA">
              <w:rPr>
                <w:rFonts w:ascii="Times New Roman" w:hAnsi="Times New Roman"/>
                <w:sz w:val="24"/>
                <w:szCs w:val="24"/>
              </w:rPr>
              <w:t xml:space="preserve">Elektros </w:t>
            </w:r>
            <w:r w:rsidR="002E7E78" w:rsidRPr="00A148AA">
              <w:rPr>
                <w:rFonts w:ascii="Times New Roman" w:hAnsi="Times New Roman"/>
                <w:sz w:val="24"/>
                <w:szCs w:val="24"/>
              </w:rPr>
              <w:t>s</w:t>
            </w:r>
            <w:r w:rsidRPr="00A148AA">
              <w:rPr>
                <w:rFonts w:ascii="Times New Roman" w:hAnsi="Times New Roman"/>
                <w:sz w:val="24"/>
                <w:szCs w:val="24"/>
              </w:rPr>
              <w:t>kirstomųjų tinklų operatoriaus</w:t>
            </w:r>
            <w:r w:rsidR="0016786F" w:rsidRPr="00A148AA">
              <w:rPr>
                <w:rFonts w:ascii="Times New Roman" w:hAnsi="Times New Roman"/>
                <w:sz w:val="24"/>
                <w:szCs w:val="24"/>
              </w:rPr>
              <w:t xml:space="preserve"> veiklą reguliuoja VKEKK</w:t>
            </w:r>
            <w:r w:rsidR="002608F3" w:rsidRPr="00A148AA">
              <w:rPr>
                <w:rFonts w:ascii="Times New Roman" w:hAnsi="Times New Roman"/>
                <w:sz w:val="24"/>
                <w:szCs w:val="24"/>
              </w:rPr>
              <w:t xml:space="preserve">, kuri </w:t>
            </w:r>
            <w:r w:rsidR="0016786F" w:rsidRPr="00A148AA">
              <w:rPr>
                <w:rFonts w:ascii="Times New Roman" w:hAnsi="Times New Roman"/>
                <w:sz w:val="24"/>
                <w:szCs w:val="24"/>
              </w:rPr>
              <w:t xml:space="preserve">rengia ir tvirtina valstybės reguliuojamos </w:t>
            </w:r>
            <w:r w:rsidR="002608F3" w:rsidRPr="00A148AA">
              <w:rPr>
                <w:rFonts w:ascii="Times New Roman" w:hAnsi="Times New Roman"/>
                <w:sz w:val="24"/>
                <w:szCs w:val="24"/>
              </w:rPr>
              <w:t>elektros energijos perdavimo, skirstymo ir visuomeninio tiekimo paslaugų bei visuomeninės kainos viršutinės ribos nustatymo</w:t>
            </w:r>
            <w:r w:rsidR="0016786F" w:rsidRPr="00A148AA">
              <w:rPr>
                <w:rFonts w:ascii="Times New Roman" w:hAnsi="Times New Roman"/>
                <w:sz w:val="24"/>
                <w:szCs w:val="24"/>
              </w:rPr>
              <w:t xml:space="preserve"> metodiką, nustato (koreguoja) ir tvirtina reguliuojamos veiklos kainų viršutines ribas,. </w:t>
            </w:r>
            <w:r w:rsidRPr="00A148AA">
              <w:rPr>
                <w:rFonts w:ascii="Times New Roman" w:hAnsi="Times New Roman"/>
                <w:sz w:val="24"/>
                <w:szCs w:val="24"/>
              </w:rPr>
              <w:t xml:space="preserve">LR </w:t>
            </w:r>
            <w:r w:rsidR="00E517DC" w:rsidRPr="00A148AA">
              <w:rPr>
                <w:rFonts w:ascii="Times New Roman" w:hAnsi="Times New Roman"/>
                <w:sz w:val="24"/>
                <w:szCs w:val="24"/>
              </w:rPr>
              <w:t xml:space="preserve">Energetikos </w:t>
            </w:r>
            <w:r w:rsidR="0016786F" w:rsidRPr="00A148AA">
              <w:rPr>
                <w:rFonts w:ascii="Times New Roman" w:hAnsi="Times New Roman"/>
                <w:sz w:val="24"/>
                <w:szCs w:val="24"/>
              </w:rPr>
              <w:t>įstatymas numato pareigą VKEKK</w:t>
            </w:r>
            <w:r w:rsidR="0016786F" w:rsidRPr="0062477B">
              <w:rPr>
                <w:rFonts w:ascii="Times New Roman" w:hAnsi="Times New Roman"/>
                <w:sz w:val="24"/>
                <w:szCs w:val="24"/>
              </w:rPr>
              <w:t xml:space="preserve"> vertinti energetikos įmonių investicijų pagrįstumą. Jeigu investicijos nėra suderintos su VKEKK, jos negali būti pripažintos pagrįstomis ir nėra įskaičiuojamos į kainų viršutines ribas.</w:t>
            </w:r>
          </w:p>
          <w:p w:rsidR="00B8404E" w:rsidRPr="00217DDD" w:rsidRDefault="00BC3452" w:rsidP="003F0384">
            <w:pPr>
              <w:spacing w:after="200"/>
              <w:jc w:val="both"/>
              <w:rPr>
                <w:rFonts w:ascii="Times New Roman" w:hAnsi="Times New Roman"/>
                <w:sz w:val="24"/>
                <w:szCs w:val="24"/>
              </w:rPr>
            </w:pPr>
            <w:r>
              <w:rPr>
                <w:rFonts w:ascii="Times New Roman" w:hAnsi="Times New Roman"/>
                <w:sz w:val="24"/>
                <w:szCs w:val="24"/>
              </w:rPr>
              <w:t xml:space="preserve">Projektams finansuoti pagal šią priemonę </w:t>
            </w:r>
            <w:r w:rsidRPr="004306A6">
              <w:rPr>
                <w:rFonts w:ascii="Times New Roman" w:hAnsi="Times New Roman"/>
                <w:sz w:val="24"/>
                <w:szCs w:val="24"/>
              </w:rPr>
              <w:t>bus naudojamos nuosavos ir</w:t>
            </w:r>
            <w:r>
              <w:rPr>
                <w:rFonts w:ascii="Times New Roman" w:hAnsi="Times New Roman"/>
                <w:sz w:val="24"/>
                <w:szCs w:val="24"/>
              </w:rPr>
              <w:t xml:space="preserve"> (arba)</w:t>
            </w:r>
            <w:r w:rsidRPr="004306A6">
              <w:rPr>
                <w:rFonts w:ascii="Times New Roman" w:hAnsi="Times New Roman"/>
                <w:sz w:val="24"/>
                <w:szCs w:val="24"/>
              </w:rPr>
              <w:t xml:space="preserve"> skolintos lėšos. </w:t>
            </w:r>
            <w:r>
              <w:rPr>
                <w:rFonts w:ascii="Times New Roman" w:hAnsi="Times New Roman"/>
                <w:sz w:val="24"/>
                <w:szCs w:val="24"/>
              </w:rPr>
              <w:t>Siekiant įsitikinti, kad galimi pareiškėjai sugeba padengti įsipareigojimus, bus vertinamas galimų pareiškėjų nuosavo kapitalo ir turto santykis.</w:t>
            </w:r>
          </w:p>
        </w:tc>
      </w:tr>
      <w:tr w:rsidR="00FB6137" w:rsidRPr="0062477B" w:rsidTr="00D80DEB">
        <w:tc>
          <w:tcPr>
            <w:tcW w:w="10348" w:type="dxa"/>
            <w:gridSpan w:val="3"/>
            <w:shd w:val="clear" w:color="auto" w:fill="F2F2F2" w:themeFill="background1" w:themeFillShade="F2"/>
          </w:tcPr>
          <w:p w:rsidR="00FB6137" w:rsidRPr="0062477B" w:rsidRDefault="00FB6137" w:rsidP="0062477B">
            <w:pPr>
              <w:tabs>
                <w:tab w:val="left" w:pos="567"/>
              </w:tabs>
              <w:ind w:left="34"/>
              <w:jc w:val="center"/>
              <w:rPr>
                <w:rFonts w:ascii="Times New Roman" w:hAnsi="Times New Roman"/>
                <w:b/>
                <w:sz w:val="24"/>
                <w:szCs w:val="24"/>
              </w:rPr>
            </w:pPr>
            <w:r w:rsidRPr="0062477B">
              <w:rPr>
                <w:rFonts w:ascii="Times New Roman" w:hAnsi="Times New Roman"/>
                <w:b/>
                <w:sz w:val="24"/>
                <w:szCs w:val="24"/>
              </w:rPr>
              <w:lastRenderedPageBreak/>
              <w:t>Papildoma informacija</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Priemonės suderinimas su kitomis institucijomis</w:t>
            </w:r>
          </w:p>
        </w:tc>
        <w:tc>
          <w:tcPr>
            <w:tcW w:w="6945" w:type="dxa"/>
          </w:tcPr>
          <w:p w:rsidR="00335E1D" w:rsidRPr="00217DDD" w:rsidRDefault="00A479C5" w:rsidP="00511E9D">
            <w:pPr>
              <w:tabs>
                <w:tab w:val="left" w:pos="567"/>
              </w:tabs>
              <w:spacing w:after="200"/>
              <w:jc w:val="both"/>
              <w:rPr>
                <w:rFonts w:ascii="Times New Roman" w:hAnsi="Times New Roman"/>
                <w:b/>
                <w:sz w:val="24"/>
                <w:szCs w:val="24"/>
              </w:rPr>
            </w:pPr>
            <w:r w:rsidRPr="0062477B">
              <w:rPr>
                <w:rFonts w:ascii="Times New Roman" w:hAnsi="Times New Roman"/>
                <w:sz w:val="24"/>
                <w:szCs w:val="24"/>
              </w:rPr>
              <w:t xml:space="preserve">Vadovaujantis 2014–2020 metų Europos Sąjungos fondų investicijų veiksmų programos administravimo taisyklių, patvirtintų </w:t>
            </w:r>
            <w:r w:rsidRPr="00217DDD">
              <w:rPr>
                <w:rFonts w:ascii="Times New Roman" w:hAnsi="Times New Roman"/>
                <w:sz w:val="24"/>
                <w:szCs w:val="24"/>
              </w:rPr>
              <w:t>Vyriausybės 2014 m. spalio 30 d. nutarimu Nr. 1090</w:t>
            </w:r>
            <w:r w:rsidR="001C0218">
              <w:rPr>
                <w:rFonts w:ascii="Times New Roman" w:hAnsi="Times New Roman"/>
                <w:sz w:val="24"/>
                <w:szCs w:val="24"/>
              </w:rPr>
              <w:t xml:space="preserve"> </w:t>
            </w:r>
            <w:r w:rsidR="001C0218" w:rsidRPr="001C0218">
              <w:rPr>
                <w:rFonts w:ascii="Times New Roman" w:hAnsi="Times New Roman"/>
                <w:sz w:val="24"/>
                <w:szCs w:val="24"/>
              </w:rPr>
              <w:t>„Dėl 2014–2020 metų Europos Sąjungos fondų investicijų veiksmų programos administravimo taisyklių patvirtinimo“</w:t>
            </w:r>
            <w:r w:rsidRPr="00217DDD">
              <w:rPr>
                <w:rFonts w:ascii="Times New Roman" w:hAnsi="Times New Roman"/>
                <w:sz w:val="24"/>
                <w:szCs w:val="24"/>
              </w:rPr>
              <w:t xml:space="preserve">, 123 punktu, priemonių įgyvendinimo planas bei jo </w:t>
            </w:r>
            <w:r w:rsidRPr="004C3C04">
              <w:rPr>
                <w:rFonts w:ascii="Times New Roman" w:hAnsi="Times New Roman"/>
                <w:sz w:val="24"/>
                <w:szCs w:val="24"/>
              </w:rPr>
              <w:t xml:space="preserve">pagrindimas </w:t>
            </w:r>
            <w:r w:rsidR="006C3BF5" w:rsidRPr="004C3C04">
              <w:rPr>
                <w:rFonts w:ascii="Times New Roman" w:hAnsi="Times New Roman"/>
                <w:sz w:val="24"/>
                <w:szCs w:val="24"/>
              </w:rPr>
              <w:t xml:space="preserve">Energetikos ministerijos </w:t>
            </w:r>
            <w:r w:rsidR="00226D3F" w:rsidRPr="004C3C04">
              <w:rPr>
                <w:rFonts w:ascii="Times New Roman" w:hAnsi="Times New Roman"/>
                <w:sz w:val="24"/>
                <w:szCs w:val="24"/>
              </w:rPr>
              <w:t>201</w:t>
            </w:r>
            <w:r w:rsidR="003B455E" w:rsidRPr="004C3C04">
              <w:rPr>
                <w:rFonts w:ascii="Times New Roman" w:hAnsi="Times New Roman"/>
                <w:sz w:val="24"/>
                <w:szCs w:val="24"/>
              </w:rPr>
              <w:t>5</w:t>
            </w:r>
            <w:r w:rsidR="00226D3F" w:rsidRPr="004C3C04">
              <w:rPr>
                <w:rFonts w:ascii="Times New Roman" w:hAnsi="Times New Roman"/>
                <w:sz w:val="24"/>
                <w:szCs w:val="24"/>
              </w:rPr>
              <w:t xml:space="preserve"> m. </w:t>
            </w:r>
            <w:r w:rsidR="004525D2" w:rsidRPr="004C3C04">
              <w:rPr>
                <w:rFonts w:ascii="Times New Roman" w:hAnsi="Times New Roman"/>
                <w:sz w:val="24"/>
                <w:szCs w:val="24"/>
              </w:rPr>
              <w:t>birželio 19 d.</w:t>
            </w:r>
            <w:r w:rsidR="00226D3F" w:rsidRPr="004C3C04">
              <w:rPr>
                <w:rFonts w:ascii="Times New Roman" w:hAnsi="Times New Roman"/>
                <w:sz w:val="24"/>
                <w:szCs w:val="24"/>
              </w:rPr>
              <w:t xml:space="preserve"> </w:t>
            </w:r>
            <w:r w:rsidR="006C3BF5" w:rsidRPr="004C3C04">
              <w:rPr>
                <w:rFonts w:ascii="Times New Roman" w:hAnsi="Times New Roman"/>
                <w:sz w:val="24"/>
                <w:szCs w:val="24"/>
              </w:rPr>
              <w:t>raštu</w:t>
            </w:r>
            <w:r w:rsidR="00226D3F" w:rsidRPr="004C3C04">
              <w:rPr>
                <w:rFonts w:ascii="Times New Roman" w:hAnsi="Times New Roman"/>
                <w:sz w:val="24"/>
                <w:szCs w:val="24"/>
              </w:rPr>
              <w:t xml:space="preserve"> Nr.</w:t>
            </w:r>
            <w:r w:rsidR="004C3C04" w:rsidRPr="004C3C04">
              <w:rPr>
                <w:rFonts w:ascii="Times New Roman" w:hAnsi="Times New Roman"/>
                <w:sz w:val="24"/>
                <w:szCs w:val="24"/>
              </w:rPr>
              <w:t xml:space="preserve"> (18.5-17)3-</w:t>
            </w:r>
            <w:r w:rsidR="00511E9D">
              <w:rPr>
                <w:rFonts w:ascii="Times New Roman" w:hAnsi="Times New Roman"/>
                <w:sz w:val="24"/>
                <w:szCs w:val="24"/>
              </w:rPr>
              <w:t xml:space="preserve">1777 </w:t>
            </w:r>
            <w:r w:rsidR="006C3BF5" w:rsidRPr="004C3C04">
              <w:rPr>
                <w:rFonts w:ascii="Times New Roman" w:hAnsi="Times New Roman"/>
                <w:sz w:val="24"/>
                <w:szCs w:val="24"/>
              </w:rPr>
              <w:t>pateikt</w:t>
            </w:r>
            <w:r w:rsidR="00C157CB" w:rsidRPr="004C3C04">
              <w:rPr>
                <w:rFonts w:ascii="Times New Roman" w:hAnsi="Times New Roman"/>
                <w:sz w:val="24"/>
                <w:szCs w:val="24"/>
              </w:rPr>
              <w:t>i</w:t>
            </w:r>
            <w:r w:rsidR="006C3BF5" w:rsidRPr="004C3C04">
              <w:rPr>
                <w:rFonts w:ascii="Times New Roman" w:hAnsi="Times New Roman"/>
                <w:sz w:val="24"/>
                <w:szCs w:val="24"/>
              </w:rPr>
              <w:t xml:space="preserve"> derinti</w:t>
            </w:r>
            <w:r w:rsidR="00BE16E9" w:rsidRPr="004C3C04">
              <w:rPr>
                <w:rFonts w:ascii="Times New Roman" w:hAnsi="Times New Roman"/>
                <w:sz w:val="24"/>
                <w:szCs w:val="24"/>
              </w:rPr>
              <w:t>:</w:t>
            </w:r>
            <w:r w:rsidR="008E6E64" w:rsidRPr="004C3C04">
              <w:rPr>
                <w:rFonts w:ascii="Times New Roman" w:hAnsi="Times New Roman"/>
                <w:sz w:val="24"/>
                <w:szCs w:val="24"/>
              </w:rPr>
              <w:t xml:space="preserve"> </w:t>
            </w:r>
            <w:r w:rsidR="004F3E5C" w:rsidRPr="004C3C04">
              <w:rPr>
                <w:rFonts w:ascii="Times New Roman" w:hAnsi="Times New Roman"/>
                <w:sz w:val="24"/>
                <w:szCs w:val="24"/>
              </w:rPr>
              <w:t>Lietuvos Respublikos aplinkos ministerija</w:t>
            </w:r>
            <w:r w:rsidR="006C3BF5" w:rsidRPr="004C3C04">
              <w:rPr>
                <w:rFonts w:ascii="Times New Roman" w:hAnsi="Times New Roman"/>
                <w:sz w:val="24"/>
                <w:szCs w:val="24"/>
              </w:rPr>
              <w:t>i,</w:t>
            </w:r>
            <w:r w:rsidR="00ED3A5A" w:rsidRPr="004C3C04">
              <w:rPr>
                <w:rFonts w:ascii="Times New Roman" w:hAnsi="Times New Roman"/>
                <w:sz w:val="24"/>
                <w:szCs w:val="24"/>
              </w:rPr>
              <w:t xml:space="preserve"> </w:t>
            </w:r>
            <w:r w:rsidR="004F3E5C" w:rsidRPr="004C3C04">
              <w:rPr>
                <w:rFonts w:ascii="Times New Roman" w:hAnsi="Times New Roman"/>
                <w:sz w:val="24"/>
                <w:szCs w:val="24"/>
              </w:rPr>
              <w:t>Lietuvos</w:t>
            </w:r>
            <w:r w:rsidR="004F3E5C" w:rsidRPr="0062477B">
              <w:rPr>
                <w:rFonts w:ascii="Times New Roman" w:hAnsi="Times New Roman"/>
                <w:sz w:val="24"/>
                <w:szCs w:val="24"/>
              </w:rPr>
              <w:t xml:space="preserve"> Respublikos susisiekimo ministerija</w:t>
            </w:r>
            <w:r w:rsidR="006C3BF5" w:rsidRPr="0062477B">
              <w:rPr>
                <w:rFonts w:ascii="Times New Roman" w:hAnsi="Times New Roman"/>
                <w:sz w:val="24"/>
                <w:szCs w:val="24"/>
              </w:rPr>
              <w:t>i,</w:t>
            </w:r>
            <w:r w:rsidR="00ED3A5A" w:rsidRPr="0062477B">
              <w:rPr>
                <w:rFonts w:ascii="Times New Roman" w:hAnsi="Times New Roman"/>
                <w:sz w:val="24"/>
                <w:szCs w:val="24"/>
              </w:rPr>
              <w:t xml:space="preserve"> </w:t>
            </w:r>
            <w:r w:rsidR="004F3E5C" w:rsidRPr="0062477B">
              <w:rPr>
                <w:rFonts w:ascii="Times New Roman" w:hAnsi="Times New Roman"/>
                <w:sz w:val="24"/>
                <w:szCs w:val="24"/>
              </w:rPr>
              <w:t>Lietuvos Respublikos vidaus reikalų ministerija</w:t>
            </w:r>
            <w:r w:rsidR="006C3BF5" w:rsidRPr="0062477B">
              <w:rPr>
                <w:rFonts w:ascii="Times New Roman" w:hAnsi="Times New Roman"/>
                <w:sz w:val="24"/>
                <w:szCs w:val="24"/>
              </w:rPr>
              <w:t>i,</w:t>
            </w:r>
            <w:r w:rsidR="00ED3A5A" w:rsidRPr="0062477B">
              <w:rPr>
                <w:rFonts w:ascii="Times New Roman" w:hAnsi="Times New Roman"/>
                <w:sz w:val="24"/>
                <w:szCs w:val="24"/>
              </w:rPr>
              <w:t xml:space="preserve"> </w:t>
            </w:r>
            <w:r w:rsidR="004F3E5C" w:rsidRPr="0062477B">
              <w:rPr>
                <w:rStyle w:val="st"/>
                <w:rFonts w:ascii="Times New Roman" w:hAnsi="Times New Roman"/>
                <w:sz w:val="24"/>
                <w:szCs w:val="24"/>
              </w:rPr>
              <w:t>V</w:t>
            </w:r>
            <w:r w:rsidR="00184469">
              <w:rPr>
                <w:rStyle w:val="st"/>
                <w:rFonts w:ascii="Times New Roman" w:hAnsi="Times New Roman"/>
                <w:sz w:val="24"/>
                <w:szCs w:val="24"/>
              </w:rPr>
              <w:t>Š</w:t>
            </w:r>
            <w:r w:rsidR="004F3E5C" w:rsidRPr="0062477B">
              <w:rPr>
                <w:rStyle w:val="st"/>
                <w:rFonts w:ascii="Times New Roman" w:hAnsi="Times New Roman"/>
                <w:sz w:val="24"/>
                <w:szCs w:val="24"/>
              </w:rPr>
              <w:t>Į Lietuvos verslo paramos agentūra</w:t>
            </w:r>
            <w:r w:rsidR="008E6E64">
              <w:rPr>
                <w:rStyle w:val="st"/>
                <w:rFonts w:ascii="Times New Roman" w:hAnsi="Times New Roman"/>
                <w:sz w:val="24"/>
                <w:szCs w:val="24"/>
              </w:rPr>
              <w:t>i.</w:t>
            </w:r>
          </w:p>
        </w:tc>
      </w:tr>
      <w:tr w:rsidR="00FB6137" w:rsidRPr="0062477B" w:rsidTr="00D80DEB">
        <w:tc>
          <w:tcPr>
            <w:tcW w:w="567" w:type="dxa"/>
          </w:tcPr>
          <w:p w:rsidR="00FB6137" w:rsidRPr="0062477B" w:rsidRDefault="00FB6137" w:rsidP="0062477B">
            <w:pPr>
              <w:pStyle w:val="ListParagraph"/>
              <w:numPr>
                <w:ilvl w:val="0"/>
                <w:numId w:val="1"/>
              </w:numPr>
              <w:tabs>
                <w:tab w:val="left" w:pos="567"/>
              </w:tabs>
              <w:ind w:hanging="1046"/>
              <w:rPr>
                <w:rFonts w:ascii="Times New Roman" w:hAnsi="Times New Roman"/>
                <w:sz w:val="24"/>
                <w:szCs w:val="24"/>
              </w:rPr>
            </w:pPr>
          </w:p>
        </w:tc>
        <w:tc>
          <w:tcPr>
            <w:tcW w:w="2836" w:type="dxa"/>
          </w:tcPr>
          <w:p w:rsidR="00FB6137" w:rsidRPr="0062477B" w:rsidRDefault="00FB6137" w:rsidP="0062477B">
            <w:pPr>
              <w:tabs>
                <w:tab w:val="left" w:pos="567"/>
              </w:tabs>
              <w:rPr>
                <w:rFonts w:ascii="Times New Roman" w:hAnsi="Times New Roman"/>
                <w:sz w:val="24"/>
                <w:szCs w:val="24"/>
              </w:rPr>
            </w:pPr>
            <w:r w:rsidRPr="0062477B">
              <w:rPr>
                <w:rFonts w:ascii="Times New Roman" w:hAnsi="Times New Roman"/>
                <w:sz w:val="24"/>
                <w:szCs w:val="24"/>
              </w:rPr>
              <w:t>Kita</w:t>
            </w:r>
          </w:p>
        </w:tc>
        <w:tc>
          <w:tcPr>
            <w:tcW w:w="6945" w:type="dxa"/>
          </w:tcPr>
          <w:p w:rsidR="00CC2768" w:rsidRPr="0062477B" w:rsidRDefault="00CC2768" w:rsidP="0062477B">
            <w:pPr>
              <w:tabs>
                <w:tab w:val="left" w:pos="567"/>
              </w:tabs>
              <w:jc w:val="both"/>
              <w:rPr>
                <w:rFonts w:ascii="Times New Roman" w:hAnsi="Times New Roman"/>
                <w:sz w:val="24"/>
                <w:szCs w:val="24"/>
              </w:rPr>
            </w:pPr>
            <w:r w:rsidRPr="0062477B">
              <w:rPr>
                <w:rFonts w:ascii="Times New Roman" w:hAnsi="Times New Roman"/>
                <w:sz w:val="24"/>
                <w:szCs w:val="24"/>
              </w:rPr>
              <w:t>Netaikoma.</w:t>
            </w:r>
          </w:p>
          <w:p w:rsidR="0093111A" w:rsidRPr="00217DDD" w:rsidRDefault="0093111A" w:rsidP="00217DDD">
            <w:pPr>
              <w:tabs>
                <w:tab w:val="left" w:pos="567"/>
              </w:tabs>
              <w:jc w:val="both"/>
              <w:rPr>
                <w:rFonts w:ascii="Times New Roman" w:hAnsi="Times New Roman"/>
                <w:i/>
                <w:sz w:val="24"/>
                <w:szCs w:val="24"/>
              </w:rPr>
            </w:pPr>
          </w:p>
        </w:tc>
      </w:tr>
    </w:tbl>
    <w:p w:rsidR="00D80DEB" w:rsidRPr="00BC2651" w:rsidRDefault="00D80DEB" w:rsidP="00BC2651">
      <w:pPr>
        <w:spacing w:line="240" w:lineRule="auto"/>
        <w:rPr>
          <w:rFonts w:ascii="Times New Roman" w:hAnsi="Times New Roman"/>
        </w:rPr>
      </w:pPr>
    </w:p>
    <w:sectPr w:rsidR="00D80DEB" w:rsidRPr="00BC2651" w:rsidSect="002613DA">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4B4" w:rsidRDefault="00FA14B4" w:rsidP="00E449C0">
      <w:pPr>
        <w:spacing w:after="0" w:line="240" w:lineRule="auto"/>
      </w:pPr>
      <w:r>
        <w:separator/>
      </w:r>
    </w:p>
  </w:endnote>
  <w:endnote w:type="continuationSeparator" w:id="0">
    <w:p w:rsidR="00FA14B4" w:rsidRDefault="00FA14B4" w:rsidP="00E4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4B4" w:rsidRDefault="00FA14B4" w:rsidP="00E449C0">
      <w:pPr>
        <w:spacing w:after="0" w:line="240" w:lineRule="auto"/>
      </w:pPr>
      <w:r>
        <w:separator/>
      </w:r>
    </w:p>
  </w:footnote>
  <w:footnote w:type="continuationSeparator" w:id="0">
    <w:p w:rsidR="00FA14B4" w:rsidRDefault="00FA14B4" w:rsidP="00E44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686078"/>
      <w:docPartObj>
        <w:docPartGallery w:val="Page Numbers (Top of Page)"/>
        <w:docPartUnique/>
      </w:docPartObj>
    </w:sdtPr>
    <w:sdtEndPr>
      <w:rPr>
        <w:rFonts w:ascii="Times New Roman" w:hAnsi="Times New Roman"/>
      </w:rPr>
    </w:sdtEndPr>
    <w:sdtContent>
      <w:p w:rsidR="00E449C0" w:rsidRPr="00E449C0" w:rsidRDefault="00E449C0">
        <w:pPr>
          <w:pStyle w:val="Header"/>
          <w:jc w:val="center"/>
          <w:rPr>
            <w:rFonts w:ascii="Times New Roman" w:hAnsi="Times New Roman"/>
          </w:rPr>
        </w:pPr>
        <w:r w:rsidRPr="00E449C0">
          <w:rPr>
            <w:rFonts w:ascii="Times New Roman" w:hAnsi="Times New Roman"/>
          </w:rPr>
          <w:fldChar w:fldCharType="begin"/>
        </w:r>
        <w:r w:rsidRPr="00E449C0">
          <w:rPr>
            <w:rFonts w:ascii="Times New Roman" w:hAnsi="Times New Roman"/>
          </w:rPr>
          <w:instrText>PAGE   \* MERGEFORMAT</w:instrText>
        </w:r>
        <w:r w:rsidRPr="00E449C0">
          <w:rPr>
            <w:rFonts w:ascii="Times New Roman" w:hAnsi="Times New Roman"/>
          </w:rPr>
          <w:fldChar w:fldCharType="separate"/>
        </w:r>
        <w:r w:rsidR="002613DA">
          <w:rPr>
            <w:rFonts w:ascii="Times New Roman" w:hAnsi="Times New Roman"/>
            <w:noProof/>
          </w:rPr>
          <w:t>10</w:t>
        </w:r>
        <w:r w:rsidRPr="00E449C0">
          <w:rPr>
            <w:rFonts w:ascii="Times New Roman" w:hAnsi="Times New Roman"/>
          </w:rPr>
          <w:fldChar w:fldCharType="end"/>
        </w:r>
      </w:p>
    </w:sdtContent>
  </w:sdt>
  <w:p w:rsidR="00E449C0" w:rsidRDefault="00E449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86AA9"/>
    <w:multiLevelType w:val="hybridMultilevel"/>
    <w:tmpl w:val="D110FA5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nsid w:val="12562D73"/>
    <w:multiLevelType w:val="hybridMultilevel"/>
    <w:tmpl w:val="7F5E9D78"/>
    <w:lvl w:ilvl="0" w:tplc="A8AA304C">
      <w:start w:val="1"/>
      <w:numFmt w:val="decimal"/>
      <w:lvlText w:val="%1."/>
      <w:lvlJc w:val="left"/>
      <w:pPr>
        <w:ind w:left="2945"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2">
    <w:nsid w:val="18AB0A2B"/>
    <w:multiLevelType w:val="hybridMultilevel"/>
    <w:tmpl w:val="A27E2B40"/>
    <w:lvl w:ilvl="0" w:tplc="4738A3EC">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F6E7F01"/>
    <w:multiLevelType w:val="multilevel"/>
    <w:tmpl w:val="19681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C940BA"/>
    <w:multiLevelType w:val="hybridMultilevel"/>
    <w:tmpl w:val="CFCAFDE6"/>
    <w:lvl w:ilvl="0" w:tplc="91BED12A">
      <w:start w:val="3"/>
      <w:numFmt w:val="bullet"/>
      <w:lvlText w:val="-"/>
      <w:lvlJc w:val="left"/>
      <w:pPr>
        <w:ind w:left="405" w:hanging="360"/>
      </w:pPr>
      <w:rPr>
        <w:rFonts w:ascii="Calibri" w:eastAsia="Calibri" w:hAnsi="Calibri" w:cs="Times New Roman" w:hint="default"/>
        <w:b/>
        <w:sz w:val="22"/>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5">
    <w:nsid w:val="429B76B0"/>
    <w:multiLevelType w:val="hybridMultilevel"/>
    <w:tmpl w:val="305A3328"/>
    <w:lvl w:ilvl="0" w:tplc="1B2E3AD4">
      <w:start w:val="1"/>
      <w:numFmt w:val="lowerRoman"/>
      <w:lvlText w:val="%1."/>
      <w:lvlJc w:val="right"/>
      <w:pPr>
        <w:ind w:left="720" w:hanging="360"/>
      </w:pPr>
      <w:rPr>
        <w:b/>
        <w:u w:val="single"/>
      </w:rPr>
    </w:lvl>
    <w:lvl w:ilvl="1" w:tplc="5A0C0F6E">
      <w:start w:val="1"/>
      <w:numFmt w:val="bullet"/>
      <w:lvlText w:val="o"/>
      <w:lvlJc w:val="left"/>
      <w:pPr>
        <w:ind w:left="1440" w:hanging="360"/>
      </w:pPr>
      <w:rPr>
        <w:rFonts w:ascii="Courier New" w:hAnsi="Courier New" w:cs="Courier New" w:hint="default"/>
      </w:rPr>
    </w:lvl>
    <w:lvl w:ilvl="2" w:tplc="5A0A926E">
      <w:start w:val="1"/>
      <w:numFmt w:val="bullet"/>
      <w:lvlText w:val=""/>
      <w:lvlJc w:val="left"/>
      <w:pPr>
        <w:ind w:left="2160" w:hanging="360"/>
      </w:pPr>
      <w:rPr>
        <w:rFonts w:ascii="Wingdings" w:hAnsi="Wingdings" w:hint="default"/>
      </w:rPr>
    </w:lvl>
    <w:lvl w:ilvl="3" w:tplc="299E1210">
      <w:start w:val="1"/>
      <w:numFmt w:val="bullet"/>
      <w:lvlText w:val=""/>
      <w:lvlJc w:val="left"/>
      <w:pPr>
        <w:ind w:left="2880" w:hanging="360"/>
      </w:pPr>
      <w:rPr>
        <w:rFonts w:ascii="Symbol" w:hAnsi="Symbol" w:hint="default"/>
      </w:rPr>
    </w:lvl>
    <w:lvl w:ilvl="4" w:tplc="6540E53C">
      <w:start w:val="1"/>
      <w:numFmt w:val="bullet"/>
      <w:lvlText w:val="o"/>
      <w:lvlJc w:val="left"/>
      <w:pPr>
        <w:ind w:left="3600" w:hanging="360"/>
      </w:pPr>
      <w:rPr>
        <w:rFonts w:ascii="Courier New" w:hAnsi="Courier New" w:cs="Courier New" w:hint="default"/>
      </w:rPr>
    </w:lvl>
    <w:lvl w:ilvl="5" w:tplc="AA46D8DC">
      <w:start w:val="1"/>
      <w:numFmt w:val="bullet"/>
      <w:lvlText w:val=""/>
      <w:lvlJc w:val="left"/>
      <w:pPr>
        <w:ind w:left="4320" w:hanging="360"/>
      </w:pPr>
      <w:rPr>
        <w:rFonts w:ascii="Wingdings" w:hAnsi="Wingdings" w:hint="default"/>
      </w:rPr>
    </w:lvl>
    <w:lvl w:ilvl="6" w:tplc="1C309F10">
      <w:start w:val="1"/>
      <w:numFmt w:val="bullet"/>
      <w:lvlText w:val=""/>
      <w:lvlJc w:val="left"/>
      <w:pPr>
        <w:ind w:left="5040" w:hanging="360"/>
      </w:pPr>
      <w:rPr>
        <w:rFonts w:ascii="Symbol" w:hAnsi="Symbol" w:hint="default"/>
      </w:rPr>
    </w:lvl>
    <w:lvl w:ilvl="7" w:tplc="9C3E5DBA">
      <w:start w:val="1"/>
      <w:numFmt w:val="bullet"/>
      <w:lvlText w:val="o"/>
      <w:lvlJc w:val="left"/>
      <w:pPr>
        <w:ind w:left="5760" w:hanging="360"/>
      </w:pPr>
      <w:rPr>
        <w:rFonts w:ascii="Courier New" w:hAnsi="Courier New" w:cs="Courier New" w:hint="default"/>
      </w:rPr>
    </w:lvl>
    <w:lvl w:ilvl="8" w:tplc="43F0A722">
      <w:start w:val="1"/>
      <w:numFmt w:val="bullet"/>
      <w:lvlText w:val=""/>
      <w:lvlJc w:val="left"/>
      <w:pPr>
        <w:ind w:left="6480" w:hanging="360"/>
      </w:pPr>
      <w:rPr>
        <w:rFonts w:ascii="Wingdings" w:hAnsi="Wingdings" w:hint="default"/>
      </w:rPr>
    </w:lvl>
  </w:abstractNum>
  <w:abstractNum w:abstractNumId="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7">
    <w:nsid w:val="54B60659"/>
    <w:multiLevelType w:val="hybridMultilevel"/>
    <w:tmpl w:val="9920108C"/>
    <w:lvl w:ilvl="0" w:tplc="FC0AB900">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D747F24"/>
    <w:multiLevelType w:val="hybridMultilevel"/>
    <w:tmpl w:val="9B4C21C8"/>
    <w:lvl w:ilvl="0" w:tplc="6A3A94DE">
      <w:start w:val="1"/>
      <w:numFmt w:val="upperRoman"/>
      <w:lvlText w:val="%1."/>
      <w:lvlJc w:val="left"/>
      <w:pPr>
        <w:ind w:left="1080" w:hanging="72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9">
    <w:nsid w:val="5DA42BDB"/>
    <w:multiLevelType w:val="hybridMultilevel"/>
    <w:tmpl w:val="04F81806"/>
    <w:lvl w:ilvl="0" w:tplc="C01ED43C">
      <w:start w:val="1"/>
      <w:numFmt w:val="decimal"/>
      <w:lvlText w:val="%1."/>
      <w:lvlJc w:val="left"/>
      <w:pPr>
        <w:ind w:left="1145"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5BA5F05"/>
    <w:multiLevelType w:val="multilevel"/>
    <w:tmpl w:val="A95CB5DC"/>
    <w:lvl w:ilvl="0">
      <w:start w:val="1"/>
      <w:numFmt w:val="decimal"/>
      <w:lvlText w:val="3.2.3.%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5.2.%3."/>
      <w:lvlJc w:val="left"/>
      <w:pPr>
        <w:tabs>
          <w:tab w:val="num" w:pos="720"/>
        </w:tabs>
        <w:ind w:left="720" w:hanging="720"/>
      </w:pPr>
      <w:rPr>
        <w:rFonts w:hint="default"/>
      </w:rPr>
    </w:lvl>
    <w:lvl w:ilvl="3">
      <w:start w:val="1"/>
      <w:numFmt w:val="decimal"/>
      <w:lvlText w:val="%1.%2.1.%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E690B98"/>
    <w:multiLevelType w:val="hybridMultilevel"/>
    <w:tmpl w:val="78245AE0"/>
    <w:lvl w:ilvl="0" w:tplc="EAB00FF0">
      <w:start w:val="1"/>
      <w:numFmt w:val="decimal"/>
      <w:lvlText w:val="%1."/>
      <w:lvlJc w:val="left"/>
      <w:pPr>
        <w:ind w:left="720" w:hanging="360"/>
      </w:pPr>
      <w:rPr>
        <w:rFonts w:hint="default"/>
      </w:rPr>
    </w:lvl>
    <w:lvl w:ilvl="1" w:tplc="A7E69D80" w:tentative="1">
      <w:start w:val="1"/>
      <w:numFmt w:val="lowerLetter"/>
      <w:lvlText w:val="%2."/>
      <w:lvlJc w:val="left"/>
      <w:pPr>
        <w:ind w:left="1440" w:hanging="360"/>
      </w:pPr>
    </w:lvl>
    <w:lvl w:ilvl="2" w:tplc="B6125DDA" w:tentative="1">
      <w:start w:val="1"/>
      <w:numFmt w:val="lowerRoman"/>
      <w:lvlText w:val="%3."/>
      <w:lvlJc w:val="right"/>
      <w:pPr>
        <w:ind w:left="2160" w:hanging="180"/>
      </w:pPr>
    </w:lvl>
    <w:lvl w:ilvl="3" w:tplc="FC40E7EC" w:tentative="1">
      <w:start w:val="1"/>
      <w:numFmt w:val="decimal"/>
      <w:lvlText w:val="%4."/>
      <w:lvlJc w:val="left"/>
      <w:pPr>
        <w:ind w:left="2880" w:hanging="360"/>
      </w:pPr>
    </w:lvl>
    <w:lvl w:ilvl="4" w:tplc="DC065164" w:tentative="1">
      <w:start w:val="1"/>
      <w:numFmt w:val="lowerLetter"/>
      <w:lvlText w:val="%5."/>
      <w:lvlJc w:val="left"/>
      <w:pPr>
        <w:ind w:left="3600" w:hanging="360"/>
      </w:pPr>
    </w:lvl>
    <w:lvl w:ilvl="5" w:tplc="C95695BA" w:tentative="1">
      <w:start w:val="1"/>
      <w:numFmt w:val="lowerRoman"/>
      <w:lvlText w:val="%6."/>
      <w:lvlJc w:val="right"/>
      <w:pPr>
        <w:ind w:left="4320" w:hanging="180"/>
      </w:pPr>
    </w:lvl>
    <w:lvl w:ilvl="6" w:tplc="7EA870CA" w:tentative="1">
      <w:start w:val="1"/>
      <w:numFmt w:val="decimal"/>
      <w:lvlText w:val="%7."/>
      <w:lvlJc w:val="left"/>
      <w:pPr>
        <w:ind w:left="5040" w:hanging="360"/>
      </w:pPr>
    </w:lvl>
    <w:lvl w:ilvl="7" w:tplc="5FA6F82A" w:tentative="1">
      <w:start w:val="1"/>
      <w:numFmt w:val="lowerLetter"/>
      <w:lvlText w:val="%8."/>
      <w:lvlJc w:val="left"/>
      <w:pPr>
        <w:ind w:left="5760" w:hanging="360"/>
      </w:pPr>
    </w:lvl>
    <w:lvl w:ilvl="8" w:tplc="206AD3A6"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2"/>
  </w:num>
  <w:num w:numId="11">
    <w:abstractNumId w:val="10"/>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37"/>
    <w:rsid w:val="00002C84"/>
    <w:rsid w:val="000032B7"/>
    <w:rsid w:val="00003331"/>
    <w:rsid w:val="00005688"/>
    <w:rsid w:val="00005FBA"/>
    <w:rsid w:val="00005FBF"/>
    <w:rsid w:val="000069C6"/>
    <w:rsid w:val="00006D6B"/>
    <w:rsid w:val="000071C0"/>
    <w:rsid w:val="00010686"/>
    <w:rsid w:val="000136CE"/>
    <w:rsid w:val="00014B7E"/>
    <w:rsid w:val="00014D97"/>
    <w:rsid w:val="000162D8"/>
    <w:rsid w:val="00016EC0"/>
    <w:rsid w:val="00017D42"/>
    <w:rsid w:val="000201BB"/>
    <w:rsid w:val="000215FF"/>
    <w:rsid w:val="0002271F"/>
    <w:rsid w:val="000227A2"/>
    <w:rsid w:val="00023457"/>
    <w:rsid w:val="00023568"/>
    <w:rsid w:val="0002605C"/>
    <w:rsid w:val="00026AD0"/>
    <w:rsid w:val="000276E0"/>
    <w:rsid w:val="00027D6B"/>
    <w:rsid w:val="00030FF5"/>
    <w:rsid w:val="00032610"/>
    <w:rsid w:val="0003290A"/>
    <w:rsid w:val="00033125"/>
    <w:rsid w:val="0003711D"/>
    <w:rsid w:val="0003733B"/>
    <w:rsid w:val="000410C7"/>
    <w:rsid w:val="0004190B"/>
    <w:rsid w:val="0004530C"/>
    <w:rsid w:val="00047BAB"/>
    <w:rsid w:val="0005008C"/>
    <w:rsid w:val="000612B9"/>
    <w:rsid w:val="000625FA"/>
    <w:rsid w:val="00065A28"/>
    <w:rsid w:val="000667C7"/>
    <w:rsid w:val="000667F4"/>
    <w:rsid w:val="00067AA2"/>
    <w:rsid w:val="00070B3A"/>
    <w:rsid w:val="0007142C"/>
    <w:rsid w:val="00072BBF"/>
    <w:rsid w:val="00073197"/>
    <w:rsid w:val="00073861"/>
    <w:rsid w:val="000772CD"/>
    <w:rsid w:val="000809AD"/>
    <w:rsid w:val="000814BB"/>
    <w:rsid w:val="000817CC"/>
    <w:rsid w:val="0008240A"/>
    <w:rsid w:val="0008422D"/>
    <w:rsid w:val="000846B4"/>
    <w:rsid w:val="0008608F"/>
    <w:rsid w:val="00086102"/>
    <w:rsid w:val="00087349"/>
    <w:rsid w:val="00087697"/>
    <w:rsid w:val="00087936"/>
    <w:rsid w:val="00087B33"/>
    <w:rsid w:val="00090455"/>
    <w:rsid w:val="000924D2"/>
    <w:rsid w:val="00092D49"/>
    <w:rsid w:val="00093ED8"/>
    <w:rsid w:val="00094CB8"/>
    <w:rsid w:val="00094D62"/>
    <w:rsid w:val="00096054"/>
    <w:rsid w:val="00096E17"/>
    <w:rsid w:val="000978FB"/>
    <w:rsid w:val="00097F96"/>
    <w:rsid w:val="000A0BF4"/>
    <w:rsid w:val="000A11B1"/>
    <w:rsid w:val="000A27F2"/>
    <w:rsid w:val="000A2B87"/>
    <w:rsid w:val="000A4803"/>
    <w:rsid w:val="000B0275"/>
    <w:rsid w:val="000B08E4"/>
    <w:rsid w:val="000B0D51"/>
    <w:rsid w:val="000B2FF3"/>
    <w:rsid w:val="000B3C5E"/>
    <w:rsid w:val="000B3E02"/>
    <w:rsid w:val="000B3F86"/>
    <w:rsid w:val="000B6859"/>
    <w:rsid w:val="000B7277"/>
    <w:rsid w:val="000C11D5"/>
    <w:rsid w:val="000C1A02"/>
    <w:rsid w:val="000C20B8"/>
    <w:rsid w:val="000C292E"/>
    <w:rsid w:val="000C452F"/>
    <w:rsid w:val="000C46FF"/>
    <w:rsid w:val="000C4BD2"/>
    <w:rsid w:val="000C5E78"/>
    <w:rsid w:val="000C7748"/>
    <w:rsid w:val="000C7797"/>
    <w:rsid w:val="000C7C60"/>
    <w:rsid w:val="000C7E3B"/>
    <w:rsid w:val="000D01B9"/>
    <w:rsid w:val="000D1FA9"/>
    <w:rsid w:val="000D2E70"/>
    <w:rsid w:val="000D2ECA"/>
    <w:rsid w:val="000D3671"/>
    <w:rsid w:val="000D385F"/>
    <w:rsid w:val="000D3AEB"/>
    <w:rsid w:val="000D41A4"/>
    <w:rsid w:val="000D6C01"/>
    <w:rsid w:val="000E025B"/>
    <w:rsid w:val="000E4362"/>
    <w:rsid w:val="000E48A8"/>
    <w:rsid w:val="000E5732"/>
    <w:rsid w:val="000E633A"/>
    <w:rsid w:val="000F04FF"/>
    <w:rsid w:val="000F103E"/>
    <w:rsid w:val="000F192C"/>
    <w:rsid w:val="000F2B34"/>
    <w:rsid w:val="000F585C"/>
    <w:rsid w:val="000F59D7"/>
    <w:rsid w:val="000F66E9"/>
    <w:rsid w:val="000F7611"/>
    <w:rsid w:val="001002EA"/>
    <w:rsid w:val="00101410"/>
    <w:rsid w:val="0010241D"/>
    <w:rsid w:val="00102438"/>
    <w:rsid w:val="001024C4"/>
    <w:rsid w:val="00103229"/>
    <w:rsid w:val="001042AF"/>
    <w:rsid w:val="00105C01"/>
    <w:rsid w:val="00106125"/>
    <w:rsid w:val="00106346"/>
    <w:rsid w:val="001065DC"/>
    <w:rsid w:val="00107C14"/>
    <w:rsid w:val="00107E47"/>
    <w:rsid w:val="00110059"/>
    <w:rsid w:val="00111148"/>
    <w:rsid w:val="001114F4"/>
    <w:rsid w:val="001128D3"/>
    <w:rsid w:val="00113658"/>
    <w:rsid w:val="0011366A"/>
    <w:rsid w:val="00113B23"/>
    <w:rsid w:val="00113EDB"/>
    <w:rsid w:val="0011497D"/>
    <w:rsid w:val="00115517"/>
    <w:rsid w:val="001156FA"/>
    <w:rsid w:val="00115814"/>
    <w:rsid w:val="00116404"/>
    <w:rsid w:val="001206BB"/>
    <w:rsid w:val="00120ABD"/>
    <w:rsid w:val="00123BE5"/>
    <w:rsid w:val="0012518C"/>
    <w:rsid w:val="001262C6"/>
    <w:rsid w:val="00126428"/>
    <w:rsid w:val="001268BF"/>
    <w:rsid w:val="00126D83"/>
    <w:rsid w:val="00127417"/>
    <w:rsid w:val="0013143A"/>
    <w:rsid w:val="00131B41"/>
    <w:rsid w:val="00132AD1"/>
    <w:rsid w:val="00133A60"/>
    <w:rsid w:val="001357A6"/>
    <w:rsid w:val="0013642C"/>
    <w:rsid w:val="00141AEB"/>
    <w:rsid w:val="00141C67"/>
    <w:rsid w:val="001434BE"/>
    <w:rsid w:val="00145453"/>
    <w:rsid w:val="0014612B"/>
    <w:rsid w:val="0015187A"/>
    <w:rsid w:val="00160229"/>
    <w:rsid w:val="00160491"/>
    <w:rsid w:val="001625A6"/>
    <w:rsid w:val="001627C8"/>
    <w:rsid w:val="00163A95"/>
    <w:rsid w:val="00163FE7"/>
    <w:rsid w:val="00164FB2"/>
    <w:rsid w:val="001660DD"/>
    <w:rsid w:val="0016786F"/>
    <w:rsid w:val="00171E40"/>
    <w:rsid w:val="00171FB0"/>
    <w:rsid w:val="00172E4E"/>
    <w:rsid w:val="001749BE"/>
    <w:rsid w:val="00175D92"/>
    <w:rsid w:val="00177241"/>
    <w:rsid w:val="001803AF"/>
    <w:rsid w:val="00181A4C"/>
    <w:rsid w:val="0018299E"/>
    <w:rsid w:val="00184469"/>
    <w:rsid w:val="00184628"/>
    <w:rsid w:val="0018515E"/>
    <w:rsid w:val="00185A1C"/>
    <w:rsid w:val="00190FE2"/>
    <w:rsid w:val="00191422"/>
    <w:rsid w:val="0019797E"/>
    <w:rsid w:val="00197D9C"/>
    <w:rsid w:val="001A1100"/>
    <w:rsid w:val="001A1713"/>
    <w:rsid w:val="001A2796"/>
    <w:rsid w:val="001A2B15"/>
    <w:rsid w:val="001A5449"/>
    <w:rsid w:val="001A5AD4"/>
    <w:rsid w:val="001A637C"/>
    <w:rsid w:val="001A6F7F"/>
    <w:rsid w:val="001B0B12"/>
    <w:rsid w:val="001B1A16"/>
    <w:rsid w:val="001B3D49"/>
    <w:rsid w:val="001B6350"/>
    <w:rsid w:val="001B6436"/>
    <w:rsid w:val="001B6A5A"/>
    <w:rsid w:val="001C0218"/>
    <w:rsid w:val="001C0605"/>
    <w:rsid w:val="001C1552"/>
    <w:rsid w:val="001C382A"/>
    <w:rsid w:val="001C3FF6"/>
    <w:rsid w:val="001C6A8E"/>
    <w:rsid w:val="001D0613"/>
    <w:rsid w:val="001D0B67"/>
    <w:rsid w:val="001D1C8B"/>
    <w:rsid w:val="001D25BB"/>
    <w:rsid w:val="001D5D70"/>
    <w:rsid w:val="001D63D6"/>
    <w:rsid w:val="001D7CE7"/>
    <w:rsid w:val="001E0B7C"/>
    <w:rsid w:val="001E1127"/>
    <w:rsid w:val="001E1956"/>
    <w:rsid w:val="001E1E7E"/>
    <w:rsid w:val="001F1E34"/>
    <w:rsid w:val="001F67AF"/>
    <w:rsid w:val="001F714D"/>
    <w:rsid w:val="00201274"/>
    <w:rsid w:val="00201ACD"/>
    <w:rsid w:val="00202A02"/>
    <w:rsid w:val="00203431"/>
    <w:rsid w:val="00204ED7"/>
    <w:rsid w:val="00205108"/>
    <w:rsid w:val="002119A3"/>
    <w:rsid w:val="00211AE0"/>
    <w:rsid w:val="0021205C"/>
    <w:rsid w:val="0021331E"/>
    <w:rsid w:val="00213FC6"/>
    <w:rsid w:val="002163D9"/>
    <w:rsid w:val="00216DC4"/>
    <w:rsid w:val="00217DDD"/>
    <w:rsid w:val="00220640"/>
    <w:rsid w:val="00221CDA"/>
    <w:rsid w:val="00222D9B"/>
    <w:rsid w:val="00223D4C"/>
    <w:rsid w:val="00223E42"/>
    <w:rsid w:val="00226D3F"/>
    <w:rsid w:val="00226DA9"/>
    <w:rsid w:val="00226E43"/>
    <w:rsid w:val="0022700F"/>
    <w:rsid w:val="00231B80"/>
    <w:rsid w:val="00232A35"/>
    <w:rsid w:val="00232E76"/>
    <w:rsid w:val="00233C5E"/>
    <w:rsid w:val="002346F1"/>
    <w:rsid w:val="00235513"/>
    <w:rsid w:val="00235E6B"/>
    <w:rsid w:val="00236509"/>
    <w:rsid w:val="00241F58"/>
    <w:rsid w:val="00245EF4"/>
    <w:rsid w:val="002463EB"/>
    <w:rsid w:val="00246CEE"/>
    <w:rsid w:val="00246E40"/>
    <w:rsid w:val="0025072E"/>
    <w:rsid w:val="00250D8C"/>
    <w:rsid w:val="00250E3B"/>
    <w:rsid w:val="002510BE"/>
    <w:rsid w:val="00257DD1"/>
    <w:rsid w:val="002608F3"/>
    <w:rsid w:val="002613DA"/>
    <w:rsid w:val="00261C64"/>
    <w:rsid w:val="00262777"/>
    <w:rsid w:val="00262BCD"/>
    <w:rsid w:val="0026365D"/>
    <w:rsid w:val="00265C0B"/>
    <w:rsid w:val="00266211"/>
    <w:rsid w:val="00266661"/>
    <w:rsid w:val="00267024"/>
    <w:rsid w:val="00267ACD"/>
    <w:rsid w:val="00267CAD"/>
    <w:rsid w:val="002743E8"/>
    <w:rsid w:val="00274453"/>
    <w:rsid w:val="002762B4"/>
    <w:rsid w:val="00277587"/>
    <w:rsid w:val="002775D6"/>
    <w:rsid w:val="00281F42"/>
    <w:rsid w:val="00284413"/>
    <w:rsid w:val="00284E7C"/>
    <w:rsid w:val="0028625F"/>
    <w:rsid w:val="002917D8"/>
    <w:rsid w:val="00291E81"/>
    <w:rsid w:val="002923B5"/>
    <w:rsid w:val="002925C4"/>
    <w:rsid w:val="00292E10"/>
    <w:rsid w:val="00293537"/>
    <w:rsid w:val="00296D34"/>
    <w:rsid w:val="00297CB4"/>
    <w:rsid w:val="00297CCA"/>
    <w:rsid w:val="00297FE2"/>
    <w:rsid w:val="002A1B39"/>
    <w:rsid w:val="002A1C22"/>
    <w:rsid w:val="002A53E2"/>
    <w:rsid w:val="002A5501"/>
    <w:rsid w:val="002A6CC1"/>
    <w:rsid w:val="002B048D"/>
    <w:rsid w:val="002B38A5"/>
    <w:rsid w:val="002B3AB3"/>
    <w:rsid w:val="002B4205"/>
    <w:rsid w:val="002B4645"/>
    <w:rsid w:val="002B5E67"/>
    <w:rsid w:val="002B697A"/>
    <w:rsid w:val="002B6A16"/>
    <w:rsid w:val="002B6E06"/>
    <w:rsid w:val="002B71F6"/>
    <w:rsid w:val="002B764D"/>
    <w:rsid w:val="002C03CE"/>
    <w:rsid w:val="002C04B5"/>
    <w:rsid w:val="002C19FA"/>
    <w:rsid w:val="002C3B3B"/>
    <w:rsid w:val="002C3D59"/>
    <w:rsid w:val="002C4CD8"/>
    <w:rsid w:val="002C5239"/>
    <w:rsid w:val="002C6774"/>
    <w:rsid w:val="002C7E7C"/>
    <w:rsid w:val="002D0C61"/>
    <w:rsid w:val="002D0C69"/>
    <w:rsid w:val="002D1ABE"/>
    <w:rsid w:val="002D1E3C"/>
    <w:rsid w:val="002D20DE"/>
    <w:rsid w:val="002D29B9"/>
    <w:rsid w:val="002D433E"/>
    <w:rsid w:val="002D4B2D"/>
    <w:rsid w:val="002D692F"/>
    <w:rsid w:val="002D6FAB"/>
    <w:rsid w:val="002D7B92"/>
    <w:rsid w:val="002E2816"/>
    <w:rsid w:val="002E2986"/>
    <w:rsid w:val="002E6165"/>
    <w:rsid w:val="002E6FE9"/>
    <w:rsid w:val="002E7AB3"/>
    <w:rsid w:val="002E7E78"/>
    <w:rsid w:val="002F1DE0"/>
    <w:rsid w:val="002F2DCE"/>
    <w:rsid w:val="002F4FA0"/>
    <w:rsid w:val="002F6190"/>
    <w:rsid w:val="002F654A"/>
    <w:rsid w:val="002F6800"/>
    <w:rsid w:val="0030003E"/>
    <w:rsid w:val="00300C37"/>
    <w:rsid w:val="00301B34"/>
    <w:rsid w:val="00303DC5"/>
    <w:rsid w:val="003046CD"/>
    <w:rsid w:val="00304CCE"/>
    <w:rsid w:val="00307405"/>
    <w:rsid w:val="00310EB2"/>
    <w:rsid w:val="00312D27"/>
    <w:rsid w:val="0031366D"/>
    <w:rsid w:val="003140A8"/>
    <w:rsid w:val="00317EEE"/>
    <w:rsid w:val="00320B1C"/>
    <w:rsid w:val="00321B9A"/>
    <w:rsid w:val="00322484"/>
    <w:rsid w:val="00322999"/>
    <w:rsid w:val="003232EA"/>
    <w:rsid w:val="00323B08"/>
    <w:rsid w:val="00325D1B"/>
    <w:rsid w:val="00326729"/>
    <w:rsid w:val="00330096"/>
    <w:rsid w:val="003300E0"/>
    <w:rsid w:val="00330823"/>
    <w:rsid w:val="00335450"/>
    <w:rsid w:val="00335E1D"/>
    <w:rsid w:val="00337ABF"/>
    <w:rsid w:val="00337F4F"/>
    <w:rsid w:val="00340522"/>
    <w:rsid w:val="00342A77"/>
    <w:rsid w:val="0034354D"/>
    <w:rsid w:val="00345859"/>
    <w:rsid w:val="003458CE"/>
    <w:rsid w:val="00345CD7"/>
    <w:rsid w:val="0035002B"/>
    <w:rsid w:val="00352416"/>
    <w:rsid w:val="00354129"/>
    <w:rsid w:val="00354224"/>
    <w:rsid w:val="003542D3"/>
    <w:rsid w:val="0035516E"/>
    <w:rsid w:val="0035528C"/>
    <w:rsid w:val="00356B16"/>
    <w:rsid w:val="003573C2"/>
    <w:rsid w:val="003604FF"/>
    <w:rsid w:val="00364664"/>
    <w:rsid w:val="00365BEC"/>
    <w:rsid w:val="0036790D"/>
    <w:rsid w:val="003706C3"/>
    <w:rsid w:val="003706FF"/>
    <w:rsid w:val="003708D2"/>
    <w:rsid w:val="00370DB6"/>
    <w:rsid w:val="00370EAE"/>
    <w:rsid w:val="003714AA"/>
    <w:rsid w:val="00374286"/>
    <w:rsid w:val="00375795"/>
    <w:rsid w:val="00377BA4"/>
    <w:rsid w:val="0038139E"/>
    <w:rsid w:val="00383103"/>
    <w:rsid w:val="003856DA"/>
    <w:rsid w:val="003873D0"/>
    <w:rsid w:val="003910D0"/>
    <w:rsid w:val="00392CC5"/>
    <w:rsid w:val="00392D18"/>
    <w:rsid w:val="003934D7"/>
    <w:rsid w:val="0039442E"/>
    <w:rsid w:val="0039510E"/>
    <w:rsid w:val="003968F7"/>
    <w:rsid w:val="003A0BB3"/>
    <w:rsid w:val="003A15E7"/>
    <w:rsid w:val="003A3848"/>
    <w:rsid w:val="003A58CB"/>
    <w:rsid w:val="003A6496"/>
    <w:rsid w:val="003A76C8"/>
    <w:rsid w:val="003A78AE"/>
    <w:rsid w:val="003B0411"/>
    <w:rsid w:val="003B08A6"/>
    <w:rsid w:val="003B0AB0"/>
    <w:rsid w:val="003B0DDC"/>
    <w:rsid w:val="003B1DBD"/>
    <w:rsid w:val="003B22AA"/>
    <w:rsid w:val="003B2C9E"/>
    <w:rsid w:val="003B455E"/>
    <w:rsid w:val="003B504E"/>
    <w:rsid w:val="003B5823"/>
    <w:rsid w:val="003B67E2"/>
    <w:rsid w:val="003B6EF7"/>
    <w:rsid w:val="003C0A76"/>
    <w:rsid w:val="003C144D"/>
    <w:rsid w:val="003C171C"/>
    <w:rsid w:val="003C28CB"/>
    <w:rsid w:val="003C2D2C"/>
    <w:rsid w:val="003C3399"/>
    <w:rsid w:val="003C5204"/>
    <w:rsid w:val="003D3B4F"/>
    <w:rsid w:val="003D47B4"/>
    <w:rsid w:val="003D5691"/>
    <w:rsid w:val="003E0184"/>
    <w:rsid w:val="003E2D8F"/>
    <w:rsid w:val="003E5669"/>
    <w:rsid w:val="003F0384"/>
    <w:rsid w:val="003F6DB0"/>
    <w:rsid w:val="003F71CE"/>
    <w:rsid w:val="003F73BF"/>
    <w:rsid w:val="003F7B6E"/>
    <w:rsid w:val="0040118D"/>
    <w:rsid w:val="004015E0"/>
    <w:rsid w:val="0040180F"/>
    <w:rsid w:val="004023F5"/>
    <w:rsid w:val="004034DE"/>
    <w:rsid w:val="0040355A"/>
    <w:rsid w:val="00403C04"/>
    <w:rsid w:val="004057F6"/>
    <w:rsid w:val="004103F1"/>
    <w:rsid w:val="0041186B"/>
    <w:rsid w:val="004122E8"/>
    <w:rsid w:val="00412DF4"/>
    <w:rsid w:val="00414168"/>
    <w:rsid w:val="00414944"/>
    <w:rsid w:val="00416384"/>
    <w:rsid w:val="00417541"/>
    <w:rsid w:val="00417B91"/>
    <w:rsid w:val="00423D87"/>
    <w:rsid w:val="004249D4"/>
    <w:rsid w:val="004255A9"/>
    <w:rsid w:val="00426018"/>
    <w:rsid w:val="00427759"/>
    <w:rsid w:val="004306A6"/>
    <w:rsid w:val="00433740"/>
    <w:rsid w:val="00433B49"/>
    <w:rsid w:val="00436745"/>
    <w:rsid w:val="00437200"/>
    <w:rsid w:val="0044053F"/>
    <w:rsid w:val="004415DF"/>
    <w:rsid w:val="0044412A"/>
    <w:rsid w:val="00444C55"/>
    <w:rsid w:val="00444E51"/>
    <w:rsid w:val="004467CB"/>
    <w:rsid w:val="004474B1"/>
    <w:rsid w:val="00450DB3"/>
    <w:rsid w:val="004512B4"/>
    <w:rsid w:val="004525D2"/>
    <w:rsid w:val="00454629"/>
    <w:rsid w:val="00456377"/>
    <w:rsid w:val="00461729"/>
    <w:rsid w:val="004630F2"/>
    <w:rsid w:val="00463181"/>
    <w:rsid w:val="004643C8"/>
    <w:rsid w:val="004644B3"/>
    <w:rsid w:val="00465CDB"/>
    <w:rsid w:val="004667C7"/>
    <w:rsid w:val="00467030"/>
    <w:rsid w:val="00470109"/>
    <w:rsid w:val="00471EC0"/>
    <w:rsid w:val="00472651"/>
    <w:rsid w:val="004745A2"/>
    <w:rsid w:val="004756CC"/>
    <w:rsid w:val="004763FB"/>
    <w:rsid w:val="00476AC6"/>
    <w:rsid w:val="004811E2"/>
    <w:rsid w:val="00482AE6"/>
    <w:rsid w:val="00486CBF"/>
    <w:rsid w:val="004874E4"/>
    <w:rsid w:val="00490177"/>
    <w:rsid w:val="00490EF1"/>
    <w:rsid w:val="004912A3"/>
    <w:rsid w:val="00491D81"/>
    <w:rsid w:val="004931CA"/>
    <w:rsid w:val="004950CE"/>
    <w:rsid w:val="0049585B"/>
    <w:rsid w:val="00495EB3"/>
    <w:rsid w:val="004961EB"/>
    <w:rsid w:val="004A072F"/>
    <w:rsid w:val="004A07B6"/>
    <w:rsid w:val="004A1A36"/>
    <w:rsid w:val="004A5FB1"/>
    <w:rsid w:val="004A78AE"/>
    <w:rsid w:val="004B0AC7"/>
    <w:rsid w:val="004B0BC1"/>
    <w:rsid w:val="004B1A0A"/>
    <w:rsid w:val="004B1AB9"/>
    <w:rsid w:val="004B4180"/>
    <w:rsid w:val="004B49C5"/>
    <w:rsid w:val="004B4CDB"/>
    <w:rsid w:val="004B67C0"/>
    <w:rsid w:val="004B6E1A"/>
    <w:rsid w:val="004B7A99"/>
    <w:rsid w:val="004C1813"/>
    <w:rsid w:val="004C2BA9"/>
    <w:rsid w:val="004C397F"/>
    <w:rsid w:val="004C3C04"/>
    <w:rsid w:val="004C71FF"/>
    <w:rsid w:val="004C7EEA"/>
    <w:rsid w:val="004D1E54"/>
    <w:rsid w:val="004D369B"/>
    <w:rsid w:val="004D47D8"/>
    <w:rsid w:val="004D4804"/>
    <w:rsid w:val="004D4D69"/>
    <w:rsid w:val="004D6356"/>
    <w:rsid w:val="004D66FC"/>
    <w:rsid w:val="004E3A36"/>
    <w:rsid w:val="004E4C59"/>
    <w:rsid w:val="004E7372"/>
    <w:rsid w:val="004F01D5"/>
    <w:rsid w:val="004F02C4"/>
    <w:rsid w:val="004F12A2"/>
    <w:rsid w:val="004F2063"/>
    <w:rsid w:val="004F3418"/>
    <w:rsid w:val="004F3E5C"/>
    <w:rsid w:val="004F4000"/>
    <w:rsid w:val="004F699C"/>
    <w:rsid w:val="004F708F"/>
    <w:rsid w:val="004F726C"/>
    <w:rsid w:val="00500B32"/>
    <w:rsid w:val="00501201"/>
    <w:rsid w:val="0050274A"/>
    <w:rsid w:val="005029F5"/>
    <w:rsid w:val="005032B8"/>
    <w:rsid w:val="005046A9"/>
    <w:rsid w:val="00504D54"/>
    <w:rsid w:val="00505BE7"/>
    <w:rsid w:val="00511842"/>
    <w:rsid w:val="00511E9D"/>
    <w:rsid w:val="00512DDD"/>
    <w:rsid w:val="00515BCC"/>
    <w:rsid w:val="005212E8"/>
    <w:rsid w:val="00530361"/>
    <w:rsid w:val="005303F6"/>
    <w:rsid w:val="005404EB"/>
    <w:rsid w:val="0054088F"/>
    <w:rsid w:val="005416AD"/>
    <w:rsid w:val="00545013"/>
    <w:rsid w:val="00545375"/>
    <w:rsid w:val="005460C6"/>
    <w:rsid w:val="005460E1"/>
    <w:rsid w:val="00546EA6"/>
    <w:rsid w:val="00547094"/>
    <w:rsid w:val="00547376"/>
    <w:rsid w:val="00547BD4"/>
    <w:rsid w:val="00550BD2"/>
    <w:rsid w:val="005536BA"/>
    <w:rsid w:val="00554281"/>
    <w:rsid w:val="00557604"/>
    <w:rsid w:val="00560241"/>
    <w:rsid w:val="0056197D"/>
    <w:rsid w:val="00566ABC"/>
    <w:rsid w:val="005728C9"/>
    <w:rsid w:val="005739C9"/>
    <w:rsid w:val="0057450C"/>
    <w:rsid w:val="00574D44"/>
    <w:rsid w:val="00575830"/>
    <w:rsid w:val="00576B69"/>
    <w:rsid w:val="005771D8"/>
    <w:rsid w:val="00582530"/>
    <w:rsid w:val="005837E0"/>
    <w:rsid w:val="00591568"/>
    <w:rsid w:val="00591CB3"/>
    <w:rsid w:val="00594780"/>
    <w:rsid w:val="00595942"/>
    <w:rsid w:val="00597B93"/>
    <w:rsid w:val="00597DB8"/>
    <w:rsid w:val="005A033D"/>
    <w:rsid w:val="005A04FF"/>
    <w:rsid w:val="005A1973"/>
    <w:rsid w:val="005A6754"/>
    <w:rsid w:val="005B06CA"/>
    <w:rsid w:val="005B0D16"/>
    <w:rsid w:val="005B29A1"/>
    <w:rsid w:val="005B29CF"/>
    <w:rsid w:val="005B33A0"/>
    <w:rsid w:val="005B4005"/>
    <w:rsid w:val="005B455E"/>
    <w:rsid w:val="005B4E7A"/>
    <w:rsid w:val="005B5317"/>
    <w:rsid w:val="005B6AFA"/>
    <w:rsid w:val="005B76BD"/>
    <w:rsid w:val="005B78A6"/>
    <w:rsid w:val="005B7B88"/>
    <w:rsid w:val="005C2F93"/>
    <w:rsid w:val="005C529C"/>
    <w:rsid w:val="005C60E7"/>
    <w:rsid w:val="005C7417"/>
    <w:rsid w:val="005C75EB"/>
    <w:rsid w:val="005D1319"/>
    <w:rsid w:val="005D2148"/>
    <w:rsid w:val="005D3F16"/>
    <w:rsid w:val="005D5082"/>
    <w:rsid w:val="005E0B9E"/>
    <w:rsid w:val="005E1088"/>
    <w:rsid w:val="005E355F"/>
    <w:rsid w:val="005E4121"/>
    <w:rsid w:val="005E43D5"/>
    <w:rsid w:val="005E5EBC"/>
    <w:rsid w:val="005F0E6E"/>
    <w:rsid w:val="005F1656"/>
    <w:rsid w:val="005F2659"/>
    <w:rsid w:val="005F2C1B"/>
    <w:rsid w:val="005F3F7C"/>
    <w:rsid w:val="005F77AA"/>
    <w:rsid w:val="00600636"/>
    <w:rsid w:val="00600AFB"/>
    <w:rsid w:val="00600E4C"/>
    <w:rsid w:val="00603616"/>
    <w:rsid w:val="00603D99"/>
    <w:rsid w:val="00605E94"/>
    <w:rsid w:val="00607267"/>
    <w:rsid w:val="006076B5"/>
    <w:rsid w:val="006108F9"/>
    <w:rsid w:val="0061339B"/>
    <w:rsid w:val="006141B7"/>
    <w:rsid w:val="0061462F"/>
    <w:rsid w:val="00620B9D"/>
    <w:rsid w:val="006234D5"/>
    <w:rsid w:val="00623F6F"/>
    <w:rsid w:val="0062477B"/>
    <w:rsid w:val="00624DFB"/>
    <w:rsid w:val="00627E40"/>
    <w:rsid w:val="0063184E"/>
    <w:rsid w:val="00632C4A"/>
    <w:rsid w:val="00633D24"/>
    <w:rsid w:val="00633DED"/>
    <w:rsid w:val="00634B2B"/>
    <w:rsid w:val="00635CF2"/>
    <w:rsid w:val="00636270"/>
    <w:rsid w:val="00636D48"/>
    <w:rsid w:val="00640042"/>
    <w:rsid w:val="006408AA"/>
    <w:rsid w:val="006457B8"/>
    <w:rsid w:val="00647639"/>
    <w:rsid w:val="006504D2"/>
    <w:rsid w:val="006506B9"/>
    <w:rsid w:val="006527D4"/>
    <w:rsid w:val="00652AD1"/>
    <w:rsid w:val="00653D55"/>
    <w:rsid w:val="00653F76"/>
    <w:rsid w:val="00655AA1"/>
    <w:rsid w:val="00656C86"/>
    <w:rsid w:val="006577A3"/>
    <w:rsid w:val="006615DE"/>
    <w:rsid w:val="006619AC"/>
    <w:rsid w:val="006635B7"/>
    <w:rsid w:val="00664C1F"/>
    <w:rsid w:val="00666460"/>
    <w:rsid w:val="006675FC"/>
    <w:rsid w:val="0067028B"/>
    <w:rsid w:val="00670FEF"/>
    <w:rsid w:val="00671921"/>
    <w:rsid w:val="00671EEF"/>
    <w:rsid w:val="00671F59"/>
    <w:rsid w:val="00672109"/>
    <w:rsid w:val="0067223D"/>
    <w:rsid w:val="0067269F"/>
    <w:rsid w:val="0067380C"/>
    <w:rsid w:val="0067385F"/>
    <w:rsid w:val="00675E3D"/>
    <w:rsid w:val="00676644"/>
    <w:rsid w:val="0067735D"/>
    <w:rsid w:val="00680B3F"/>
    <w:rsid w:val="0068416E"/>
    <w:rsid w:val="006842C9"/>
    <w:rsid w:val="00684562"/>
    <w:rsid w:val="006872C1"/>
    <w:rsid w:val="00691257"/>
    <w:rsid w:val="00692094"/>
    <w:rsid w:val="00692B22"/>
    <w:rsid w:val="00693FF1"/>
    <w:rsid w:val="00694D35"/>
    <w:rsid w:val="0069604C"/>
    <w:rsid w:val="006A2DE1"/>
    <w:rsid w:val="006A441E"/>
    <w:rsid w:val="006A53B3"/>
    <w:rsid w:val="006A7D1C"/>
    <w:rsid w:val="006B0004"/>
    <w:rsid w:val="006B0096"/>
    <w:rsid w:val="006B02CD"/>
    <w:rsid w:val="006B0A76"/>
    <w:rsid w:val="006B17AE"/>
    <w:rsid w:val="006B252E"/>
    <w:rsid w:val="006B2E9D"/>
    <w:rsid w:val="006B7AE7"/>
    <w:rsid w:val="006C0FCF"/>
    <w:rsid w:val="006C2862"/>
    <w:rsid w:val="006C2CE5"/>
    <w:rsid w:val="006C2E17"/>
    <w:rsid w:val="006C3BF5"/>
    <w:rsid w:val="006C5089"/>
    <w:rsid w:val="006C5D68"/>
    <w:rsid w:val="006C69AE"/>
    <w:rsid w:val="006D2BF0"/>
    <w:rsid w:val="006D3195"/>
    <w:rsid w:val="006D32D2"/>
    <w:rsid w:val="006D3346"/>
    <w:rsid w:val="006D3959"/>
    <w:rsid w:val="006D3E37"/>
    <w:rsid w:val="006D4453"/>
    <w:rsid w:val="006D488F"/>
    <w:rsid w:val="006D53BF"/>
    <w:rsid w:val="006D6532"/>
    <w:rsid w:val="006E0972"/>
    <w:rsid w:val="006E1920"/>
    <w:rsid w:val="006E1A00"/>
    <w:rsid w:val="006E4557"/>
    <w:rsid w:val="006E6ECA"/>
    <w:rsid w:val="006F284F"/>
    <w:rsid w:val="006F399E"/>
    <w:rsid w:val="006F3F14"/>
    <w:rsid w:val="006F4FA1"/>
    <w:rsid w:val="006F60E0"/>
    <w:rsid w:val="006F6E69"/>
    <w:rsid w:val="00703FA4"/>
    <w:rsid w:val="0070408F"/>
    <w:rsid w:val="00705574"/>
    <w:rsid w:val="0071042C"/>
    <w:rsid w:val="00712AA9"/>
    <w:rsid w:val="0071340D"/>
    <w:rsid w:val="00713790"/>
    <w:rsid w:val="00714F8F"/>
    <w:rsid w:val="00715152"/>
    <w:rsid w:val="00716688"/>
    <w:rsid w:val="00716911"/>
    <w:rsid w:val="00717383"/>
    <w:rsid w:val="0072115E"/>
    <w:rsid w:val="00721A98"/>
    <w:rsid w:val="007224F1"/>
    <w:rsid w:val="00723FE6"/>
    <w:rsid w:val="00725172"/>
    <w:rsid w:val="00725575"/>
    <w:rsid w:val="0072567A"/>
    <w:rsid w:val="00727621"/>
    <w:rsid w:val="00730CB7"/>
    <w:rsid w:val="00732282"/>
    <w:rsid w:val="0073233C"/>
    <w:rsid w:val="00733C80"/>
    <w:rsid w:val="00733D3E"/>
    <w:rsid w:val="0073488F"/>
    <w:rsid w:val="00735D60"/>
    <w:rsid w:val="00736BD6"/>
    <w:rsid w:val="00737CAE"/>
    <w:rsid w:val="00737CB0"/>
    <w:rsid w:val="007406BA"/>
    <w:rsid w:val="00740A89"/>
    <w:rsid w:val="00740B93"/>
    <w:rsid w:val="007415D6"/>
    <w:rsid w:val="00743A0E"/>
    <w:rsid w:val="00743BC5"/>
    <w:rsid w:val="007450D6"/>
    <w:rsid w:val="00745429"/>
    <w:rsid w:val="0074566B"/>
    <w:rsid w:val="00746885"/>
    <w:rsid w:val="00747326"/>
    <w:rsid w:val="00747690"/>
    <w:rsid w:val="00750071"/>
    <w:rsid w:val="00752BD0"/>
    <w:rsid w:val="00756981"/>
    <w:rsid w:val="00756C85"/>
    <w:rsid w:val="0075796E"/>
    <w:rsid w:val="0076033E"/>
    <w:rsid w:val="00760471"/>
    <w:rsid w:val="0076063F"/>
    <w:rsid w:val="0076365A"/>
    <w:rsid w:val="007647B0"/>
    <w:rsid w:val="00765711"/>
    <w:rsid w:val="007664E0"/>
    <w:rsid w:val="007672F7"/>
    <w:rsid w:val="00767DE5"/>
    <w:rsid w:val="00773528"/>
    <w:rsid w:val="0077422F"/>
    <w:rsid w:val="00776617"/>
    <w:rsid w:val="0077704F"/>
    <w:rsid w:val="00777DF0"/>
    <w:rsid w:val="00780350"/>
    <w:rsid w:val="00781F1F"/>
    <w:rsid w:val="0078328F"/>
    <w:rsid w:val="007832C3"/>
    <w:rsid w:val="007843C4"/>
    <w:rsid w:val="0078548B"/>
    <w:rsid w:val="00786271"/>
    <w:rsid w:val="00787D0B"/>
    <w:rsid w:val="00787FB7"/>
    <w:rsid w:val="0079135D"/>
    <w:rsid w:val="00793ED1"/>
    <w:rsid w:val="00794744"/>
    <w:rsid w:val="007970DE"/>
    <w:rsid w:val="007A00FA"/>
    <w:rsid w:val="007A10F3"/>
    <w:rsid w:val="007A12A3"/>
    <w:rsid w:val="007A12B9"/>
    <w:rsid w:val="007A1E5C"/>
    <w:rsid w:val="007A29ED"/>
    <w:rsid w:val="007A4E54"/>
    <w:rsid w:val="007A5A93"/>
    <w:rsid w:val="007A7B3D"/>
    <w:rsid w:val="007B0670"/>
    <w:rsid w:val="007B09DD"/>
    <w:rsid w:val="007B0E19"/>
    <w:rsid w:val="007B175B"/>
    <w:rsid w:val="007B17C1"/>
    <w:rsid w:val="007B237E"/>
    <w:rsid w:val="007B2907"/>
    <w:rsid w:val="007B465A"/>
    <w:rsid w:val="007B5D42"/>
    <w:rsid w:val="007C02F2"/>
    <w:rsid w:val="007C052F"/>
    <w:rsid w:val="007C1D09"/>
    <w:rsid w:val="007C2D13"/>
    <w:rsid w:val="007C4583"/>
    <w:rsid w:val="007C519C"/>
    <w:rsid w:val="007C58E0"/>
    <w:rsid w:val="007C651B"/>
    <w:rsid w:val="007D0244"/>
    <w:rsid w:val="007D22E0"/>
    <w:rsid w:val="007D2E0D"/>
    <w:rsid w:val="007D32FD"/>
    <w:rsid w:val="007D470A"/>
    <w:rsid w:val="007D4B78"/>
    <w:rsid w:val="007D5462"/>
    <w:rsid w:val="007D5B24"/>
    <w:rsid w:val="007D5B79"/>
    <w:rsid w:val="007D701B"/>
    <w:rsid w:val="007E0909"/>
    <w:rsid w:val="007E16B9"/>
    <w:rsid w:val="007E20D6"/>
    <w:rsid w:val="007E2513"/>
    <w:rsid w:val="007E27B9"/>
    <w:rsid w:val="007E2C61"/>
    <w:rsid w:val="007E3EB8"/>
    <w:rsid w:val="007E4568"/>
    <w:rsid w:val="007E77E6"/>
    <w:rsid w:val="007F0983"/>
    <w:rsid w:val="007F144D"/>
    <w:rsid w:val="007F28B0"/>
    <w:rsid w:val="007F2D13"/>
    <w:rsid w:val="007F2EEE"/>
    <w:rsid w:val="007F48C6"/>
    <w:rsid w:val="007F55CC"/>
    <w:rsid w:val="007F63D1"/>
    <w:rsid w:val="007F741A"/>
    <w:rsid w:val="007F75C9"/>
    <w:rsid w:val="007F7B5D"/>
    <w:rsid w:val="00801345"/>
    <w:rsid w:val="00802749"/>
    <w:rsid w:val="0080359E"/>
    <w:rsid w:val="0080645D"/>
    <w:rsid w:val="00807707"/>
    <w:rsid w:val="0080790E"/>
    <w:rsid w:val="008109EF"/>
    <w:rsid w:val="008132B9"/>
    <w:rsid w:val="00813955"/>
    <w:rsid w:val="00813B21"/>
    <w:rsid w:val="008140C2"/>
    <w:rsid w:val="00814B1F"/>
    <w:rsid w:val="00814EB9"/>
    <w:rsid w:val="0081684E"/>
    <w:rsid w:val="008212FD"/>
    <w:rsid w:val="00821F53"/>
    <w:rsid w:val="00822E67"/>
    <w:rsid w:val="00824724"/>
    <w:rsid w:val="00824B08"/>
    <w:rsid w:val="00825DA2"/>
    <w:rsid w:val="00826FC8"/>
    <w:rsid w:val="00830164"/>
    <w:rsid w:val="008307C0"/>
    <w:rsid w:val="00832842"/>
    <w:rsid w:val="008339A5"/>
    <w:rsid w:val="0083448B"/>
    <w:rsid w:val="00834E7C"/>
    <w:rsid w:val="00836754"/>
    <w:rsid w:val="00837060"/>
    <w:rsid w:val="00840FE4"/>
    <w:rsid w:val="00841C6D"/>
    <w:rsid w:val="0084261B"/>
    <w:rsid w:val="008448C2"/>
    <w:rsid w:val="008462E3"/>
    <w:rsid w:val="00846EA2"/>
    <w:rsid w:val="008475DE"/>
    <w:rsid w:val="008478F9"/>
    <w:rsid w:val="00847C78"/>
    <w:rsid w:val="00852EDA"/>
    <w:rsid w:val="00853328"/>
    <w:rsid w:val="0085386B"/>
    <w:rsid w:val="008540AA"/>
    <w:rsid w:val="00854C05"/>
    <w:rsid w:val="00857FA0"/>
    <w:rsid w:val="008602DE"/>
    <w:rsid w:val="008604AA"/>
    <w:rsid w:val="008612A9"/>
    <w:rsid w:val="00866D4B"/>
    <w:rsid w:val="00866F1A"/>
    <w:rsid w:val="00867349"/>
    <w:rsid w:val="008674A1"/>
    <w:rsid w:val="008712CE"/>
    <w:rsid w:val="00871FE1"/>
    <w:rsid w:val="00872BAB"/>
    <w:rsid w:val="0087381C"/>
    <w:rsid w:val="00875AB6"/>
    <w:rsid w:val="008760DC"/>
    <w:rsid w:val="00876862"/>
    <w:rsid w:val="008776BB"/>
    <w:rsid w:val="00877F71"/>
    <w:rsid w:val="008811AD"/>
    <w:rsid w:val="00881CA1"/>
    <w:rsid w:val="0088222B"/>
    <w:rsid w:val="008862B0"/>
    <w:rsid w:val="00890A5B"/>
    <w:rsid w:val="008922BF"/>
    <w:rsid w:val="008A081F"/>
    <w:rsid w:val="008A0B80"/>
    <w:rsid w:val="008A1B64"/>
    <w:rsid w:val="008A2F4C"/>
    <w:rsid w:val="008A3FDB"/>
    <w:rsid w:val="008A6610"/>
    <w:rsid w:val="008B072A"/>
    <w:rsid w:val="008B0FC3"/>
    <w:rsid w:val="008B1063"/>
    <w:rsid w:val="008B2A40"/>
    <w:rsid w:val="008B4850"/>
    <w:rsid w:val="008B6BEE"/>
    <w:rsid w:val="008B7F8A"/>
    <w:rsid w:val="008C0118"/>
    <w:rsid w:val="008C1473"/>
    <w:rsid w:val="008C4DB9"/>
    <w:rsid w:val="008C6B31"/>
    <w:rsid w:val="008D0D0A"/>
    <w:rsid w:val="008D1D69"/>
    <w:rsid w:val="008D32FB"/>
    <w:rsid w:val="008D37F1"/>
    <w:rsid w:val="008D4951"/>
    <w:rsid w:val="008D5321"/>
    <w:rsid w:val="008D591E"/>
    <w:rsid w:val="008E3090"/>
    <w:rsid w:val="008E3F4E"/>
    <w:rsid w:val="008E471C"/>
    <w:rsid w:val="008E4BEE"/>
    <w:rsid w:val="008E53B2"/>
    <w:rsid w:val="008E64FE"/>
    <w:rsid w:val="008E6C1C"/>
    <w:rsid w:val="008E6E64"/>
    <w:rsid w:val="008F178D"/>
    <w:rsid w:val="008F6576"/>
    <w:rsid w:val="008F741C"/>
    <w:rsid w:val="008F7466"/>
    <w:rsid w:val="008F74A1"/>
    <w:rsid w:val="008F75F5"/>
    <w:rsid w:val="00900E9D"/>
    <w:rsid w:val="0090359E"/>
    <w:rsid w:val="00905419"/>
    <w:rsid w:val="00905B21"/>
    <w:rsid w:val="009128CE"/>
    <w:rsid w:val="009131DB"/>
    <w:rsid w:val="00914932"/>
    <w:rsid w:val="00914C83"/>
    <w:rsid w:val="0091571B"/>
    <w:rsid w:val="009217F3"/>
    <w:rsid w:val="009231F6"/>
    <w:rsid w:val="00923385"/>
    <w:rsid w:val="00924171"/>
    <w:rsid w:val="00927A43"/>
    <w:rsid w:val="00930166"/>
    <w:rsid w:val="0093111A"/>
    <w:rsid w:val="00931B57"/>
    <w:rsid w:val="00933868"/>
    <w:rsid w:val="009348E6"/>
    <w:rsid w:val="00936B5D"/>
    <w:rsid w:val="00937E2C"/>
    <w:rsid w:val="00940FF8"/>
    <w:rsid w:val="0094193A"/>
    <w:rsid w:val="00941AAC"/>
    <w:rsid w:val="00942373"/>
    <w:rsid w:val="00943EEA"/>
    <w:rsid w:val="00944AA5"/>
    <w:rsid w:val="00944EA1"/>
    <w:rsid w:val="009454C8"/>
    <w:rsid w:val="0094594F"/>
    <w:rsid w:val="00945C0A"/>
    <w:rsid w:val="00947FB8"/>
    <w:rsid w:val="009539AF"/>
    <w:rsid w:val="00953AE6"/>
    <w:rsid w:val="00953B18"/>
    <w:rsid w:val="009540CF"/>
    <w:rsid w:val="009554DB"/>
    <w:rsid w:val="009557C0"/>
    <w:rsid w:val="00955C52"/>
    <w:rsid w:val="00955CEF"/>
    <w:rsid w:val="00956A92"/>
    <w:rsid w:val="00957227"/>
    <w:rsid w:val="00961C09"/>
    <w:rsid w:val="009626AE"/>
    <w:rsid w:val="00962A9D"/>
    <w:rsid w:val="00963552"/>
    <w:rsid w:val="00964432"/>
    <w:rsid w:val="009653E3"/>
    <w:rsid w:val="00965B0F"/>
    <w:rsid w:val="009675A3"/>
    <w:rsid w:val="00970531"/>
    <w:rsid w:val="0097211D"/>
    <w:rsid w:val="00972397"/>
    <w:rsid w:val="009726DC"/>
    <w:rsid w:val="00976672"/>
    <w:rsid w:val="00976BF5"/>
    <w:rsid w:val="00976C76"/>
    <w:rsid w:val="00977FF8"/>
    <w:rsid w:val="00982278"/>
    <w:rsid w:val="00982F88"/>
    <w:rsid w:val="009844E9"/>
    <w:rsid w:val="00985B20"/>
    <w:rsid w:val="0098630A"/>
    <w:rsid w:val="009877F3"/>
    <w:rsid w:val="009906FB"/>
    <w:rsid w:val="00990D72"/>
    <w:rsid w:val="00994231"/>
    <w:rsid w:val="00994359"/>
    <w:rsid w:val="009952B3"/>
    <w:rsid w:val="009A0A53"/>
    <w:rsid w:val="009A0DDD"/>
    <w:rsid w:val="009A1A5F"/>
    <w:rsid w:val="009A276D"/>
    <w:rsid w:val="009A3212"/>
    <w:rsid w:val="009A4073"/>
    <w:rsid w:val="009A459C"/>
    <w:rsid w:val="009A6F13"/>
    <w:rsid w:val="009B1CAC"/>
    <w:rsid w:val="009B6E62"/>
    <w:rsid w:val="009C0809"/>
    <w:rsid w:val="009C1230"/>
    <w:rsid w:val="009C1ABD"/>
    <w:rsid w:val="009C2F10"/>
    <w:rsid w:val="009C7436"/>
    <w:rsid w:val="009D13CC"/>
    <w:rsid w:val="009D2B95"/>
    <w:rsid w:val="009D38E4"/>
    <w:rsid w:val="009D3A3A"/>
    <w:rsid w:val="009D48E5"/>
    <w:rsid w:val="009D4A6C"/>
    <w:rsid w:val="009D58C8"/>
    <w:rsid w:val="009D5C60"/>
    <w:rsid w:val="009D6799"/>
    <w:rsid w:val="009D70B0"/>
    <w:rsid w:val="009D76A8"/>
    <w:rsid w:val="009E0DF0"/>
    <w:rsid w:val="009E2157"/>
    <w:rsid w:val="009E330C"/>
    <w:rsid w:val="009E3F55"/>
    <w:rsid w:val="009E4B11"/>
    <w:rsid w:val="009E5FF1"/>
    <w:rsid w:val="009E6080"/>
    <w:rsid w:val="009E6D6B"/>
    <w:rsid w:val="009F0E9C"/>
    <w:rsid w:val="009F11BB"/>
    <w:rsid w:val="009F4532"/>
    <w:rsid w:val="009F50E9"/>
    <w:rsid w:val="009F6BC7"/>
    <w:rsid w:val="009F7438"/>
    <w:rsid w:val="009F7734"/>
    <w:rsid w:val="009F7C8D"/>
    <w:rsid w:val="00A000D3"/>
    <w:rsid w:val="00A009D5"/>
    <w:rsid w:val="00A00DBD"/>
    <w:rsid w:val="00A016D9"/>
    <w:rsid w:val="00A01BD6"/>
    <w:rsid w:val="00A03824"/>
    <w:rsid w:val="00A04B05"/>
    <w:rsid w:val="00A07C73"/>
    <w:rsid w:val="00A10F7E"/>
    <w:rsid w:val="00A1134F"/>
    <w:rsid w:val="00A128B6"/>
    <w:rsid w:val="00A139D3"/>
    <w:rsid w:val="00A1408D"/>
    <w:rsid w:val="00A148AA"/>
    <w:rsid w:val="00A14DF5"/>
    <w:rsid w:val="00A16C3D"/>
    <w:rsid w:val="00A1734A"/>
    <w:rsid w:val="00A2005C"/>
    <w:rsid w:val="00A20622"/>
    <w:rsid w:val="00A24805"/>
    <w:rsid w:val="00A25415"/>
    <w:rsid w:val="00A25D28"/>
    <w:rsid w:val="00A265DF"/>
    <w:rsid w:val="00A30BB7"/>
    <w:rsid w:val="00A31F35"/>
    <w:rsid w:val="00A3294A"/>
    <w:rsid w:val="00A371C7"/>
    <w:rsid w:val="00A379C6"/>
    <w:rsid w:val="00A45644"/>
    <w:rsid w:val="00A479C5"/>
    <w:rsid w:val="00A529E2"/>
    <w:rsid w:val="00A52DDF"/>
    <w:rsid w:val="00A54CC5"/>
    <w:rsid w:val="00A56838"/>
    <w:rsid w:val="00A5755F"/>
    <w:rsid w:val="00A6050B"/>
    <w:rsid w:val="00A62215"/>
    <w:rsid w:val="00A6239E"/>
    <w:rsid w:val="00A62444"/>
    <w:rsid w:val="00A63C99"/>
    <w:rsid w:val="00A64064"/>
    <w:rsid w:val="00A67937"/>
    <w:rsid w:val="00A71487"/>
    <w:rsid w:val="00A71785"/>
    <w:rsid w:val="00A72CE5"/>
    <w:rsid w:val="00A736F4"/>
    <w:rsid w:val="00A738A9"/>
    <w:rsid w:val="00A74120"/>
    <w:rsid w:val="00A743B2"/>
    <w:rsid w:val="00A77C8F"/>
    <w:rsid w:val="00A77EBA"/>
    <w:rsid w:val="00A83778"/>
    <w:rsid w:val="00A84122"/>
    <w:rsid w:val="00A8532F"/>
    <w:rsid w:val="00A8551B"/>
    <w:rsid w:val="00A866C3"/>
    <w:rsid w:val="00A8775A"/>
    <w:rsid w:val="00A90303"/>
    <w:rsid w:val="00A906A8"/>
    <w:rsid w:val="00A90C77"/>
    <w:rsid w:val="00A93CA5"/>
    <w:rsid w:val="00A95475"/>
    <w:rsid w:val="00A95923"/>
    <w:rsid w:val="00A9758E"/>
    <w:rsid w:val="00AA0F2E"/>
    <w:rsid w:val="00AA0FB7"/>
    <w:rsid w:val="00AA169A"/>
    <w:rsid w:val="00AA2239"/>
    <w:rsid w:val="00AA30BF"/>
    <w:rsid w:val="00AA328A"/>
    <w:rsid w:val="00AA3DD1"/>
    <w:rsid w:val="00AA68A9"/>
    <w:rsid w:val="00AA713D"/>
    <w:rsid w:val="00AB3737"/>
    <w:rsid w:val="00AB3891"/>
    <w:rsid w:val="00AB470F"/>
    <w:rsid w:val="00AB4F54"/>
    <w:rsid w:val="00AB5751"/>
    <w:rsid w:val="00AB7F6F"/>
    <w:rsid w:val="00AC1729"/>
    <w:rsid w:val="00AC22C2"/>
    <w:rsid w:val="00AC2354"/>
    <w:rsid w:val="00AC2904"/>
    <w:rsid w:val="00AC534F"/>
    <w:rsid w:val="00AC5A59"/>
    <w:rsid w:val="00AC789B"/>
    <w:rsid w:val="00AC7CD1"/>
    <w:rsid w:val="00AC7F16"/>
    <w:rsid w:val="00AD37BD"/>
    <w:rsid w:val="00AD4FFB"/>
    <w:rsid w:val="00AD5CAC"/>
    <w:rsid w:val="00AE142A"/>
    <w:rsid w:val="00AE346E"/>
    <w:rsid w:val="00AE5CC5"/>
    <w:rsid w:val="00AE616D"/>
    <w:rsid w:val="00AE7C21"/>
    <w:rsid w:val="00AF0B8F"/>
    <w:rsid w:val="00AF0BE4"/>
    <w:rsid w:val="00AF1DFB"/>
    <w:rsid w:val="00AF2004"/>
    <w:rsid w:val="00AF219C"/>
    <w:rsid w:val="00AF3070"/>
    <w:rsid w:val="00AF36E9"/>
    <w:rsid w:val="00AF5E22"/>
    <w:rsid w:val="00B0037B"/>
    <w:rsid w:val="00B00F42"/>
    <w:rsid w:val="00B044A9"/>
    <w:rsid w:val="00B0559B"/>
    <w:rsid w:val="00B05936"/>
    <w:rsid w:val="00B10E1B"/>
    <w:rsid w:val="00B1254F"/>
    <w:rsid w:val="00B12C63"/>
    <w:rsid w:val="00B12DFC"/>
    <w:rsid w:val="00B15F1A"/>
    <w:rsid w:val="00B17930"/>
    <w:rsid w:val="00B21C92"/>
    <w:rsid w:val="00B221B4"/>
    <w:rsid w:val="00B24B3A"/>
    <w:rsid w:val="00B24C85"/>
    <w:rsid w:val="00B25B24"/>
    <w:rsid w:val="00B2710F"/>
    <w:rsid w:val="00B27F02"/>
    <w:rsid w:val="00B310D2"/>
    <w:rsid w:val="00B3113E"/>
    <w:rsid w:val="00B347A3"/>
    <w:rsid w:val="00B3638D"/>
    <w:rsid w:val="00B368CD"/>
    <w:rsid w:val="00B37638"/>
    <w:rsid w:val="00B37770"/>
    <w:rsid w:val="00B37F05"/>
    <w:rsid w:val="00B42653"/>
    <w:rsid w:val="00B43E9F"/>
    <w:rsid w:val="00B452A3"/>
    <w:rsid w:val="00B45C04"/>
    <w:rsid w:val="00B45F61"/>
    <w:rsid w:val="00B46730"/>
    <w:rsid w:val="00B4758A"/>
    <w:rsid w:val="00B47C4A"/>
    <w:rsid w:val="00B50973"/>
    <w:rsid w:val="00B53BF5"/>
    <w:rsid w:val="00B54C9D"/>
    <w:rsid w:val="00B54CE3"/>
    <w:rsid w:val="00B5515F"/>
    <w:rsid w:val="00B55405"/>
    <w:rsid w:val="00B57B5C"/>
    <w:rsid w:val="00B60A3F"/>
    <w:rsid w:val="00B64206"/>
    <w:rsid w:val="00B65BBB"/>
    <w:rsid w:val="00B66B84"/>
    <w:rsid w:val="00B66CA7"/>
    <w:rsid w:val="00B7150F"/>
    <w:rsid w:val="00B718F4"/>
    <w:rsid w:val="00B71C2B"/>
    <w:rsid w:val="00B7229B"/>
    <w:rsid w:val="00B72912"/>
    <w:rsid w:val="00B73C00"/>
    <w:rsid w:val="00B75515"/>
    <w:rsid w:val="00B76004"/>
    <w:rsid w:val="00B76DFF"/>
    <w:rsid w:val="00B77BF6"/>
    <w:rsid w:val="00B77C5B"/>
    <w:rsid w:val="00B808F3"/>
    <w:rsid w:val="00B81076"/>
    <w:rsid w:val="00B8404E"/>
    <w:rsid w:val="00B874AF"/>
    <w:rsid w:val="00B909BA"/>
    <w:rsid w:val="00B914ED"/>
    <w:rsid w:val="00B92400"/>
    <w:rsid w:val="00B9296A"/>
    <w:rsid w:val="00B956B0"/>
    <w:rsid w:val="00B97D5E"/>
    <w:rsid w:val="00BA0750"/>
    <w:rsid w:val="00BA43A9"/>
    <w:rsid w:val="00BA50EB"/>
    <w:rsid w:val="00BA51EB"/>
    <w:rsid w:val="00BA58D9"/>
    <w:rsid w:val="00BB0B65"/>
    <w:rsid w:val="00BB13EE"/>
    <w:rsid w:val="00BB23EF"/>
    <w:rsid w:val="00BB59D4"/>
    <w:rsid w:val="00BB5BCE"/>
    <w:rsid w:val="00BB7503"/>
    <w:rsid w:val="00BC0660"/>
    <w:rsid w:val="00BC2651"/>
    <w:rsid w:val="00BC3452"/>
    <w:rsid w:val="00BC3714"/>
    <w:rsid w:val="00BC489C"/>
    <w:rsid w:val="00BC7AFB"/>
    <w:rsid w:val="00BD0266"/>
    <w:rsid w:val="00BD069C"/>
    <w:rsid w:val="00BD4A59"/>
    <w:rsid w:val="00BD70CE"/>
    <w:rsid w:val="00BD765D"/>
    <w:rsid w:val="00BE16E9"/>
    <w:rsid w:val="00BE1D7A"/>
    <w:rsid w:val="00BE707C"/>
    <w:rsid w:val="00BE71C2"/>
    <w:rsid w:val="00BF0526"/>
    <w:rsid w:val="00BF176D"/>
    <w:rsid w:val="00BF1921"/>
    <w:rsid w:val="00BF2FA3"/>
    <w:rsid w:val="00BF3D58"/>
    <w:rsid w:val="00BF46BC"/>
    <w:rsid w:val="00BF7553"/>
    <w:rsid w:val="00C005D0"/>
    <w:rsid w:val="00C0188C"/>
    <w:rsid w:val="00C01932"/>
    <w:rsid w:val="00C02C9E"/>
    <w:rsid w:val="00C04A50"/>
    <w:rsid w:val="00C05A1A"/>
    <w:rsid w:val="00C1131C"/>
    <w:rsid w:val="00C12297"/>
    <w:rsid w:val="00C1290D"/>
    <w:rsid w:val="00C14237"/>
    <w:rsid w:val="00C14A22"/>
    <w:rsid w:val="00C157CB"/>
    <w:rsid w:val="00C15FB7"/>
    <w:rsid w:val="00C1634C"/>
    <w:rsid w:val="00C23165"/>
    <w:rsid w:val="00C23F92"/>
    <w:rsid w:val="00C243D1"/>
    <w:rsid w:val="00C261C9"/>
    <w:rsid w:val="00C30D60"/>
    <w:rsid w:val="00C311FF"/>
    <w:rsid w:val="00C3325A"/>
    <w:rsid w:val="00C34A54"/>
    <w:rsid w:val="00C35876"/>
    <w:rsid w:val="00C36FE7"/>
    <w:rsid w:val="00C37DE1"/>
    <w:rsid w:val="00C40014"/>
    <w:rsid w:val="00C411D0"/>
    <w:rsid w:val="00C41551"/>
    <w:rsid w:val="00C41924"/>
    <w:rsid w:val="00C441D4"/>
    <w:rsid w:val="00C44200"/>
    <w:rsid w:val="00C448BB"/>
    <w:rsid w:val="00C45576"/>
    <w:rsid w:val="00C464D2"/>
    <w:rsid w:val="00C46AD2"/>
    <w:rsid w:val="00C47AE8"/>
    <w:rsid w:val="00C52073"/>
    <w:rsid w:val="00C53A93"/>
    <w:rsid w:val="00C5418D"/>
    <w:rsid w:val="00C57791"/>
    <w:rsid w:val="00C60487"/>
    <w:rsid w:val="00C65BCF"/>
    <w:rsid w:val="00C66433"/>
    <w:rsid w:val="00C67445"/>
    <w:rsid w:val="00C71348"/>
    <w:rsid w:val="00C716D9"/>
    <w:rsid w:val="00C71BAB"/>
    <w:rsid w:val="00C74D10"/>
    <w:rsid w:val="00C75AE9"/>
    <w:rsid w:val="00C75B7C"/>
    <w:rsid w:val="00C76833"/>
    <w:rsid w:val="00C77DD4"/>
    <w:rsid w:val="00C83E65"/>
    <w:rsid w:val="00C84317"/>
    <w:rsid w:val="00C8443E"/>
    <w:rsid w:val="00C8487B"/>
    <w:rsid w:val="00C85B47"/>
    <w:rsid w:val="00C953DF"/>
    <w:rsid w:val="00C96D75"/>
    <w:rsid w:val="00CA029F"/>
    <w:rsid w:val="00CA0589"/>
    <w:rsid w:val="00CA05D0"/>
    <w:rsid w:val="00CA0854"/>
    <w:rsid w:val="00CA0892"/>
    <w:rsid w:val="00CA1B8C"/>
    <w:rsid w:val="00CA1DD1"/>
    <w:rsid w:val="00CA25D2"/>
    <w:rsid w:val="00CA3067"/>
    <w:rsid w:val="00CA319D"/>
    <w:rsid w:val="00CA4654"/>
    <w:rsid w:val="00CA4DB3"/>
    <w:rsid w:val="00CA7A6E"/>
    <w:rsid w:val="00CA7FBB"/>
    <w:rsid w:val="00CB20CB"/>
    <w:rsid w:val="00CB3846"/>
    <w:rsid w:val="00CB4029"/>
    <w:rsid w:val="00CB433F"/>
    <w:rsid w:val="00CB6A2B"/>
    <w:rsid w:val="00CB7BC6"/>
    <w:rsid w:val="00CC0587"/>
    <w:rsid w:val="00CC0888"/>
    <w:rsid w:val="00CC11AB"/>
    <w:rsid w:val="00CC1FE2"/>
    <w:rsid w:val="00CC22ED"/>
    <w:rsid w:val="00CC2768"/>
    <w:rsid w:val="00CC2C8B"/>
    <w:rsid w:val="00CC3C18"/>
    <w:rsid w:val="00CC4AC6"/>
    <w:rsid w:val="00CC676A"/>
    <w:rsid w:val="00CC6C91"/>
    <w:rsid w:val="00CD0465"/>
    <w:rsid w:val="00CD2208"/>
    <w:rsid w:val="00CD26FD"/>
    <w:rsid w:val="00CD28C1"/>
    <w:rsid w:val="00CD2954"/>
    <w:rsid w:val="00CD4DB1"/>
    <w:rsid w:val="00CD61AB"/>
    <w:rsid w:val="00CD6F2A"/>
    <w:rsid w:val="00CD6F79"/>
    <w:rsid w:val="00CE3352"/>
    <w:rsid w:val="00CE4CB2"/>
    <w:rsid w:val="00CE4E48"/>
    <w:rsid w:val="00CE60E5"/>
    <w:rsid w:val="00CE61B0"/>
    <w:rsid w:val="00CE7621"/>
    <w:rsid w:val="00CF364A"/>
    <w:rsid w:val="00CF5F47"/>
    <w:rsid w:val="00D00382"/>
    <w:rsid w:val="00D00FBE"/>
    <w:rsid w:val="00D018D1"/>
    <w:rsid w:val="00D02273"/>
    <w:rsid w:val="00D0372A"/>
    <w:rsid w:val="00D063BC"/>
    <w:rsid w:val="00D072AF"/>
    <w:rsid w:val="00D127A0"/>
    <w:rsid w:val="00D137C8"/>
    <w:rsid w:val="00D13903"/>
    <w:rsid w:val="00D13C50"/>
    <w:rsid w:val="00D17C77"/>
    <w:rsid w:val="00D17D26"/>
    <w:rsid w:val="00D20F1A"/>
    <w:rsid w:val="00D21A55"/>
    <w:rsid w:val="00D3144A"/>
    <w:rsid w:val="00D331C9"/>
    <w:rsid w:val="00D3692C"/>
    <w:rsid w:val="00D40DBC"/>
    <w:rsid w:val="00D4274E"/>
    <w:rsid w:val="00D436D1"/>
    <w:rsid w:val="00D43793"/>
    <w:rsid w:val="00D438BF"/>
    <w:rsid w:val="00D44276"/>
    <w:rsid w:val="00D452D2"/>
    <w:rsid w:val="00D4727A"/>
    <w:rsid w:val="00D5215F"/>
    <w:rsid w:val="00D52903"/>
    <w:rsid w:val="00D532A7"/>
    <w:rsid w:val="00D56558"/>
    <w:rsid w:val="00D578AA"/>
    <w:rsid w:val="00D626E6"/>
    <w:rsid w:val="00D634B6"/>
    <w:rsid w:val="00D63AF8"/>
    <w:rsid w:val="00D64F04"/>
    <w:rsid w:val="00D669D1"/>
    <w:rsid w:val="00D705A5"/>
    <w:rsid w:val="00D70B69"/>
    <w:rsid w:val="00D711DF"/>
    <w:rsid w:val="00D72126"/>
    <w:rsid w:val="00D742EF"/>
    <w:rsid w:val="00D74BEC"/>
    <w:rsid w:val="00D80DEB"/>
    <w:rsid w:val="00D8151F"/>
    <w:rsid w:val="00D82ADE"/>
    <w:rsid w:val="00D84113"/>
    <w:rsid w:val="00D858E2"/>
    <w:rsid w:val="00D85F5A"/>
    <w:rsid w:val="00D86B00"/>
    <w:rsid w:val="00D87239"/>
    <w:rsid w:val="00D91832"/>
    <w:rsid w:val="00D921D3"/>
    <w:rsid w:val="00D92F42"/>
    <w:rsid w:val="00D93F7A"/>
    <w:rsid w:val="00D94177"/>
    <w:rsid w:val="00D950F5"/>
    <w:rsid w:val="00D96D29"/>
    <w:rsid w:val="00DA04DF"/>
    <w:rsid w:val="00DA0F51"/>
    <w:rsid w:val="00DA108A"/>
    <w:rsid w:val="00DA2083"/>
    <w:rsid w:val="00DA29D3"/>
    <w:rsid w:val="00DA3365"/>
    <w:rsid w:val="00DA4494"/>
    <w:rsid w:val="00DA4B1D"/>
    <w:rsid w:val="00DA5109"/>
    <w:rsid w:val="00DA59D6"/>
    <w:rsid w:val="00DB0325"/>
    <w:rsid w:val="00DB03A6"/>
    <w:rsid w:val="00DB0825"/>
    <w:rsid w:val="00DB16D3"/>
    <w:rsid w:val="00DB25A4"/>
    <w:rsid w:val="00DB4DD8"/>
    <w:rsid w:val="00DB5363"/>
    <w:rsid w:val="00DC1BDB"/>
    <w:rsid w:val="00DC1C65"/>
    <w:rsid w:val="00DC26B3"/>
    <w:rsid w:val="00DC3D5D"/>
    <w:rsid w:val="00DC5577"/>
    <w:rsid w:val="00DC5E52"/>
    <w:rsid w:val="00DC6EDC"/>
    <w:rsid w:val="00DC74DD"/>
    <w:rsid w:val="00DD0130"/>
    <w:rsid w:val="00DD0727"/>
    <w:rsid w:val="00DD1164"/>
    <w:rsid w:val="00DD2E92"/>
    <w:rsid w:val="00DD468F"/>
    <w:rsid w:val="00DD4A4D"/>
    <w:rsid w:val="00DE0575"/>
    <w:rsid w:val="00DE2532"/>
    <w:rsid w:val="00DE4ABB"/>
    <w:rsid w:val="00DE597D"/>
    <w:rsid w:val="00DE69DE"/>
    <w:rsid w:val="00DE7FE6"/>
    <w:rsid w:val="00DF09BC"/>
    <w:rsid w:val="00DF19D1"/>
    <w:rsid w:val="00DF20EB"/>
    <w:rsid w:val="00DF2830"/>
    <w:rsid w:val="00DF2D3F"/>
    <w:rsid w:val="00DF3259"/>
    <w:rsid w:val="00DF4608"/>
    <w:rsid w:val="00DF4CE4"/>
    <w:rsid w:val="00DF50AA"/>
    <w:rsid w:val="00DF58FD"/>
    <w:rsid w:val="00DF637D"/>
    <w:rsid w:val="00E00E14"/>
    <w:rsid w:val="00E03DB5"/>
    <w:rsid w:val="00E05647"/>
    <w:rsid w:val="00E06E15"/>
    <w:rsid w:val="00E104B3"/>
    <w:rsid w:val="00E1165A"/>
    <w:rsid w:val="00E11932"/>
    <w:rsid w:val="00E11F97"/>
    <w:rsid w:val="00E15BA9"/>
    <w:rsid w:val="00E1658B"/>
    <w:rsid w:val="00E16763"/>
    <w:rsid w:val="00E171C8"/>
    <w:rsid w:val="00E2019C"/>
    <w:rsid w:val="00E20E1F"/>
    <w:rsid w:val="00E22A81"/>
    <w:rsid w:val="00E24B2A"/>
    <w:rsid w:val="00E27106"/>
    <w:rsid w:val="00E3036C"/>
    <w:rsid w:val="00E323DB"/>
    <w:rsid w:val="00E33585"/>
    <w:rsid w:val="00E40BDB"/>
    <w:rsid w:val="00E411BD"/>
    <w:rsid w:val="00E4183D"/>
    <w:rsid w:val="00E449C0"/>
    <w:rsid w:val="00E465F2"/>
    <w:rsid w:val="00E4747E"/>
    <w:rsid w:val="00E4761C"/>
    <w:rsid w:val="00E512CA"/>
    <w:rsid w:val="00E517DC"/>
    <w:rsid w:val="00E52F4F"/>
    <w:rsid w:val="00E5444C"/>
    <w:rsid w:val="00E55B6F"/>
    <w:rsid w:val="00E55EB5"/>
    <w:rsid w:val="00E61CC6"/>
    <w:rsid w:val="00E63C96"/>
    <w:rsid w:val="00E6428A"/>
    <w:rsid w:val="00E66B1A"/>
    <w:rsid w:val="00E66E64"/>
    <w:rsid w:val="00E70EB4"/>
    <w:rsid w:val="00E71FDC"/>
    <w:rsid w:val="00E85784"/>
    <w:rsid w:val="00E87B4E"/>
    <w:rsid w:val="00E87D30"/>
    <w:rsid w:val="00E9277F"/>
    <w:rsid w:val="00E944D5"/>
    <w:rsid w:val="00E948F7"/>
    <w:rsid w:val="00E94BC2"/>
    <w:rsid w:val="00E953E3"/>
    <w:rsid w:val="00E95A9A"/>
    <w:rsid w:val="00E96708"/>
    <w:rsid w:val="00E9701B"/>
    <w:rsid w:val="00EA1077"/>
    <w:rsid w:val="00EA4DC9"/>
    <w:rsid w:val="00EA775E"/>
    <w:rsid w:val="00EA7FCA"/>
    <w:rsid w:val="00EB01C4"/>
    <w:rsid w:val="00EB0610"/>
    <w:rsid w:val="00EB19F9"/>
    <w:rsid w:val="00EB2ABF"/>
    <w:rsid w:val="00EB419C"/>
    <w:rsid w:val="00EB4232"/>
    <w:rsid w:val="00EB4E15"/>
    <w:rsid w:val="00EB6745"/>
    <w:rsid w:val="00EB7B47"/>
    <w:rsid w:val="00EB7B4B"/>
    <w:rsid w:val="00EB7CC2"/>
    <w:rsid w:val="00EC098B"/>
    <w:rsid w:val="00EC2892"/>
    <w:rsid w:val="00EC2C32"/>
    <w:rsid w:val="00EC4BB4"/>
    <w:rsid w:val="00EC5008"/>
    <w:rsid w:val="00EC6377"/>
    <w:rsid w:val="00EC6BAD"/>
    <w:rsid w:val="00EC79B6"/>
    <w:rsid w:val="00ED0795"/>
    <w:rsid w:val="00ED19BE"/>
    <w:rsid w:val="00ED3A5A"/>
    <w:rsid w:val="00ED3D34"/>
    <w:rsid w:val="00ED50E9"/>
    <w:rsid w:val="00ED52A0"/>
    <w:rsid w:val="00EE0107"/>
    <w:rsid w:val="00EE0C1F"/>
    <w:rsid w:val="00EE2AE1"/>
    <w:rsid w:val="00EE3558"/>
    <w:rsid w:val="00EE439B"/>
    <w:rsid w:val="00EE5E61"/>
    <w:rsid w:val="00EF45B7"/>
    <w:rsid w:val="00F0029A"/>
    <w:rsid w:val="00F00340"/>
    <w:rsid w:val="00F02ADC"/>
    <w:rsid w:val="00F03651"/>
    <w:rsid w:val="00F03C16"/>
    <w:rsid w:val="00F046AD"/>
    <w:rsid w:val="00F07C8E"/>
    <w:rsid w:val="00F10E99"/>
    <w:rsid w:val="00F1137D"/>
    <w:rsid w:val="00F1194C"/>
    <w:rsid w:val="00F12BDF"/>
    <w:rsid w:val="00F149B0"/>
    <w:rsid w:val="00F15078"/>
    <w:rsid w:val="00F1514F"/>
    <w:rsid w:val="00F15449"/>
    <w:rsid w:val="00F15A14"/>
    <w:rsid w:val="00F176D1"/>
    <w:rsid w:val="00F23AF5"/>
    <w:rsid w:val="00F24FEC"/>
    <w:rsid w:val="00F25301"/>
    <w:rsid w:val="00F2540C"/>
    <w:rsid w:val="00F26328"/>
    <w:rsid w:val="00F269EB"/>
    <w:rsid w:val="00F30336"/>
    <w:rsid w:val="00F31E2F"/>
    <w:rsid w:val="00F31FEE"/>
    <w:rsid w:val="00F32993"/>
    <w:rsid w:val="00F345B6"/>
    <w:rsid w:val="00F35C06"/>
    <w:rsid w:val="00F363D6"/>
    <w:rsid w:val="00F36DF5"/>
    <w:rsid w:val="00F37999"/>
    <w:rsid w:val="00F4017C"/>
    <w:rsid w:val="00F40D3D"/>
    <w:rsid w:val="00F411CD"/>
    <w:rsid w:val="00F446A3"/>
    <w:rsid w:val="00F45DE1"/>
    <w:rsid w:val="00F46CBD"/>
    <w:rsid w:val="00F477C5"/>
    <w:rsid w:val="00F507B8"/>
    <w:rsid w:val="00F5108C"/>
    <w:rsid w:val="00F513F8"/>
    <w:rsid w:val="00F54C84"/>
    <w:rsid w:val="00F55BC8"/>
    <w:rsid w:val="00F55CAF"/>
    <w:rsid w:val="00F5603F"/>
    <w:rsid w:val="00F57D06"/>
    <w:rsid w:val="00F605D0"/>
    <w:rsid w:val="00F62955"/>
    <w:rsid w:val="00F63DFD"/>
    <w:rsid w:val="00F64492"/>
    <w:rsid w:val="00F64761"/>
    <w:rsid w:val="00F64A52"/>
    <w:rsid w:val="00F653C4"/>
    <w:rsid w:val="00F66AA7"/>
    <w:rsid w:val="00F70010"/>
    <w:rsid w:val="00F725B6"/>
    <w:rsid w:val="00F734CA"/>
    <w:rsid w:val="00F7411D"/>
    <w:rsid w:val="00F76CEC"/>
    <w:rsid w:val="00F835C6"/>
    <w:rsid w:val="00F83642"/>
    <w:rsid w:val="00F83B38"/>
    <w:rsid w:val="00F8467D"/>
    <w:rsid w:val="00F847A7"/>
    <w:rsid w:val="00F86871"/>
    <w:rsid w:val="00F877BD"/>
    <w:rsid w:val="00F87A69"/>
    <w:rsid w:val="00F87D9C"/>
    <w:rsid w:val="00F93D4E"/>
    <w:rsid w:val="00F979B5"/>
    <w:rsid w:val="00F97C6F"/>
    <w:rsid w:val="00FA0EF1"/>
    <w:rsid w:val="00FA14B4"/>
    <w:rsid w:val="00FA303E"/>
    <w:rsid w:val="00FA37FE"/>
    <w:rsid w:val="00FA526E"/>
    <w:rsid w:val="00FA68D1"/>
    <w:rsid w:val="00FB2194"/>
    <w:rsid w:val="00FB28D2"/>
    <w:rsid w:val="00FB29F9"/>
    <w:rsid w:val="00FB2BC5"/>
    <w:rsid w:val="00FB46CD"/>
    <w:rsid w:val="00FB57A4"/>
    <w:rsid w:val="00FB6137"/>
    <w:rsid w:val="00FB6580"/>
    <w:rsid w:val="00FB6E7F"/>
    <w:rsid w:val="00FC1761"/>
    <w:rsid w:val="00FC58FF"/>
    <w:rsid w:val="00FC5A4F"/>
    <w:rsid w:val="00FD1276"/>
    <w:rsid w:val="00FD1422"/>
    <w:rsid w:val="00FD2CD2"/>
    <w:rsid w:val="00FD4705"/>
    <w:rsid w:val="00FD4AFA"/>
    <w:rsid w:val="00FD5663"/>
    <w:rsid w:val="00FD5D78"/>
    <w:rsid w:val="00FD7B0E"/>
    <w:rsid w:val="00FE0F0B"/>
    <w:rsid w:val="00FE1DB6"/>
    <w:rsid w:val="00FE6406"/>
    <w:rsid w:val="00FF18B4"/>
    <w:rsid w:val="00FF19F3"/>
    <w:rsid w:val="00FF2A76"/>
    <w:rsid w:val="00FF34BD"/>
    <w:rsid w:val="00FF35F6"/>
    <w:rsid w:val="00FF400F"/>
    <w:rsid w:val="00FF7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37"/>
    <w:rPr>
      <w:rFonts w:ascii="Calibri" w:eastAsia="Calibri" w:hAnsi="Calibri" w:cs="Times New Roman"/>
    </w:rPr>
  </w:style>
  <w:style w:type="paragraph" w:styleId="Heading1">
    <w:name w:val="heading 1"/>
    <w:basedOn w:val="Normal"/>
    <w:next w:val="Normal"/>
    <w:link w:val="Heading1Char"/>
    <w:uiPriority w:val="9"/>
    <w:qFormat/>
    <w:rsid w:val="008E3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E61B0"/>
    <w:pPr>
      <w:keepNext/>
      <w:spacing w:before="240" w:after="60" w:line="240" w:lineRule="auto"/>
      <w:outlineLvl w:val="2"/>
    </w:pPr>
    <w:rPr>
      <w:rFonts w:ascii="Arial" w:eastAsia="Times New Roman"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4644B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60241"/>
    <w:pPr>
      <w:spacing w:after="0" w:line="240" w:lineRule="auto"/>
      <w:jc w:val="center"/>
    </w:pPr>
    <w:rPr>
      <w:rFonts w:ascii="Times New Roman" w:eastAsia="Times New Roman" w:hAnsi="Times New Roman"/>
      <w:b/>
      <w:bCs/>
      <w:sz w:val="28"/>
      <w:szCs w:val="24"/>
    </w:rPr>
  </w:style>
  <w:style w:type="character" w:customStyle="1" w:styleId="BodyTextChar">
    <w:name w:val="Body Text Char"/>
    <w:basedOn w:val="DefaultParagraphFont"/>
    <w:link w:val="BodyText"/>
    <w:rsid w:val="00560241"/>
    <w:rPr>
      <w:rFonts w:ascii="Times New Roman" w:eastAsia="Times New Roman" w:hAnsi="Times New Roman" w:cs="Times New Roman"/>
      <w:b/>
      <w:bCs/>
      <w:sz w:val="28"/>
      <w:szCs w:val="24"/>
    </w:rPr>
  </w:style>
  <w:style w:type="paragraph" w:styleId="CommentSubject">
    <w:name w:val="annotation subject"/>
    <w:basedOn w:val="CommentText"/>
    <w:next w:val="CommentText"/>
    <w:link w:val="CommentSubjectChar"/>
    <w:uiPriority w:val="99"/>
    <w:semiHidden/>
    <w:unhideWhenUsed/>
    <w:rsid w:val="00867349"/>
    <w:rPr>
      <w:b/>
      <w:bCs/>
    </w:rPr>
  </w:style>
  <w:style w:type="character" w:customStyle="1" w:styleId="CommentSubjectChar">
    <w:name w:val="Comment Subject Char"/>
    <w:basedOn w:val="CommentTextChar"/>
    <w:link w:val="CommentSubject"/>
    <w:uiPriority w:val="99"/>
    <w:semiHidden/>
    <w:rsid w:val="00867349"/>
    <w:rPr>
      <w:rFonts w:ascii="Calibri" w:eastAsia="Calibri" w:hAnsi="Calibri" w:cs="Times New Roman"/>
      <w:b/>
      <w:bCs/>
      <w:sz w:val="20"/>
      <w:szCs w:val="20"/>
    </w:rPr>
  </w:style>
  <w:style w:type="paragraph" w:customStyle="1" w:styleId="CharChar">
    <w:name w:val="Char Char"/>
    <w:basedOn w:val="Normal"/>
    <w:rsid w:val="00D85F5A"/>
    <w:pPr>
      <w:spacing w:after="160" w:line="240" w:lineRule="exact"/>
    </w:pPr>
    <w:rPr>
      <w:rFonts w:ascii="Tahoma" w:eastAsia="Times New Roman" w:hAnsi="Tahoma"/>
      <w:sz w:val="20"/>
      <w:szCs w:val="20"/>
      <w:lang w:val="en-US"/>
    </w:rPr>
  </w:style>
  <w:style w:type="character" w:styleId="Strong">
    <w:name w:val="Strong"/>
    <w:basedOn w:val="DefaultParagraphFont"/>
    <w:uiPriority w:val="22"/>
    <w:qFormat/>
    <w:rsid w:val="005B06CA"/>
    <w:rPr>
      <w:b/>
      <w:bCs/>
    </w:rPr>
  </w:style>
  <w:style w:type="character" w:styleId="Emphasis">
    <w:name w:val="Emphasis"/>
    <w:basedOn w:val="DefaultParagraphFont"/>
    <w:uiPriority w:val="20"/>
    <w:qFormat/>
    <w:rsid w:val="00B10E1B"/>
    <w:rPr>
      <w:b/>
      <w:bCs/>
      <w:i w:val="0"/>
      <w:iCs w:val="0"/>
    </w:rPr>
  </w:style>
  <w:style w:type="character" w:styleId="Hyperlink">
    <w:name w:val="Hyperlink"/>
    <w:basedOn w:val="DefaultParagraphFont"/>
    <w:uiPriority w:val="99"/>
    <w:semiHidden/>
    <w:unhideWhenUsed/>
    <w:rsid w:val="00F86871"/>
    <w:rPr>
      <w:color w:val="0563C1"/>
      <w:u w:val="single"/>
    </w:rPr>
  </w:style>
  <w:style w:type="character" w:customStyle="1" w:styleId="datametai">
    <w:name w:val="datametai"/>
    <w:basedOn w:val="DefaultParagraphFont"/>
    <w:rsid w:val="00F63DFD"/>
  </w:style>
  <w:style w:type="character" w:customStyle="1" w:styleId="datamnuo">
    <w:name w:val="datamnuo"/>
    <w:basedOn w:val="DefaultParagraphFont"/>
    <w:rsid w:val="00F63DFD"/>
  </w:style>
  <w:style w:type="character" w:customStyle="1" w:styleId="datadiena">
    <w:name w:val="datadiena"/>
    <w:basedOn w:val="DefaultParagraphFont"/>
    <w:rsid w:val="00F63DFD"/>
  </w:style>
  <w:style w:type="character" w:customStyle="1" w:styleId="statymonr">
    <w:name w:val="statymonr"/>
    <w:basedOn w:val="DefaultParagraphFont"/>
    <w:rsid w:val="00F63DFD"/>
  </w:style>
  <w:style w:type="character" w:customStyle="1" w:styleId="at1">
    <w:name w:val="a__t1"/>
    <w:basedOn w:val="DefaultParagraphFont"/>
    <w:rsid w:val="00DF3259"/>
  </w:style>
  <w:style w:type="paragraph" w:styleId="NoSpacing">
    <w:name w:val="No Spacing"/>
    <w:uiPriority w:val="1"/>
    <w:qFormat/>
    <w:rsid w:val="004B4180"/>
    <w:pPr>
      <w:spacing w:after="0" w:line="240" w:lineRule="auto"/>
    </w:pPr>
    <w:rPr>
      <w:rFonts w:ascii="Calibri" w:eastAsia="Calibri" w:hAnsi="Calibri" w:cs="Times New Roman"/>
    </w:rPr>
  </w:style>
  <w:style w:type="character" w:customStyle="1" w:styleId="st">
    <w:name w:val="st"/>
    <w:rsid w:val="004F3E5C"/>
  </w:style>
  <w:style w:type="paragraph" w:customStyle="1" w:styleId="xmsonormal">
    <w:name w:val="x_msonormal"/>
    <w:basedOn w:val="Normal"/>
    <w:rsid w:val="005B6A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xstatymonr">
    <w:name w:val="x_statymonr"/>
    <w:basedOn w:val="DefaultParagraphFont"/>
    <w:rsid w:val="005B6AFA"/>
  </w:style>
  <w:style w:type="character" w:customStyle="1" w:styleId="apple-converted-space">
    <w:name w:val="apple-converted-space"/>
    <w:basedOn w:val="DefaultParagraphFont"/>
    <w:rsid w:val="00C04A50"/>
  </w:style>
  <w:style w:type="character" w:customStyle="1" w:styleId="Heading3Char">
    <w:name w:val="Heading 3 Char"/>
    <w:basedOn w:val="DefaultParagraphFont"/>
    <w:link w:val="Heading3"/>
    <w:rsid w:val="00CE61B0"/>
    <w:rPr>
      <w:rFonts w:ascii="Arial" w:eastAsia="Times New Roman" w:hAnsi="Arial" w:cs="Arial"/>
      <w:b/>
      <w:bCs/>
      <w:sz w:val="26"/>
      <w:szCs w:val="26"/>
      <w:lang w:eastAsia="lt-LT"/>
    </w:rPr>
  </w:style>
  <w:style w:type="character" w:styleId="SubtleEmphasis">
    <w:name w:val="Subtle Emphasis"/>
    <w:basedOn w:val="DefaultParagraphFont"/>
    <w:uiPriority w:val="19"/>
    <w:qFormat/>
    <w:rsid w:val="007D4B78"/>
    <w:rPr>
      <w:i/>
      <w:iCs/>
      <w:color w:val="404040" w:themeColor="text1" w:themeTint="BF"/>
    </w:rPr>
  </w:style>
  <w:style w:type="character" w:styleId="FollowedHyperlink">
    <w:name w:val="FollowedHyperlink"/>
    <w:basedOn w:val="DefaultParagraphFont"/>
    <w:uiPriority w:val="99"/>
    <w:semiHidden/>
    <w:unhideWhenUsed/>
    <w:rsid w:val="0018515E"/>
    <w:rPr>
      <w:color w:val="800080" w:themeColor="followedHyperlink"/>
      <w:u w:val="single"/>
    </w:rPr>
  </w:style>
  <w:style w:type="paragraph" w:styleId="NormalWeb">
    <w:name w:val="Normal (Web)"/>
    <w:basedOn w:val="Normal"/>
    <w:uiPriority w:val="99"/>
    <w:unhideWhenUsed/>
    <w:rsid w:val="00732282"/>
    <w:pPr>
      <w:spacing w:before="300" w:after="300"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uiPriority w:val="9"/>
    <w:rsid w:val="008E3F4E"/>
    <w:rPr>
      <w:rFonts w:asciiTheme="majorHAnsi" w:eastAsiaTheme="majorEastAsia" w:hAnsiTheme="majorHAnsi" w:cstheme="majorBidi"/>
      <w:b/>
      <w:bCs/>
      <w:color w:val="365F91" w:themeColor="accent1" w:themeShade="BF"/>
      <w:sz w:val="28"/>
      <w:szCs w:val="28"/>
    </w:rPr>
  </w:style>
  <w:style w:type="paragraph" w:customStyle="1" w:styleId="Titreobjet">
    <w:name w:val="Titre objet"/>
    <w:basedOn w:val="Normal"/>
    <w:next w:val="Normal"/>
    <w:rsid w:val="00EB7CC2"/>
    <w:pPr>
      <w:spacing w:before="360" w:after="360" w:line="240" w:lineRule="auto"/>
      <w:jc w:val="center"/>
    </w:pPr>
    <w:rPr>
      <w:rFonts w:ascii="Times New Roman" w:eastAsia="Times New Roman" w:hAnsi="Times New Roman"/>
      <w:b/>
      <w:sz w:val="24"/>
      <w:szCs w:val="20"/>
      <w:lang w:eastAsia="en-GB"/>
    </w:rPr>
  </w:style>
  <w:style w:type="paragraph" w:styleId="FootnoteText">
    <w:name w:val="footnote text"/>
    <w:basedOn w:val="Normal"/>
    <w:link w:val="FootnoteTextChar"/>
    <w:uiPriority w:val="99"/>
    <w:semiHidden/>
    <w:unhideWhenUsed/>
    <w:rsid w:val="009D13CC"/>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9D13CC"/>
    <w:rPr>
      <w:rFonts w:ascii="Times New Roman" w:eastAsia="Times New Roman" w:hAnsi="Times New Roman" w:cs="Times New Roman"/>
      <w:sz w:val="20"/>
      <w:szCs w:val="20"/>
      <w:lang w:eastAsia="en-GB"/>
    </w:rPr>
  </w:style>
  <w:style w:type="paragraph" w:customStyle="1" w:styleId="Bullet0">
    <w:name w:val="Bullet 0"/>
    <w:basedOn w:val="Normal"/>
    <w:rsid w:val="009D13CC"/>
    <w:pPr>
      <w:numPr>
        <w:numId w:val="13"/>
      </w:numPr>
      <w:spacing w:before="120" w:after="120" w:line="240" w:lineRule="auto"/>
      <w:jc w:val="both"/>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E449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49C0"/>
    <w:rPr>
      <w:rFonts w:ascii="Calibri" w:eastAsia="Calibri" w:hAnsi="Calibri" w:cs="Times New Roman"/>
    </w:rPr>
  </w:style>
  <w:style w:type="paragraph" w:styleId="Footer">
    <w:name w:val="footer"/>
    <w:basedOn w:val="Normal"/>
    <w:link w:val="FooterChar"/>
    <w:uiPriority w:val="99"/>
    <w:unhideWhenUsed/>
    <w:rsid w:val="00E449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49C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137"/>
    <w:rPr>
      <w:rFonts w:ascii="Calibri" w:eastAsia="Calibri" w:hAnsi="Calibri" w:cs="Times New Roman"/>
    </w:rPr>
  </w:style>
  <w:style w:type="paragraph" w:styleId="Heading1">
    <w:name w:val="heading 1"/>
    <w:basedOn w:val="Normal"/>
    <w:next w:val="Normal"/>
    <w:link w:val="Heading1Char"/>
    <w:uiPriority w:val="9"/>
    <w:qFormat/>
    <w:rsid w:val="008E3F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CE61B0"/>
    <w:pPr>
      <w:keepNext/>
      <w:spacing w:before="240" w:after="60" w:line="240" w:lineRule="auto"/>
      <w:outlineLvl w:val="2"/>
    </w:pPr>
    <w:rPr>
      <w:rFonts w:ascii="Arial" w:eastAsia="Times New Roman"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4644B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560241"/>
    <w:pPr>
      <w:spacing w:after="0" w:line="240" w:lineRule="auto"/>
      <w:jc w:val="center"/>
    </w:pPr>
    <w:rPr>
      <w:rFonts w:ascii="Times New Roman" w:eastAsia="Times New Roman" w:hAnsi="Times New Roman"/>
      <w:b/>
      <w:bCs/>
      <w:sz w:val="28"/>
      <w:szCs w:val="24"/>
    </w:rPr>
  </w:style>
  <w:style w:type="character" w:customStyle="1" w:styleId="BodyTextChar">
    <w:name w:val="Body Text Char"/>
    <w:basedOn w:val="DefaultParagraphFont"/>
    <w:link w:val="BodyText"/>
    <w:rsid w:val="00560241"/>
    <w:rPr>
      <w:rFonts w:ascii="Times New Roman" w:eastAsia="Times New Roman" w:hAnsi="Times New Roman" w:cs="Times New Roman"/>
      <w:b/>
      <w:bCs/>
      <w:sz w:val="28"/>
      <w:szCs w:val="24"/>
    </w:rPr>
  </w:style>
  <w:style w:type="paragraph" w:styleId="CommentSubject">
    <w:name w:val="annotation subject"/>
    <w:basedOn w:val="CommentText"/>
    <w:next w:val="CommentText"/>
    <w:link w:val="CommentSubjectChar"/>
    <w:uiPriority w:val="99"/>
    <w:semiHidden/>
    <w:unhideWhenUsed/>
    <w:rsid w:val="00867349"/>
    <w:rPr>
      <w:b/>
      <w:bCs/>
    </w:rPr>
  </w:style>
  <w:style w:type="character" w:customStyle="1" w:styleId="CommentSubjectChar">
    <w:name w:val="Comment Subject Char"/>
    <w:basedOn w:val="CommentTextChar"/>
    <w:link w:val="CommentSubject"/>
    <w:uiPriority w:val="99"/>
    <w:semiHidden/>
    <w:rsid w:val="00867349"/>
    <w:rPr>
      <w:rFonts w:ascii="Calibri" w:eastAsia="Calibri" w:hAnsi="Calibri" w:cs="Times New Roman"/>
      <w:b/>
      <w:bCs/>
      <w:sz w:val="20"/>
      <w:szCs w:val="20"/>
    </w:rPr>
  </w:style>
  <w:style w:type="paragraph" w:customStyle="1" w:styleId="CharChar">
    <w:name w:val="Char Char"/>
    <w:basedOn w:val="Normal"/>
    <w:rsid w:val="00D85F5A"/>
    <w:pPr>
      <w:spacing w:after="160" w:line="240" w:lineRule="exact"/>
    </w:pPr>
    <w:rPr>
      <w:rFonts w:ascii="Tahoma" w:eastAsia="Times New Roman" w:hAnsi="Tahoma"/>
      <w:sz w:val="20"/>
      <w:szCs w:val="20"/>
      <w:lang w:val="en-US"/>
    </w:rPr>
  </w:style>
  <w:style w:type="character" w:styleId="Strong">
    <w:name w:val="Strong"/>
    <w:basedOn w:val="DefaultParagraphFont"/>
    <w:uiPriority w:val="22"/>
    <w:qFormat/>
    <w:rsid w:val="005B06CA"/>
    <w:rPr>
      <w:b/>
      <w:bCs/>
    </w:rPr>
  </w:style>
  <w:style w:type="character" w:styleId="Emphasis">
    <w:name w:val="Emphasis"/>
    <w:basedOn w:val="DefaultParagraphFont"/>
    <w:uiPriority w:val="20"/>
    <w:qFormat/>
    <w:rsid w:val="00B10E1B"/>
    <w:rPr>
      <w:b/>
      <w:bCs/>
      <w:i w:val="0"/>
      <w:iCs w:val="0"/>
    </w:rPr>
  </w:style>
  <w:style w:type="character" w:styleId="Hyperlink">
    <w:name w:val="Hyperlink"/>
    <w:basedOn w:val="DefaultParagraphFont"/>
    <w:uiPriority w:val="99"/>
    <w:semiHidden/>
    <w:unhideWhenUsed/>
    <w:rsid w:val="00F86871"/>
    <w:rPr>
      <w:color w:val="0563C1"/>
      <w:u w:val="single"/>
    </w:rPr>
  </w:style>
  <w:style w:type="character" w:customStyle="1" w:styleId="datametai">
    <w:name w:val="datametai"/>
    <w:basedOn w:val="DefaultParagraphFont"/>
    <w:rsid w:val="00F63DFD"/>
  </w:style>
  <w:style w:type="character" w:customStyle="1" w:styleId="datamnuo">
    <w:name w:val="datamnuo"/>
    <w:basedOn w:val="DefaultParagraphFont"/>
    <w:rsid w:val="00F63DFD"/>
  </w:style>
  <w:style w:type="character" w:customStyle="1" w:styleId="datadiena">
    <w:name w:val="datadiena"/>
    <w:basedOn w:val="DefaultParagraphFont"/>
    <w:rsid w:val="00F63DFD"/>
  </w:style>
  <w:style w:type="character" w:customStyle="1" w:styleId="statymonr">
    <w:name w:val="statymonr"/>
    <w:basedOn w:val="DefaultParagraphFont"/>
    <w:rsid w:val="00F63DFD"/>
  </w:style>
  <w:style w:type="character" w:customStyle="1" w:styleId="at1">
    <w:name w:val="a__t1"/>
    <w:basedOn w:val="DefaultParagraphFont"/>
    <w:rsid w:val="00DF3259"/>
  </w:style>
  <w:style w:type="paragraph" w:styleId="NoSpacing">
    <w:name w:val="No Spacing"/>
    <w:uiPriority w:val="1"/>
    <w:qFormat/>
    <w:rsid w:val="004B4180"/>
    <w:pPr>
      <w:spacing w:after="0" w:line="240" w:lineRule="auto"/>
    </w:pPr>
    <w:rPr>
      <w:rFonts w:ascii="Calibri" w:eastAsia="Calibri" w:hAnsi="Calibri" w:cs="Times New Roman"/>
    </w:rPr>
  </w:style>
  <w:style w:type="character" w:customStyle="1" w:styleId="st">
    <w:name w:val="st"/>
    <w:rsid w:val="004F3E5C"/>
  </w:style>
  <w:style w:type="paragraph" w:customStyle="1" w:styleId="xmsonormal">
    <w:name w:val="x_msonormal"/>
    <w:basedOn w:val="Normal"/>
    <w:rsid w:val="005B6AF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xstatymonr">
    <w:name w:val="x_statymonr"/>
    <w:basedOn w:val="DefaultParagraphFont"/>
    <w:rsid w:val="005B6AFA"/>
  </w:style>
  <w:style w:type="character" w:customStyle="1" w:styleId="apple-converted-space">
    <w:name w:val="apple-converted-space"/>
    <w:basedOn w:val="DefaultParagraphFont"/>
    <w:rsid w:val="00C04A50"/>
  </w:style>
  <w:style w:type="character" w:customStyle="1" w:styleId="Heading3Char">
    <w:name w:val="Heading 3 Char"/>
    <w:basedOn w:val="DefaultParagraphFont"/>
    <w:link w:val="Heading3"/>
    <w:rsid w:val="00CE61B0"/>
    <w:rPr>
      <w:rFonts w:ascii="Arial" w:eastAsia="Times New Roman" w:hAnsi="Arial" w:cs="Arial"/>
      <w:b/>
      <w:bCs/>
      <w:sz w:val="26"/>
      <w:szCs w:val="26"/>
      <w:lang w:eastAsia="lt-LT"/>
    </w:rPr>
  </w:style>
  <w:style w:type="character" w:styleId="SubtleEmphasis">
    <w:name w:val="Subtle Emphasis"/>
    <w:basedOn w:val="DefaultParagraphFont"/>
    <w:uiPriority w:val="19"/>
    <w:qFormat/>
    <w:rsid w:val="007D4B78"/>
    <w:rPr>
      <w:i/>
      <w:iCs/>
      <w:color w:val="404040" w:themeColor="text1" w:themeTint="BF"/>
    </w:rPr>
  </w:style>
  <w:style w:type="character" w:styleId="FollowedHyperlink">
    <w:name w:val="FollowedHyperlink"/>
    <w:basedOn w:val="DefaultParagraphFont"/>
    <w:uiPriority w:val="99"/>
    <w:semiHidden/>
    <w:unhideWhenUsed/>
    <w:rsid w:val="0018515E"/>
    <w:rPr>
      <w:color w:val="800080" w:themeColor="followedHyperlink"/>
      <w:u w:val="single"/>
    </w:rPr>
  </w:style>
  <w:style w:type="paragraph" w:styleId="NormalWeb">
    <w:name w:val="Normal (Web)"/>
    <w:basedOn w:val="Normal"/>
    <w:uiPriority w:val="99"/>
    <w:unhideWhenUsed/>
    <w:rsid w:val="00732282"/>
    <w:pPr>
      <w:spacing w:before="300" w:after="300"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uiPriority w:val="9"/>
    <w:rsid w:val="008E3F4E"/>
    <w:rPr>
      <w:rFonts w:asciiTheme="majorHAnsi" w:eastAsiaTheme="majorEastAsia" w:hAnsiTheme="majorHAnsi" w:cstheme="majorBidi"/>
      <w:b/>
      <w:bCs/>
      <w:color w:val="365F91" w:themeColor="accent1" w:themeShade="BF"/>
      <w:sz w:val="28"/>
      <w:szCs w:val="28"/>
    </w:rPr>
  </w:style>
  <w:style w:type="paragraph" w:customStyle="1" w:styleId="Titreobjet">
    <w:name w:val="Titre objet"/>
    <w:basedOn w:val="Normal"/>
    <w:next w:val="Normal"/>
    <w:rsid w:val="00EB7CC2"/>
    <w:pPr>
      <w:spacing w:before="360" w:after="360" w:line="240" w:lineRule="auto"/>
      <w:jc w:val="center"/>
    </w:pPr>
    <w:rPr>
      <w:rFonts w:ascii="Times New Roman" w:eastAsia="Times New Roman" w:hAnsi="Times New Roman"/>
      <w:b/>
      <w:sz w:val="24"/>
      <w:szCs w:val="20"/>
      <w:lang w:eastAsia="en-GB"/>
    </w:rPr>
  </w:style>
  <w:style w:type="paragraph" w:styleId="FootnoteText">
    <w:name w:val="footnote text"/>
    <w:basedOn w:val="Normal"/>
    <w:link w:val="FootnoteTextChar"/>
    <w:uiPriority w:val="99"/>
    <w:semiHidden/>
    <w:unhideWhenUsed/>
    <w:rsid w:val="009D13CC"/>
    <w:pPr>
      <w:spacing w:after="0" w:line="240" w:lineRule="auto"/>
      <w:ind w:left="720" w:hanging="720"/>
      <w:jc w:val="both"/>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9D13CC"/>
    <w:rPr>
      <w:rFonts w:ascii="Times New Roman" w:eastAsia="Times New Roman" w:hAnsi="Times New Roman" w:cs="Times New Roman"/>
      <w:sz w:val="20"/>
      <w:szCs w:val="20"/>
      <w:lang w:eastAsia="en-GB"/>
    </w:rPr>
  </w:style>
  <w:style w:type="paragraph" w:customStyle="1" w:styleId="Bullet0">
    <w:name w:val="Bullet 0"/>
    <w:basedOn w:val="Normal"/>
    <w:rsid w:val="009D13CC"/>
    <w:pPr>
      <w:numPr>
        <w:numId w:val="13"/>
      </w:numPr>
      <w:spacing w:before="120" w:after="120" w:line="240" w:lineRule="auto"/>
      <w:jc w:val="both"/>
    </w:pPr>
    <w:rPr>
      <w:rFonts w:ascii="Times New Roman" w:eastAsia="Times New Roman" w:hAnsi="Times New Roman"/>
      <w:sz w:val="24"/>
      <w:szCs w:val="20"/>
      <w:lang w:eastAsia="en-GB"/>
    </w:rPr>
  </w:style>
  <w:style w:type="paragraph" w:styleId="Header">
    <w:name w:val="header"/>
    <w:basedOn w:val="Normal"/>
    <w:link w:val="HeaderChar"/>
    <w:uiPriority w:val="99"/>
    <w:unhideWhenUsed/>
    <w:rsid w:val="00E449C0"/>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49C0"/>
    <w:rPr>
      <w:rFonts w:ascii="Calibri" w:eastAsia="Calibri" w:hAnsi="Calibri" w:cs="Times New Roman"/>
    </w:rPr>
  </w:style>
  <w:style w:type="paragraph" w:styleId="Footer">
    <w:name w:val="footer"/>
    <w:basedOn w:val="Normal"/>
    <w:link w:val="FooterChar"/>
    <w:uiPriority w:val="99"/>
    <w:unhideWhenUsed/>
    <w:rsid w:val="00E449C0"/>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49C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9807">
      <w:bodyDiv w:val="1"/>
      <w:marLeft w:val="0"/>
      <w:marRight w:val="0"/>
      <w:marTop w:val="0"/>
      <w:marBottom w:val="0"/>
      <w:divBdr>
        <w:top w:val="none" w:sz="0" w:space="0" w:color="auto"/>
        <w:left w:val="none" w:sz="0" w:space="0" w:color="auto"/>
        <w:bottom w:val="none" w:sz="0" w:space="0" w:color="auto"/>
        <w:right w:val="none" w:sz="0" w:space="0" w:color="auto"/>
      </w:divBdr>
    </w:div>
    <w:div w:id="336884067">
      <w:bodyDiv w:val="1"/>
      <w:marLeft w:val="0"/>
      <w:marRight w:val="0"/>
      <w:marTop w:val="0"/>
      <w:marBottom w:val="0"/>
      <w:divBdr>
        <w:top w:val="none" w:sz="0" w:space="0" w:color="auto"/>
        <w:left w:val="none" w:sz="0" w:space="0" w:color="auto"/>
        <w:bottom w:val="none" w:sz="0" w:space="0" w:color="auto"/>
        <w:right w:val="none" w:sz="0" w:space="0" w:color="auto"/>
      </w:divBdr>
      <w:divsChild>
        <w:div w:id="584605329">
          <w:marLeft w:val="0"/>
          <w:marRight w:val="0"/>
          <w:marTop w:val="0"/>
          <w:marBottom w:val="0"/>
          <w:divBdr>
            <w:top w:val="none" w:sz="0" w:space="0" w:color="auto"/>
            <w:left w:val="none" w:sz="0" w:space="0" w:color="auto"/>
            <w:bottom w:val="none" w:sz="0" w:space="0" w:color="auto"/>
            <w:right w:val="none" w:sz="0" w:space="0" w:color="auto"/>
          </w:divBdr>
        </w:div>
        <w:div w:id="385838405">
          <w:marLeft w:val="0"/>
          <w:marRight w:val="0"/>
          <w:marTop w:val="0"/>
          <w:marBottom w:val="0"/>
          <w:divBdr>
            <w:top w:val="none" w:sz="0" w:space="0" w:color="auto"/>
            <w:left w:val="none" w:sz="0" w:space="0" w:color="auto"/>
            <w:bottom w:val="none" w:sz="0" w:space="0" w:color="auto"/>
            <w:right w:val="none" w:sz="0" w:space="0" w:color="auto"/>
          </w:divBdr>
        </w:div>
      </w:divsChild>
    </w:div>
    <w:div w:id="491333111">
      <w:bodyDiv w:val="1"/>
      <w:marLeft w:val="0"/>
      <w:marRight w:val="0"/>
      <w:marTop w:val="0"/>
      <w:marBottom w:val="0"/>
      <w:divBdr>
        <w:top w:val="none" w:sz="0" w:space="0" w:color="auto"/>
        <w:left w:val="none" w:sz="0" w:space="0" w:color="auto"/>
        <w:bottom w:val="none" w:sz="0" w:space="0" w:color="auto"/>
        <w:right w:val="none" w:sz="0" w:space="0" w:color="auto"/>
      </w:divBdr>
      <w:divsChild>
        <w:div w:id="921061320">
          <w:marLeft w:val="0"/>
          <w:marRight w:val="0"/>
          <w:marTop w:val="0"/>
          <w:marBottom w:val="0"/>
          <w:divBdr>
            <w:top w:val="none" w:sz="0" w:space="0" w:color="auto"/>
            <w:left w:val="none" w:sz="0" w:space="0" w:color="auto"/>
            <w:bottom w:val="none" w:sz="0" w:space="0" w:color="auto"/>
            <w:right w:val="none" w:sz="0" w:space="0" w:color="auto"/>
          </w:divBdr>
        </w:div>
        <w:div w:id="1530797407">
          <w:marLeft w:val="0"/>
          <w:marRight w:val="0"/>
          <w:marTop w:val="0"/>
          <w:marBottom w:val="0"/>
          <w:divBdr>
            <w:top w:val="none" w:sz="0" w:space="0" w:color="auto"/>
            <w:left w:val="none" w:sz="0" w:space="0" w:color="auto"/>
            <w:bottom w:val="none" w:sz="0" w:space="0" w:color="auto"/>
            <w:right w:val="none" w:sz="0" w:space="0" w:color="auto"/>
          </w:divBdr>
        </w:div>
        <w:div w:id="1288707909">
          <w:marLeft w:val="0"/>
          <w:marRight w:val="0"/>
          <w:marTop w:val="0"/>
          <w:marBottom w:val="0"/>
          <w:divBdr>
            <w:top w:val="none" w:sz="0" w:space="0" w:color="auto"/>
            <w:left w:val="none" w:sz="0" w:space="0" w:color="auto"/>
            <w:bottom w:val="none" w:sz="0" w:space="0" w:color="auto"/>
            <w:right w:val="none" w:sz="0" w:space="0" w:color="auto"/>
          </w:divBdr>
        </w:div>
        <w:div w:id="901595175">
          <w:marLeft w:val="0"/>
          <w:marRight w:val="0"/>
          <w:marTop w:val="0"/>
          <w:marBottom w:val="0"/>
          <w:divBdr>
            <w:top w:val="none" w:sz="0" w:space="0" w:color="auto"/>
            <w:left w:val="none" w:sz="0" w:space="0" w:color="auto"/>
            <w:bottom w:val="none" w:sz="0" w:space="0" w:color="auto"/>
            <w:right w:val="none" w:sz="0" w:space="0" w:color="auto"/>
          </w:divBdr>
        </w:div>
        <w:div w:id="630787591">
          <w:marLeft w:val="0"/>
          <w:marRight w:val="0"/>
          <w:marTop w:val="0"/>
          <w:marBottom w:val="0"/>
          <w:divBdr>
            <w:top w:val="none" w:sz="0" w:space="0" w:color="auto"/>
            <w:left w:val="none" w:sz="0" w:space="0" w:color="auto"/>
            <w:bottom w:val="none" w:sz="0" w:space="0" w:color="auto"/>
            <w:right w:val="none" w:sz="0" w:space="0" w:color="auto"/>
          </w:divBdr>
        </w:div>
        <w:div w:id="544878227">
          <w:marLeft w:val="0"/>
          <w:marRight w:val="0"/>
          <w:marTop w:val="0"/>
          <w:marBottom w:val="0"/>
          <w:divBdr>
            <w:top w:val="none" w:sz="0" w:space="0" w:color="auto"/>
            <w:left w:val="none" w:sz="0" w:space="0" w:color="auto"/>
            <w:bottom w:val="none" w:sz="0" w:space="0" w:color="auto"/>
            <w:right w:val="none" w:sz="0" w:space="0" w:color="auto"/>
          </w:divBdr>
        </w:div>
        <w:div w:id="1476339260">
          <w:marLeft w:val="0"/>
          <w:marRight w:val="0"/>
          <w:marTop w:val="0"/>
          <w:marBottom w:val="0"/>
          <w:divBdr>
            <w:top w:val="none" w:sz="0" w:space="0" w:color="auto"/>
            <w:left w:val="none" w:sz="0" w:space="0" w:color="auto"/>
            <w:bottom w:val="none" w:sz="0" w:space="0" w:color="auto"/>
            <w:right w:val="none" w:sz="0" w:space="0" w:color="auto"/>
          </w:divBdr>
        </w:div>
        <w:div w:id="1381323702">
          <w:marLeft w:val="0"/>
          <w:marRight w:val="0"/>
          <w:marTop w:val="0"/>
          <w:marBottom w:val="0"/>
          <w:divBdr>
            <w:top w:val="none" w:sz="0" w:space="0" w:color="auto"/>
            <w:left w:val="none" w:sz="0" w:space="0" w:color="auto"/>
            <w:bottom w:val="none" w:sz="0" w:space="0" w:color="auto"/>
            <w:right w:val="none" w:sz="0" w:space="0" w:color="auto"/>
          </w:divBdr>
        </w:div>
      </w:divsChild>
    </w:div>
    <w:div w:id="526678982">
      <w:bodyDiv w:val="1"/>
      <w:marLeft w:val="0"/>
      <w:marRight w:val="0"/>
      <w:marTop w:val="0"/>
      <w:marBottom w:val="0"/>
      <w:divBdr>
        <w:top w:val="none" w:sz="0" w:space="0" w:color="auto"/>
        <w:left w:val="none" w:sz="0" w:space="0" w:color="auto"/>
        <w:bottom w:val="none" w:sz="0" w:space="0" w:color="auto"/>
        <w:right w:val="none" w:sz="0" w:space="0" w:color="auto"/>
      </w:divBdr>
      <w:divsChild>
        <w:div w:id="823426698">
          <w:marLeft w:val="0"/>
          <w:marRight w:val="0"/>
          <w:marTop w:val="0"/>
          <w:marBottom w:val="0"/>
          <w:divBdr>
            <w:top w:val="none" w:sz="0" w:space="0" w:color="auto"/>
            <w:left w:val="none" w:sz="0" w:space="0" w:color="auto"/>
            <w:bottom w:val="none" w:sz="0" w:space="0" w:color="auto"/>
            <w:right w:val="none" w:sz="0" w:space="0" w:color="auto"/>
          </w:divBdr>
        </w:div>
        <w:div w:id="721827334">
          <w:marLeft w:val="0"/>
          <w:marRight w:val="0"/>
          <w:marTop w:val="0"/>
          <w:marBottom w:val="0"/>
          <w:divBdr>
            <w:top w:val="none" w:sz="0" w:space="0" w:color="auto"/>
            <w:left w:val="none" w:sz="0" w:space="0" w:color="auto"/>
            <w:bottom w:val="none" w:sz="0" w:space="0" w:color="auto"/>
            <w:right w:val="none" w:sz="0" w:space="0" w:color="auto"/>
          </w:divBdr>
        </w:div>
        <w:div w:id="741948576">
          <w:marLeft w:val="0"/>
          <w:marRight w:val="0"/>
          <w:marTop w:val="0"/>
          <w:marBottom w:val="0"/>
          <w:divBdr>
            <w:top w:val="none" w:sz="0" w:space="0" w:color="auto"/>
            <w:left w:val="none" w:sz="0" w:space="0" w:color="auto"/>
            <w:bottom w:val="none" w:sz="0" w:space="0" w:color="auto"/>
            <w:right w:val="none" w:sz="0" w:space="0" w:color="auto"/>
          </w:divBdr>
        </w:div>
        <w:div w:id="1867521580">
          <w:marLeft w:val="0"/>
          <w:marRight w:val="0"/>
          <w:marTop w:val="0"/>
          <w:marBottom w:val="0"/>
          <w:divBdr>
            <w:top w:val="none" w:sz="0" w:space="0" w:color="auto"/>
            <w:left w:val="none" w:sz="0" w:space="0" w:color="auto"/>
            <w:bottom w:val="none" w:sz="0" w:space="0" w:color="auto"/>
            <w:right w:val="none" w:sz="0" w:space="0" w:color="auto"/>
          </w:divBdr>
        </w:div>
        <w:div w:id="2125733885">
          <w:marLeft w:val="0"/>
          <w:marRight w:val="0"/>
          <w:marTop w:val="0"/>
          <w:marBottom w:val="0"/>
          <w:divBdr>
            <w:top w:val="none" w:sz="0" w:space="0" w:color="auto"/>
            <w:left w:val="none" w:sz="0" w:space="0" w:color="auto"/>
            <w:bottom w:val="none" w:sz="0" w:space="0" w:color="auto"/>
            <w:right w:val="none" w:sz="0" w:space="0" w:color="auto"/>
          </w:divBdr>
        </w:div>
        <w:div w:id="832987188">
          <w:marLeft w:val="0"/>
          <w:marRight w:val="0"/>
          <w:marTop w:val="0"/>
          <w:marBottom w:val="0"/>
          <w:divBdr>
            <w:top w:val="none" w:sz="0" w:space="0" w:color="auto"/>
            <w:left w:val="none" w:sz="0" w:space="0" w:color="auto"/>
            <w:bottom w:val="none" w:sz="0" w:space="0" w:color="auto"/>
            <w:right w:val="none" w:sz="0" w:space="0" w:color="auto"/>
          </w:divBdr>
        </w:div>
        <w:div w:id="1125269023">
          <w:marLeft w:val="0"/>
          <w:marRight w:val="0"/>
          <w:marTop w:val="0"/>
          <w:marBottom w:val="0"/>
          <w:divBdr>
            <w:top w:val="none" w:sz="0" w:space="0" w:color="auto"/>
            <w:left w:val="none" w:sz="0" w:space="0" w:color="auto"/>
            <w:bottom w:val="none" w:sz="0" w:space="0" w:color="auto"/>
            <w:right w:val="none" w:sz="0" w:space="0" w:color="auto"/>
          </w:divBdr>
        </w:div>
        <w:div w:id="1386023907">
          <w:marLeft w:val="0"/>
          <w:marRight w:val="0"/>
          <w:marTop w:val="0"/>
          <w:marBottom w:val="0"/>
          <w:divBdr>
            <w:top w:val="none" w:sz="0" w:space="0" w:color="auto"/>
            <w:left w:val="none" w:sz="0" w:space="0" w:color="auto"/>
            <w:bottom w:val="none" w:sz="0" w:space="0" w:color="auto"/>
            <w:right w:val="none" w:sz="0" w:space="0" w:color="auto"/>
          </w:divBdr>
        </w:div>
      </w:divsChild>
    </w:div>
    <w:div w:id="592516600">
      <w:bodyDiv w:val="1"/>
      <w:marLeft w:val="0"/>
      <w:marRight w:val="0"/>
      <w:marTop w:val="0"/>
      <w:marBottom w:val="0"/>
      <w:divBdr>
        <w:top w:val="none" w:sz="0" w:space="0" w:color="auto"/>
        <w:left w:val="none" w:sz="0" w:space="0" w:color="auto"/>
        <w:bottom w:val="none" w:sz="0" w:space="0" w:color="auto"/>
        <w:right w:val="none" w:sz="0" w:space="0" w:color="auto"/>
      </w:divBdr>
    </w:div>
    <w:div w:id="641615264">
      <w:bodyDiv w:val="1"/>
      <w:marLeft w:val="0"/>
      <w:marRight w:val="0"/>
      <w:marTop w:val="0"/>
      <w:marBottom w:val="0"/>
      <w:divBdr>
        <w:top w:val="none" w:sz="0" w:space="0" w:color="auto"/>
        <w:left w:val="none" w:sz="0" w:space="0" w:color="auto"/>
        <w:bottom w:val="none" w:sz="0" w:space="0" w:color="auto"/>
        <w:right w:val="none" w:sz="0" w:space="0" w:color="auto"/>
      </w:divBdr>
      <w:divsChild>
        <w:div w:id="1958758736">
          <w:marLeft w:val="0"/>
          <w:marRight w:val="0"/>
          <w:marTop w:val="0"/>
          <w:marBottom w:val="0"/>
          <w:divBdr>
            <w:top w:val="none" w:sz="0" w:space="0" w:color="auto"/>
            <w:left w:val="none" w:sz="0" w:space="0" w:color="auto"/>
            <w:bottom w:val="none" w:sz="0" w:space="0" w:color="auto"/>
            <w:right w:val="none" w:sz="0" w:space="0" w:color="auto"/>
          </w:divBdr>
          <w:divsChild>
            <w:div w:id="770055043">
              <w:marLeft w:val="0"/>
              <w:marRight w:val="0"/>
              <w:marTop w:val="0"/>
              <w:marBottom w:val="0"/>
              <w:divBdr>
                <w:top w:val="none" w:sz="0" w:space="0" w:color="auto"/>
                <w:left w:val="none" w:sz="0" w:space="0" w:color="auto"/>
                <w:bottom w:val="none" w:sz="0" w:space="0" w:color="auto"/>
                <w:right w:val="none" w:sz="0" w:space="0" w:color="auto"/>
              </w:divBdr>
              <w:divsChild>
                <w:div w:id="10270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1822">
      <w:bodyDiv w:val="1"/>
      <w:marLeft w:val="0"/>
      <w:marRight w:val="0"/>
      <w:marTop w:val="0"/>
      <w:marBottom w:val="0"/>
      <w:divBdr>
        <w:top w:val="none" w:sz="0" w:space="0" w:color="auto"/>
        <w:left w:val="none" w:sz="0" w:space="0" w:color="auto"/>
        <w:bottom w:val="none" w:sz="0" w:space="0" w:color="auto"/>
        <w:right w:val="none" w:sz="0" w:space="0" w:color="auto"/>
      </w:divBdr>
    </w:div>
    <w:div w:id="799806369">
      <w:bodyDiv w:val="1"/>
      <w:marLeft w:val="0"/>
      <w:marRight w:val="0"/>
      <w:marTop w:val="0"/>
      <w:marBottom w:val="0"/>
      <w:divBdr>
        <w:top w:val="none" w:sz="0" w:space="0" w:color="auto"/>
        <w:left w:val="none" w:sz="0" w:space="0" w:color="auto"/>
        <w:bottom w:val="none" w:sz="0" w:space="0" w:color="auto"/>
        <w:right w:val="none" w:sz="0" w:space="0" w:color="auto"/>
      </w:divBdr>
    </w:div>
    <w:div w:id="1073965013">
      <w:bodyDiv w:val="1"/>
      <w:marLeft w:val="0"/>
      <w:marRight w:val="0"/>
      <w:marTop w:val="0"/>
      <w:marBottom w:val="0"/>
      <w:divBdr>
        <w:top w:val="none" w:sz="0" w:space="0" w:color="auto"/>
        <w:left w:val="none" w:sz="0" w:space="0" w:color="auto"/>
        <w:bottom w:val="none" w:sz="0" w:space="0" w:color="auto"/>
        <w:right w:val="none" w:sz="0" w:space="0" w:color="auto"/>
      </w:divBdr>
      <w:divsChild>
        <w:div w:id="1605840550">
          <w:marLeft w:val="0"/>
          <w:marRight w:val="0"/>
          <w:marTop w:val="0"/>
          <w:marBottom w:val="0"/>
          <w:divBdr>
            <w:top w:val="none" w:sz="0" w:space="0" w:color="auto"/>
            <w:left w:val="none" w:sz="0" w:space="0" w:color="auto"/>
            <w:bottom w:val="none" w:sz="0" w:space="0" w:color="auto"/>
            <w:right w:val="none" w:sz="0" w:space="0" w:color="auto"/>
          </w:divBdr>
        </w:div>
        <w:div w:id="834763812">
          <w:marLeft w:val="0"/>
          <w:marRight w:val="0"/>
          <w:marTop w:val="0"/>
          <w:marBottom w:val="0"/>
          <w:divBdr>
            <w:top w:val="none" w:sz="0" w:space="0" w:color="auto"/>
            <w:left w:val="none" w:sz="0" w:space="0" w:color="auto"/>
            <w:bottom w:val="none" w:sz="0" w:space="0" w:color="auto"/>
            <w:right w:val="none" w:sz="0" w:space="0" w:color="auto"/>
          </w:divBdr>
        </w:div>
        <w:div w:id="452987636">
          <w:marLeft w:val="0"/>
          <w:marRight w:val="0"/>
          <w:marTop w:val="0"/>
          <w:marBottom w:val="0"/>
          <w:divBdr>
            <w:top w:val="none" w:sz="0" w:space="0" w:color="auto"/>
            <w:left w:val="none" w:sz="0" w:space="0" w:color="auto"/>
            <w:bottom w:val="none" w:sz="0" w:space="0" w:color="auto"/>
            <w:right w:val="none" w:sz="0" w:space="0" w:color="auto"/>
          </w:divBdr>
        </w:div>
      </w:divsChild>
    </w:div>
    <w:div w:id="1075709285">
      <w:bodyDiv w:val="1"/>
      <w:marLeft w:val="0"/>
      <w:marRight w:val="0"/>
      <w:marTop w:val="0"/>
      <w:marBottom w:val="0"/>
      <w:divBdr>
        <w:top w:val="none" w:sz="0" w:space="0" w:color="auto"/>
        <w:left w:val="none" w:sz="0" w:space="0" w:color="auto"/>
        <w:bottom w:val="none" w:sz="0" w:space="0" w:color="auto"/>
        <w:right w:val="none" w:sz="0" w:space="0" w:color="auto"/>
      </w:divBdr>
    </w:div>
    <w:div w:id="1146169439">
      <w:bodyDiv w:val="1"/>
      <w:marLeft w:val="0"/>
      <w:marRight w:val="0"/>
      <w:marTop w:val="0"/>
      <w:marBottom w:val="0"/>
      <w:divBdr>
        <w:top w:val="none" w:sz="0" w:space="0" w:color="auto"/>
        <w:left w:val="none" w:sz="0" w:space="0" w:color="auto"/>
        <w:bottom w:val="none" w:sz="0" w:space="0" w:color="auto"/>
        <w:right w:val="none" w:sz="0" w:space="0" w:color="auto"/>
      </w:divBdr>
      <w:divsChild>
        <w:div w:id="128089672">
          <w:marLeft w:val="0"/>
          <w:marRight w:val="0"/>
          <w:marTop w:val="0"/>
          <w:marBottom w:val="0"/>
          <w:divBdr>
            <w:top w:val="none" w:sz="0" w:space="0" w:color="auto"/>
            <w:left w:val="none" w:sz="0" w:space="0" w:color="auto"/>
            <w:bottom w:val="none" w:sz="0" w:space="0" w:color="auto"/>
            <w:right w:val="none" w:sz="0" w:space="0" w:color="auto"/>
          </w:divBdr>
          <w:divsChild>
            <w:div w:id="1364212116">
              <w:marLeft w:val="0"/>
              <w:marRight w:val="0"/>
              <w:marTop w:val="0"/>
              <w:marBottom w:val="0"/>
              <w:divBdr>
                <w:top w:val="none" w:sz="0" w:space="0" w:color="auto"/>
                <w:left w:val="none" w:sz="0" w:space="0" w:color="auto"/>
                <w:bottom w:val="none" w:sz="0" w:space="0" w:color="auto"/>
                <w:right w:val="none" w:sz="0" w:space="0" w:color="auto"/>
              </w:divBdr>
              <w:divsChild>
                <w:div w:id="1337924909">
                  <w:marLeft w:val="0"/>
                  <w:marRight w:val="0"/>
                  <w:marTop w:val="0"/>
                  <w:marBottom w:val="0"/>
                  <w:divBdr>
                    <w:top w:val="none" w:sz="0" w:space="0" w:color="auto"/>
                    <w:left w:val="none" w:sz="0" w:space="0" w:color="auto"/>
                    <w:bottom w:val="none" w:sz="0" w:space="0" w:color="auto"/>
                    <w:right w:val="none" w:sz="0" w:space="0" w:color="auto"/>
                  </w:divBdr>
                  <w:divsChild>
                    <w:div w:id="777064394">
                      <w:marLeft w:val="0"/>
                      <w:marRight w:val="0"/>
                      <w:marTop w:val="0"/>
                      <w:marBottom w:val="0"/>
                      <w:divBdr>
                        <w:top w:val="none" w:sz="0" w:space="0" w:color="auto"/>
                        <w:left w:val="none" w:sz="0" w:space="0" w:color="auto"/>
                        <w:bottom w:val="none" w:sz="0" w:space="0" w:color="auto"/>
                        <w:right w:val="none" w:sz="0" w:space="0" w:color="auto"/>
                      </w:divBdr>
                      <w:divsChild>
                        <w:div w:id="5336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85829">
      <w:bodyDiv w:val="1"/>
      <w:marLeft w:val="0"/>
      <w:marRight w:val="0"/>
      <w:marTop w:val="0"/>
      <w:marBottom w:val="0"/>
      <w:divBdr>
        <w:top w:val="none" w:sz="0" w:space="0" w:color="auto"/>
        <w:left w:val="none" w:sz="0" w:space="0" w:color="auto"/>
        <w:bottom w:val="none" w:sz="0" w:space="0" w:color="auto"/>
        <w:right w:val="none" w:sz="0" w:space="0" w:color="auto"/>
      </w:divBdr>
    </w:div>
    <w:div w:id="1405686700">
      <w:bodyDiv w:val="1"/>
      <w:marLeft w:val="0"/>
      <w:marRight w:val="0"/>
      <w:marTop w:val="0"/>
      <w:marBottom w:val="0"/>
      <w:divBdr>
        <w:top w:val="none" w:sz="0" w:space="0" w:color="auto"/>
        <w:left w:val="none" w:sz="0" w:space="0" w:color="auto"/>
        <w:bottom w:val="none" w:sz="0" w:space="0" w:color="auto"/>
        <w:right w:val="none" w:sz="0" w:space="0" w:color="auto"/>
      </w:divBdr>
      <w:divsChild>
        <w:div w:id="634334474">
          <w:marLeft w:val="0"/>
          <w:marRight w:val="0"/>
          <w:marTop w:val="0"/>
          <w:marBottom w:val="0"/>
          <w:divBdr>
            <w:top w:val="none" w:sz="0" w:space="0" w:color="auto"/>
            <w:left w:val="none" w:sz="0" w:space="0" w:color="auto"/>
            <w:bottom w:val="none" w:sz="0" w:space="0" w:color="auto"/>
            <w:right w:val="none" w:sz="0" w:space="0" w:color="auto"/>
          </w:divBdr>
        </w:div>
        <w:div w:id="1772509262">
          <w:marLeft w:val="0"/>
          <w:marRight w:val="0"/>
          <w:marTop w:val="0"/>
          <w:marBottom w:val="0"/>
          <w:divBdr>
            <w:top w:val="none" w:sz="0" w:space="0" w:color="auto"/>
            <w:left w:val="none" w:sz="0" w:space="0" w:color="auto"/>
            <w:bottom w:val="none" w:sz="0" w:space="0" w:color="auto"/>
            <w:right w:val="none" w:sz="0" w:space="0" w:color="auto"/>
          </w:divBdr>
        </w:div>
      </w:divsChild>
    </w:div>
    <w:div w:id="1469859615">
      <w:bodyDiv w:val="1"/>
      <w:marLeft w:val="0"/>
      <w:marRight w:val="0"/>
      <w:marTop w:val="0"/>
      <w:marBottom w:val="0"/>
      <w:divBdr>
        <w:top w:val="none" w:sz="0" w:space="0" w:color="auto"/>
        <w:left w:val="none" w:sz="0" w:space="0" w:color="auto"/>
        <w:bottom w:val="none" w:sz="0" w:space="0" w:color="auto"/>
        <w:right w:val="none" w:sz="0" w:space="0" w:color="auto"/>
      </w:divBdr>
      <w:divsChild>
        <w:div w:id="668094770">
          <w:marLeft w:val="0"/>
          <w:marRight w:val="0"/>
          <w:marTop w:val="0"/>
          <w:marBottom w:val="0"/>
          <w:divBdr>
            <w:top w:val="none" w:sz="0" w:space="0" w:color="auto"/>
            <w:left w:val="none" w:sz="0" w:space="0" w:color="auto"/>
            <w:bottom w:val="none" w:sz="0" w:space="0" w:color="auto"/>
            <w:right w:val="none" w:sz="0" w:space="0" w:color="auto"/>
          </w:divBdr>
        </w:div>
        <w:div w:id="27148270">
          <w:marLeft w:val="0"/>
          <w:marRight w:val="0"/>
          <w:marTop w:val="0"/>
          <w:marBottom w:val="0"/>
          <w:divBdr>
            <w:top w:val="none" w:sz="0" w:space="0" w:color="auto"/>
            <w:left w:val="none" w:sz="0" w:space="0" w:color="auto"/>
            <w:bottom w:val="none" w:sz="0" w:space="0" w:color="auto"/>
            <w:right w:val="none" w:sz="0" w:space="0" w:color="auto"/>
          </w:divBdr>
        </w:div>
        <w:div w:id="546450758">
          <w:marLeft w:val="0"/>
          <w:marRight w:val="0"/>
          <w:marTop w:val="0"/>
          <w:marBottom w:val="0"/>
          <w:divBdr>
            <w:top w:val="none" w:sz="0" w:space="0" w:color="auto"/>
            <w:left w:val="none" w:sz="0" w:space="0" w:color="auto"/>
            <w:bottom w:val="none" w:sz="0" w:space="0" w:color="auto"/>
            <w:right w:val="none" w:sz="0" w:space="0" w:color="auto"/>
          </w:divBdr>
        </w:div>
        <w:div w:id="1555046730">
          <w:marLeft w:val="0"/>
          <w:marRight w:val="0"/>
          <w:marTop w:val="0"/>
          <w:marBottom w:val="0"/>
          <w:divBdr>
            <w:top w:val="none" w:sz="0" w:space="0" w:color="auto"/>
            <w:left w:val="none" w:sz="0" w:space="0" w:color="auto"/>
            <w:bottom w:val="none" w:sz="0" w:space="0" w:color="auto"/>
            <w:right w:val="none" w:sz="0" w:space="0" w:color="auto"/>
          </w:divBdr>
        </w:div>
        <w:div w:id="924385505">
          <w:marLeft w:val="0"/>
          <w:marRight w:val="0"/>
          <w:marTop w:val="0"/>
          <w:marBottom w:val="0"/>
          <w:divBdr>
            <w:top w:val="none" w:sz="0" w:space="0" w:color="auto"/>
            <w:left w:val="none" w:sz="0" w:space="0" w:color="auto"/>
            <w:bottom w:val="none" w:sz="0" w:space="0" w:color="auto"/>
            <w:right w:val="none" w:sz="0" w:space="0" w:color="auto"/>
          </w:divBdr>
        </w:div>
        <w:div w:id="1269577972">
          <w:marLeft w:val="0"/>
          <w:marRight w:val="0"/>
          <w:marTop w:val="0"/>
          <w:marBottom w:val="0"/>
          <w:divBdr>
            <w:top w:val="none" w:sz="0" w:space="0" w:color="auto"/>
            <w:left w:val="none" w:sz="0" w:space="0" w:color="auto"/>
            <w:bottom w:val="none" w:sz="0" w:space="0" w:color="auto"/>
            <w:right w:val="none" w:sz="0" w:space="0" w:color="auto"/>
          </w:divBdr>
        </w:div>
        <w:div w:id="1905482650">
          <w:marLeft w:val="0"/>
          <w:marRight w:val="0"/>
          <w:marTop w:val="0"/>
          <w:marBottom w:val="0"/>
          <w:divBdr>
            <w:top w:val="none" w:sz="0" w:space="0" w:color="auto"/>
            <w:left w:val="none" w:sz="0" w:space="0" w:color="auto"/>
            <w:bottom w:val="none" w:sz="0" w:space="0" w:color="auto"/>
            <w:right w:val="none" w:sz="0" w:space="0" w:color="auto"/>
          </w:divBdr>
        </w:div>
      </w:divsChild>
    </w:div>
    <w:div w:id="1482230771">
      <w:bodyDiv w:val="1"/>
      <w:marLeft w:val="0"/>
      <w:marRight w:val="0"/>
      <w:marTop w:val="0"/>
      <w:marBottom w:val="0"/>
      <w:divBdr>
        <w:top w:val="none" w:sz="0" w:space="0" w:color="auto"/>
        <w:left w:val="none" w:sz="0" w:space="0" w:color="auto"/>
        <w:bottom w:val="none" w:sz="0" w:space="0" w:color="auto"/>
        <w:right w:val="none" w:sz="0" w:space="0" w:color="auto"/>
      </w:divBdr>
      <w:divsChild>
        <w:div w:id="1644500767">
          <w:marLeft w:val="0"/>
          <w:marRight w:val="0"/>
          <w:marTop w:val="0"/>
          <w:marBottom w:val="0"/>
          <w:divBdr>
            <w:top w:val="none" w:sz="0" w:space="0" w:color="auto"/>
            <w:left w:val="none" w:sz="0" w:space="0" w:color="auto"/>
            <w:bottom w:val="none" w:sz="0" w:space="0" w:color="auto"/>
            <w:right w:val="none" w:sz="0" w:space="0" w:color="auto"/>
          </w:divBdr>
        </w:div>
        <w:div w:id="2083674710">
          <w:marLeft w:val="0"/>
          <w:marRight w:val="0"/>
          <w:marTop w:val="0"/>
          <w:marBottom w:val="0"/>
          <w:divBdr>
            <w:top w:val="none" w:sz="0" w:space="0" w:color="auto"/>
            <w:left w:val="none" w:sz="0" w:space="0" w:color="auto"/>
            <w:bottom w:val="none" w:sz="0" w:space="0" w:color="auto"/>
            <w:right w:val="none" w:sz="0" w:space="0" w:color="auto"/>
          </w:divBdr>
        </w:div>
        <w:div w:id="972098079">
          <w:marLeft w:val="0"/>
          <w:marRight w:val="0"/>
          <w:marTop w:val="0"/>
          <w:marBottom w:val="0"/>
          <w:divBdr>
            <w:top w:val="none" w:sz="0" w:space="0" w:color="auto"/>
            <w:left w:val="none" w:sz="0" w:space="0" w:color="auto"/>
            <w:bottom w:val="none" w:sz="0" w:space="0" w:color="auto"/>
            <w:right w:val="none" w:sz="0" w:space="0" w:color="auto"/>
          </w:divBdr>
        </w:div>
        <w:div w:id="1405682581">
          <w:marLeft w:val="0"/>
          <w:marRight w:val="0"/>
          <w:marTop w:val="0"/>
          <w:marBottom w:val="0"/>
          <w:divBdr>
            <w:top w:val="none" w:sz="0" w:space="0" w:color="auto"/>
            <w:left w:val="none" w:sz="0" w:space="0" w:color="auto"/>
            <w:bottom w:val="none" w:sz="0" w:space="0" w:color="auto"/>
            <w:right w:val="none" w:sz="0" w:space="0" w:color="auto"/>
          </w:divBdr>
        </w:div>
        <w:div w:id="1792092786">
          <w:marLeft w:val="0"/>
          <w:marRight w:val="0"/>
          <w:marTop w:val="0"/>
          <w:marBottom w:val="0"/>
          <w:divBdr>
            <w:top w:val="none" w:sz="0" w:space="0" w:color="auto"/>
            <w:left w:val="none" w:sz="0" w:space="0" w:color="auto"/>
            <w:bottom w:val="none" w:sz="0" w:space="0" w:color="auto"/>
            <w:right w:val="none" w:sz="0" w:space="0" w:color="auto"/>
          </w:divBdr>
        </w:div>
        <w:div w:id="1620799099">
          <w:marLeft w:val="0"/>
          <w:marRight w:val="0"/>
          <w:marTop w:val="0"/>
          <w:marBottom w:val="0"/>
          <w:divBdr>
            <w:top w:val="none" w:sz="0" w:space="0" w:color="auto"/>
            <w:left w:val="none" w:sz="0" w:space="0" w:color="auto"/>
            <w:bottom w:val="none" w:sz="0" w:space="0" w:color="auto"/>
            <w:right w:val="none" w:sz="0" w:space="0" w:color="auto"/>
          </w:divBdr>
        </w:div>
        <w:div w:id="506142302">
          <w:marLeft w:val="0"/>
          <w:marRight w:val="0"/>
          <w:marTop w:val="0"/>
          <w:marBottom w:val="0"/>
          <w:divBdr>
            <w:top w:val="none" w:sz="0" w:space="0" w:color="auto"/>
            <w:left w:val="none" w:sz="0" w:space="0" w:color="auto"/>
            <w:bottom w:val="none" w:sz="0" w:space="0" w:color="auto"/>
            <w:right w:val="none" w:sz="0" w:space="0" w:color="auto"/>
          </w:divBdr>
        </w:div>
        <w:div w:id="175391676">
          <w:marLeft w:val="0"/>
          <w:marRight w:val="0"/>
          <w:marTop w:val="0"/>
          <w:marBottom w:val="0"/>
          <w:divBdr>
            <w:top w:val="none" w:sz="0" w:space="0" w:color="auto"/>
            <w:left w:val="none" w:sz="0" w:space="0" w:color="auto"/>
            <w:bottom w:val="none" w:sz="0" w:space="0" w:color="auto"/>
            <w:right w:val="none" w:sz="0" w:space="0" w:color="auto"/>
          </w:divBdr>
        </w:div>
        <w:div w:id="680592081">
          <w:marLeft w:val="0"/>
          <w:marRight w:val="0"/>
          <w:marTop w:val="0"/>
          <w:marBottom w:val="0"/>
          <w:divBdr>
            <w:top w:val="none" w:sz="0" w:space="0" w:color="auto"/>
            <w:left w:val="none" w:sz="0" w:space="0" w:color="auto"/>
            <w:bottom w:val="none" w:sz="0" w:space="0" w:color="auto"/>
            <w:right w:val="none" w:sz="0" w:space="0" w:color="auto"/>
          </w:divBdr>
        </w:div>
        <w:div w:id="567304483">
          <w:marLeft w:val="0"/>
          <w:marRight w:val="0"/>
          <w:marTop w:val="0"/>
          <w:marBottom w:val="0"/>
          <w:divBdr>
            <w:top w:val="none" w:sz="0" w:space="0" w:color="auto"/>
            <w:left w:val="none" w:sz="0" w:space="0" w:color="auto"/>
            <w:bottom w:val="none" w:sz="0" w:space="0" w:color="auto"/>
            <w:right w:val="none" w:sz="0" w:space="0" w:color="auto"/>
          </w:divBdr>
        </w:div>
        <w:div w:id="333921557">
          <w:marLeft w:val="0"/>
          <w:marRight w:val="0"/>
          <w:marTop w:val="0"/>
          <w:marBottom w:val="0"/>
          <w:divBdr>
            <w:top w:val="none" w:sz="0" w:space="0" w:color="auto"/>
            <w:left w:val="none" w:sz="0" w:space="0" w:color="auto"/>
            <w:bottom w:val="none" w:sz="0" w:space="0" w:color="auto"/>
            <w:right w:val="none" w:sz="0" w:space="0" w:color="auto"/>
          </w:divBdr>
        </w:div>
        <w:div w:id="1584798723">
          <w:marLeft w:val="0"/>
          <w:marRight w:val="0"/>
          <w:marTop w:val="0"/>
          <w:marBottom w:val="0"/>
          <w:divBdr>
            <w:top w:val="none" w:sz="0" w:space="0" w:color="auto"/>
            <w:left w:val="none" w:sz="0" w:space="0" w:color="auto"/>
            <w:bottom w:val="none" w:sz="0" w:space="0" w:color="auto"/>
            <w:right w:val="none" w:sz="0" w:space="0" w:color="auto"/>
          </w:divBdr>
        </w:div>
        <w:div w:id="774401034">
          <w:marLeft w:val="0"/>
          <w:marRight w:val="0"/>
          <w:marTop w:val="0"/>
          <w:marBottom w:val="0"/>
          <w:divBdr>
            <w:top w:val="none" w:sz="0" w:space="0" w:color="auto"/>
            <w:left w:val="none" w:sz="0" w:space="0" w:color="auto"/>
            <w:bottom w:val="none" w:sz="0" w:space="0" w:color="auto"/>
            <w:right w:val="none" w:sz="0" w:space="0" w:color="auto"/>
          </w:divBdr>
        </w:div>
        <w:div w:id="1734964823">
          <w:marLeft w:val="0"/>
          <w:marRight w:val="0"/>
          <w:marTop w:val="0"/>
          <w:marBottom w:val="0"/>
          <w:divBdr>
            <w:top w:val="none" w:sz="0" w:space="0" w:color="auto"/>
            <w:left w:val="none" w:sz="0" w:space="0" w:color="auto"/>
            <w:bottom w:val="none" w:sz="0" w:space="0" w:color="auto"/>
            <w:right w:val="none" w:sz="0" w:space="0" w:color="auto"/>
          </w:divBdr>
        </w:div>
        <w:div w:id="80102115">
          <w:marLeft w:val="0"/>
          <w:marRight w:val="0"/>
          <w:marTop w:val="0"/>
          <w:marBottom w:val="0"/>
          <w:divBdr>
            <w:top w:val="none" w:sz="0" w:space="0" w:color="auto"/>
            <w:left w:val="none" w:sz="0" w:space="0" w:color="auto"/>
            <w:bottom w:val="none" w:sz="0" w:space="0" w:color="auto"/>
            <w:right w:val="none" w:sz="0" w:space="0" w:color="auto"/>
          </w:divBdr>
        </w:div>
        <w:div w:id="681129920">
          <w:marLeft w:val="0"/>
          <w:marRight w:val="0"/>
          <w:marTop w:val="0"/>
          <w:marBottom w:val="0"/>
          <w:divBdr>
            <w:top w:val="none" w:sz="0" w:space="0" w:color="auto"/>
            <w:left w:val="none" w:sz="0" w:space="0" w:color="auto"/>
            <w:bottom w:val="none" w:sz="0" w:space="0" w:color="auto"/>
            <w:right w:val="none" w:sz="0" w:space="0" w:color="auto"/>
          </w:divBdr>
        </w:div>
      </w:divsChild>
    </w:div>
    <w:div w:id="1782189976">
      <w:bodyDiv w:val="1"/>
      <w:marLeft w:val="0"/>
      <w:marRight w:val="0"/>
      <w:marTop w:val="0"/>
      <w:marBottom w:val="0"/>
      <w:divBdr>
        <w:top w:val="none" w:sz="0" w:space="0" w:color="auto"/>
        <w:left w:val="none" w:sz="0" w:space="0" w:color="auto"/>
        <w:bottom w:val="none" w:sz="0" w:space="0" w:color="auto"/>
        <w:right w:val="none" w:sz="0" w:space="0" w:color="auto"/>
      </w:divBdr>
      <w:divsChild>
        <w:div w:id="1739669027">
          <w:marLeft w:val="0"/>
          <w:marRight w:val="0"/>
          <w:marTop w:val="0"/>
          <w:marBottom w:val="0"/>
          <w:divBdr>
            <w:top w:val="none" w:sz="0" w:space="0" w:color="auto"/>
            <w:left w:val="none" w:sz="0" w:space="0" w:color="auto"/>
            <w:bottom w:val="none" w:sz="0" w:space="0" w:color="auto"/>
            <w:right w:val="none" w:sz="0" w:space="0" w:color="auto"/>
          </w:divBdr>
          <w:divsChild>
            <w:div w:id="1614480287">
              <w:marLeft w:val="0"/>
              <w:marRight w:val="0"/>
              <w:marTop w:val="0"/>
              <w:marBottom w:val="0"/>
              <w:divBdr>
                <w:top w:val="none" w:sz="0" w:space="0" w:color="auto"/>
                <w:left w:val="none" w:sz="0" w:space="0" w:color="auto"/>
                <w:bottom w:val="none" w:sz="0" w:space="0" w:color="auto"/>
                <w:right w:val="none" w:sz="0" w:space="0" w:color="auto"/>
              </w:divBdr>
              <w:divsChild>
                <w:div w:id="1509442804">
                  <w:marLeft w:val="0"/>
                  <w:marRight w:val="0"/>
                  <w:marTop w:val="0"/>
                  <w:marBottom w:val="0"/>
                  <w:divBdr>
                    <w:top w:val="none" w:sz="0" w:space="0" w:color="auto"/>
                    <w:left w:val="none" w:sz="0" w:space="0" w:color="auto"/>
                    <w:bottom w:val="none" w:sz="0" w:space="0" w:color="auto"/>
                    <w:right w:val="none" w:sz="0" w:space="0" w:color="auto"/>
                  </w:divBdr>
                  <w:divsChild>
                    <w:div w:id="1277640020">
                      <w:marLeft w:val="0"/>
                      <w:marRight w:val="0"/>
                      <w:marTop w:val="0"/>
                      <w:marBottom w:val="0"/>
                      <w:divBdr>
                        <w:top w:val="none" w:sz="0" w:space="0" w:color="auto"/>
                        <w:left w:val="none" w:sz="0" w:space="0" w:color="auto"/>
                        <w:bottom w:val="none" w:sz="0" w:space="0" w:color="auto"/>
                        <w:right w:val="none" w:sz="0" w:space="0" w:color="auto"/>
                      </w:divBdr>
                      <w:divsChild>
                        <w:div w:id="1280380394">
                          <w:marLeft w:val="0"/>
                          <w:marRight w:val="0"/>
                          <w:marTop w:val="0"/>
                          <w:marBottom w:val="0"/>
                          <w:divBdr>
                            <w:top w:val="none" w:sz="0" w:space="0" w:color="auto"/>
                            <w:left w:val="none" w:sz="0" w:space="0" w:color="auto"/>
                            <w:bottom w:val="none" w:sz="0" w:space="0" w:color="auto"/>
                            <w:right w:val="none" w:sz="0" w:space="0" w:color="auto"/>
                          </w:divBdr>
                          <w:divsChild>
                            <w:div w:id="1155996456">
                              <w:marLeft w:val="0"/>
                              <w:marRight w:val="0"/>
                              <w:marTop w:val="0"/>
                              <w:marBottom w:val="0"/>
                              <w:divBdr>
                                <w:top w:val="none" w:sz="0" w:space="0" w:color="auto"/>
                                <w:left w:val="none" w:sz="0" w:space="0" w:color="auto"/>
                                <w:bottom w:val="none" w:sz="0" w:space="0" w:color="auto"/>
                                <w:right w:val="none" w:sz="0" w:space="0" w:color="auto"/>
                              </w:divBdr>
                              <w:divsChild>
                                <w:div w:id="228813052">
                                  <w:marLeft w:val="0"/>
                                  <w:marRight w:val="0"/>
                                  <w:marTop w:val="0"/>
                                  <w:marBottom w:val="0"/>
                                  <w:divBdr>
                                    <w:top w:val="none" w:sz="0" w:space="0" w:color="auto"/>
                                    <w:left w:val="none" w:sz="0" w:space="0" w:color="auto"/>
                                    <w:bottom w:val="none" w:sz="0" w:space="0" w:color="auto"/>
                                    <w:right w:val="none" w:sz="0" w:space="0" w:color="auto"/>
                                  </w:divBdr>
                                  <w:divsChild>
                                    <w:div w:id="15094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846202">
      <w:bodyDiv w:val="1"/>
      <w:marLeft w:val="0"/>
      <w:marRight w:val="0"/>
      <w:marTop w:val="0"/>
      <w:marBottom w:val="0"/>
      <w:divBdr>
        <w:top w:val="none" w:sz="0" w:space="0" w:color="auto"/>
        <w:left w:val="none" w:sz="0" w:space="0" w:color="auto"/>
        <w:bottom w:val="none" w:sz="0" w:space="0" w:color="auto"/>
        <w:right w:val="none" w:sz="0" w:space="0" w:color="auto"/>
      </w:divBdr>
      <w:divsChild>
        <w:div w:id="199321508">
          <w:marLeft w:val="0"/>
          <w:marRight w:val="0"/>
          <w:marTop w:val="0"/>
          <w:marBottom w:val="0"/>
          <w:divBdr>
            <w:top w:val="none" w:sz="0" w:space="0" w:color="auto"/>
            <w:left w:val="none" w:sz="0" w:space="0" w:color="auto"/>
            <w:bottom w:val="none" w:sz="0" w:space="0" w:color="auto"/>
            <w:right w:val="none" w:sz="0" w:space="0" w:color="auto"/>
          </w:divBdr>
        </w:div>
        <w:div w:id="404381047">
          <w:marLeft w:val="0"/>
          <w:marRight w:val="0"/>
          <w:marTop w:val="0"/>
          <w:marBottom w:val="0"/>
          <w:divBdr>
            <w:top w:val="none" w:sz="0" w:space="0" w:color="auto"/>
            <w:left w:val="none" w:sz="0" w:space="0" w:color="auto"/>
            <w:bottom w:val="none" w:sz="0" w:space="0" w:color="auto"/>
            <w:right w:val="none" w:sz="0" w:space="0" w:color="auto"/>
          </w:divBdr>
        </w:div>
        <w:div w:id="921571222">
          <w:marLeft w:val="0"/>
          <w:marRight w:val="0"/>
          <w:marTop w:val="0"/>
          <w:marBottom w:val="0"/>
          <w:divBdr>
            <w:top w:val="none" w:sz="0" w:space="0" w:color="auto"/>
            <w:left w:val="none" w:sz="0" w:space="0" w:color="auto"/>
            <w:bottom w:val="none" w:sz="0" w:space="0" w:color="auto"/>
            <w:right w:val="none" w:sz="0" w:space="0" w:color="auto"/>
          </w:divBdr>
        </w:div>
      </w:divsChild>
    </w:div>
    <w:div w:id="20784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kmin.lt/uploads/documents/imported/lt/veikla/veiklos_sritys/es_strukturiniai_fondai/2007-2013/Vertinimas/Sektoriu_Galutine%20vertinimo%20ataskait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95F10-C066-49AF-8E27-8693172A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10</Pages>
  <Words>16773</Words>
  <Characters>9561</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Laura Pusinskaite</cp:lastModifiedBy>
  <cp:revision>113</cp:revision>
  <cp:lastPrinted>2015-06-19T12:37:00Z</cp:lastPrinted>
  <dcterms:created xsi:type="dcterms:W3CDTF">2015-06-19T08:01:00Z</dcterms:created>
  <dcterms:modified xsi:type="dcterms:W3CDTF">2015-06-19T13:04:00Z</dcterms:modified>
</cp:coreProperties>
</file>