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80" w:rsidRDefault="00444010" w:rsidP="00444010">
      <w:pPr>
        <w:tabs>
          <w:tab w:val="center" w:pos="4986"/>
          <w:tab w:val="right" w:pos="9972"/>
        </w:tabs>
        <w:jc w:val="center"/>
        <w:rPr>
          <w:b/>
          <w:szCs w:val="24"/>
        </w:rPr>
      </w:pPr>
      <w:r>
        <w:rPr>
          <w:b/>
          <w:color w:val="0000FF"/>
          <w:szCs w:val="24"/>
        </w:rPr>
        <w:object w:dxaOrig="765" w:dyaOrig="810" w14:anchorId="12029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8" o:title=""/>
          </v:shape>
          <o:OLEObject Type="Embed" ProgID="PBrush" ShapeID="_x0000_i1025" DrawAspect="Content" ObjectID="_1580564136" r:id="rId9"/>
        </w:object>
      </w:r>
    </w:p>
    <w:p w:rsidR="002E6280" w:rsidRDefault="00444010">
      <w:pPr>
        <w:jc w:val="center"/>
        <w:rPr>
          <w:b/>
          <w:szCs w:val="24"/>
        </w:rPr>
      </w:pPr>
      <w:r>
        <w:rPr>
          <w:b/>
          <w:szCs w:val="24"/>
        </w:rPr>
        <w:t>LIETUVOS RESPUBLIKOS KULTŪROS MINISTRAS</w:t>
      </w:r>
    </w:p>
    <w:p w:rsidR="002E6280" w:rsidRDefault="002E6280">
      <w:pPr>
        <w:tabs>
          <w:tab w:val="center" w:pos="4986"/>
          <w:tab w:val="right" w:pos="9972"/>
        </w:tabs>
        <w:jc w:val="center"/>
        <w:rPr>
          <w:szCs w:val="24"/>
          <w:lang w:eastAsia="x-none"/>
        </w:rPr>
      </w:pPr>
    </w:p>
    <w:p w:rsidR="002E6280" w:rsidRDefault="00444010">
      <w:pPr>
        <w:jc w:val="center"/>
        <w:rPr>
          <w:b/>
          <w:szCs w:val="24"/>
          <w:lang w:eastAsia="lt-LT"/>
        </w:rPr>
      </w:pPr>
      <w:r>
        <w:rPr>
          <w:b/>
          <w:szCs w:val="24"/>
          <w:lang w:eastAsia="lt-LT"/>
        </w:rPr>
        <w:t>ĮSAKYMAS</w:t>
      </w:r>
    </w:p>
    <w:p w:rsidR="002E6280" w:rsidRDefault="00444010">
      <w:pPr>
        <w:jc w:val="center"/>
        <w:rPr>
          <w:b/>
          <w:bCs/>
          <w:caps/>
          <w:szCs w:val="24"/>
        </w:rPr>
      </w:pPr>
      <w:r>
        <w:rPr>
          <w:b/>
          <w:bCs/>
          <w:caps/>
          <w:szCs w:val="24"/>
        </w:rPr>
        <w:t xml:space="preserve">dėl LIETUVOS RESPUBLIKOS kultūros MINISTRO 2016 M. GEGUŽĖS 12 D. ĮSAKYMO nR. ĮV-380 „dėl LIETUVOS RESPUBLIKOS kultūros MINISTERIJOS 2014–2020 mETŲ europos sąjungos fondų investicijų veiksmų programos prioritetŲ įgyvendinimo priemonių įgyvendinimo plano ir </w:t>
      </w:r>
      <w:r>
        <w:rPr>
          <w:b/>
          <w:szCs w:val="24"/>
        </w:rPr>
        <w:t>NACIONALINIŲ STEBĖSENOS RODIKLIŲ SKAIČIAVIMO APRAŠO</w:t>
      </w:r>
      <w:r>
        <w:rPr>
          <w:b/>
          <w:bCs/>
          <w:caps/>
          <w:szCs w:val="24"/>
        </w:rPr>
        <w:t xml:space="preserve"> patvirtinimo“ PAKEITIMO</w:t>
      </w:r>
    </w:p>
    <w:p w:rsidR="002E6280" w:rsidRDefault="002E6280">
      <w:pPr>
        <w:jc w:val="center"/>
        <w:rPr>
          <w:szCs w:val="22"/>
        </w:rPr>
      </w:pPr>
    </w:p>
    <w:p w:rsidR="002E6280" w:rsidRDefault="00444010">
      <w:pPr>
        <w:jc w:val="center"/>
        <w:rPr>
          <w:szCs w:val="22"/>
        </w:rPr>
      </w:pPr>
      <w:r>
        <w:rPr>
          <w:szCs w:val="22"/>
        </w:rPr>
        <w:t xml:space="preserve">2016 m. </w:t>
      </w:r>
      <w:r w:rsidR="00AE7207">
        <w:rPr>
          <w:szCs w:val="22"/>
        </w:rPr>
        <w:t xml:space="preserve">    </w:t>
      </w:r>
      <w:r>
        <w:rPr>
          <w:szCs w:val="22"/>
        </w:rPr>
        <w:t xml:space="preserve"> d. Nr. ĮV-</w:t>
      </w:r>
    </w:p>
    <w:p w:rsidR="002E6280" w:rsidRDefault="00444010">
      <w:pPr>
        <w:jc w:val="center"/>
        <w:rPr>
          <w:szCs w:val="22"/>
        </w:rPr>
      </w:pPr>
      <w:r>
        <w:rPr>
          <w:szCs w:val="22"/>
        </w:rPr>
        <w:t>Vilnius</w:t>
      </w:r>
    </w:p>
    <w:p w:rsidR="002E6280" w:rsidRDefault="002E6280" w:rsidP="00444010">
      <w:pPr>
        <w:rPr>
          <w:szCs w:val="22"/>
        </w:rPr>
      </w:pPr>
    </w:p>
    <w:p w:rsidR="002E6280" w:rsidRDefault="002E6280" w:rsidP="00444010">
      <w:pPr>
        <w:tabs>
          <w:tab w:val="left" w:pos="4257"/>
        </w:tabs>
        <w:spacing w:line="360" w:lineRule="auto"/>
        <w:rPr>
          <w:szCs w:val="22"/>
        </w:rPr>
      </w:pPr>
    </w:p>
    <w:p w:rsidR="002E6280" w:rsidRDefault="00444010">
      <w:pPr>
        <w:suppressAutoHyphens/>
        <w:ind w:firstLine="720"/>
        <w:jc w:val="both"/>
        <w:textAlignment w:val="center"/>
        <w:rPr>
          <w:szCs w:val="24"/>
        </w:rPr>
      </w:pPr>
      <w:r>
        <w:rPr>
          <w:color w:val="000000"/>
          <w:szCs w:val="24"/>
          <w:lang w:eastAsia="lt-LT"/>
        </w:rPr>
        <w:t>P a k e i č i u Lietuvos Respublikos kultūros ministerijos 2014–2020 metų Europos Sąjungos fondų investicijų veiksmų programos prioritetų įgyvendinimo priemonių įgyvendinimo plano, patvirtinto Lietuvos Respublikos kultūros ministro 2016 m. gegužės 12 d. įsakymu Nr. ĮV-380 „D</w:t>
      </w:r>
      <w:r>
        <w:rPr>
          <w:bCs/>
          <w:szCs w:val="24"/>
        </w:rPr>
        <w:t xml:space="preserve">ėl Lietuvos Respublikos kultūros ministerijos 2014–2020 metų Europos Sąjungos fondų investicijų veiksmų programos prioritetų įgyvendinimo priemonių įgyvendinimo plano ir </w:t>
      </w:r>
      <w:r>
        <w:rPr>
          <w:szCs w:val="24"/>
        </w:rPr>
        <w:t>Nacionalinių stebėsenos rodiklių skaičiavimo aprašo</w:t>
      </w:r>
      <w:r>
        <w:rPr>
          <w:bCs/>
          <w:szCs w:val="24"/>
        </w:rPr>
        <w:t xml:space="preserve"> patvirtinimo</w:t>
      </w:r>
      <w:r>
        <w:rPr>
          <w:color w:val="000000"/>
          <w:szCs w:val="24"/>
          <w:lang w:eastAsia="lt-LT"/>
        </w:rPr>
        <w:t>“, II skyriaus „2014-2020 m. Europos Sąjungos fondų investicijų veiksmų programos 7 prioriteto „Kokybiško užimtumo ir dalyvavimo darbo rinkoje skatinimas“ priemonės“ antrąjį skirsnį „P</w:t>
      </w:r>
      <w:r>
        <w:rPr>
          <w:szCs w:val="24"/>
          <w:lang w:eastAsia="lt-LT"/>
        </w:rPr>
        <w:t xml:space="preserve">riemonė Nr. 07.1.1-CPVA-R-305 </w:t>
      </w:r>
      <w:r>
        <w:rPr>
          <w:rFonts w:eastAsia="Calibri"/>
          <w:szCs w:val="24"/>
          <w:lang w:eastAsia="lt-LT"/>
        </w:rPr>
        <w:t>„Modernizuoti savivaldybių kultūros infrastruktūrą</w:t>
      </w:r>
      <w:r>
        <w:rPr>
          <w:szCs w:val="24"/>
          <w:lang w:eastAsia="lt-LT"/>
        </w:rPr>
        <w:t>“</w:t>
      </w:r>
      <w:r>
        <w:rPr>
          <w:color w:val="000000"/>
          <w:szCs w:val="24"/>
          <w:lang w:eastAsia="lt-LT"/>
        </w:rPr>
        <w:t xml:space="preserve"> ir jį išdėstau taip</w:t>
      </w:r>
      <w:r>
        <w:rPr>
          <w:szCs w:val="24"/>
        </w:rPr>
        <w:t>:</w:t>
      </w:r>
    </w:p>
    <w:p w:rsidR="002E6280" w:rsidRDefault="00444010">
      <w:pPr>
        <w:tabs>
          <w:tab w:val="left" w:pos="0"/>
          <w:tab w:val="left" w:pos="567"/>
        </w:tabs>
        <w:jc w:val="center"/>
        <w:rPr>
          <w:b/>
          <w:szCs w:val="24"/>
          <w:lang w:eastAsia="lt-LT"/>
        </w:rPr>
      </w:pPr>
      <w:r>
        <w:rPr>
          <w:b/>
          <w:szCs w:val="24"/>
          <w:lang w:eastAsia="lt-LT"/>
        </w:rPr>
        <w:t xml:space="preserve">„ANTRASIS SKIRSNIS </w:t>
      </w:r>
    </w:p>
    <w:p w:rsidR="002E6280" w:rsidRDefault="00444010">
      <w:pPr>
        <w:tabs>
          <w:tab w:val="left" w:pos="0"/>
          <w:tab w:val="left" w:pos="567"/>
        </w:tabs>
        <w:jc w:val="center"/>
        <w:rPr>
          <w:b/>
          <w:szCs w:val="24"/>
          <w:lang w:eastAsia="lt-LT"/>
        </w:rPr>
      </w:pPr>
      <w:r>
        <w:rPr>
          <w:b/>
          <w:szCs w:val="24"/>
          <w:lang w:eastAsia="lt-LT"/>
        </w:rPr>
        <w:t>PRIEMONĖ NR. 07.1.1-CPVA-R-305</w:t>
      </w:r>
    </w:p>
    <w:p w:rsidR="002E6280" w:rsidRDefault="00444010">
      <w:pPr>
        <w:tabs>
          <w:tab w:val="left" w:pos="0"/>
          <w:tab w:val="left" w:pos="567"/>
        </w:tabs>
        <w:jc w:val="center"/>
        <w:rPr>
          <w:b/>
          <w:szCs w:val="24"/>
          <w:lang w:eastAsia="lt-LT"/>
        </w:rPr>
      </w:pPr>
      <w:r>
        <w:rPr>
          <w:rFonts w:eastAsia="Calibri"/>
          <w:b/>
          <w:szCs w:val="24"/>
          <w:lang w:eastAsia="lt-LT"/>
        </w:rPr>
        <w:t>„MODERNIZUOTI SAVIVALDYBIŲ KULTŪROS INFRASTRUKTŪRĄ</w:t>
      </w:r>
      <w:r>
        <w:rPr>
          <w:b/>
          <w:szCs w:val="24"/>
          <w:lang w:eastAsia="lt-LT"/>
        </w:rPr>
        <w:t>“</w:t>
      </w:r>
    </w:p>
    <w:p w:rsidR="002E6280" w:rsidRDefault="002E6280">
      <w:pPr>
        <w:tabs>
          <w:tab w:val="left" w:pos="0"/>
          <w:tab w:val="left" w:pos="567"/>
        </w:tabs>
        <w:rPr>
          <w:szCs w:val="24"/>
          <w:lang w:eastAsia="lt-LT"/>
        </w:rPr>
      </w:pPr>
    </w:p>
    <w:p w:rsidR="002E6280" w:rsidRDefault="00444010">
      <w:pPr>
        <w:tabs>
          <w:tab w:val="left" w:pos="0"/>
          <w:tab w:val="left" w:pos="567"/>
        </w:tabs>
        <w:ind w:left="993" w:hanging="426"/>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E6280">
        <w:tc>
          <w:tcPr>
            <w:tcW w:w="9746" w:type="dxa"/>
            <w:tcBorders>
              <w:top w:val="single" w:sz="4" w:space="0" w:color="auto"/>
              <w:left w:val="single" w:sz="4" w:space="0" w:color="auto"/>
              <w:bottom w:val="nil"/>
              <w:right w:val="single" w:sz="4" w:space="0" w:color="auto"/>
            </w:tcBorders>
            <w:hideMark/>
          </w:tcPr>
          <w:p w:rsidR="002E6280" w:rsidRDefault="00444010">
            <w:pPr>
              <w:tabs>
                <w:tab w:val="left" w:pos="0"/>
                <w:tab w:val="left" w:pos="601"/>
              </w:tabs>
              <w:ind w:left="601" w:hanging="425"/>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2E6280">
        <w:tc>
          <w:tcPr>
            <w:tcW w:w="9746" w:type="dxa"/>
            <w:tcBorders>
              <w:top w:val="nil"/>
              <w:left w:val="single" w:sz="4" w:space="0" w:color="auto"/>
              <w:bottom w:val="nil"/>
              <w:right w:val="single" w:sz="4" w:space="0" w:color="auto"/>
            </w:tcBorders>
            <w:hideMark/>
          </w:tcPr>
          <w:p w:rsidR="002E6280" w:rsidRDefault="00444010">
            <w:pPr>
              <w:tabs>
                <w:tab w:val="left" w:pos="0"/>
                <w:tab w:val="left" w:pos="34"/>
                <w:tab w:val="left" w:pos="601"/>
              </w:tabs>
              <w:ind w:left="601" w:hanging="425"/>
              <w:jc w:val="both"/>
              <w:rPr>
                <w:szCs w:val="24"/>
                <w:lang w:eastAsia="lt-LT"/>
              </w:rPr>
            </w:pPr>
            <w:r>
              <w:rPr>
                <w:szCs w:val="24"/>
                <w:lang w:eastAsia="lt-LT"/>
              </w:rPr>
              <w:t>1.2.</w:t>
            </w:r>
            <w:r>
              <w:rPr>
                <w:szCs w:val="24"/>
                <w:lang w:eastAsia="lt-LT"/>
              </w:rPr>
              <w:tab/>
              <w:t>Įgyvendinant priemonę, prisidedama prie veiksmų programos 7 prioriteto 7.1.1 konkretaus uždavinio „Padidinti ūkinės veiklos įvairovę ir pagerinti sąlygas investicijų pritraukimui, siekiant kurti naujas darbo vietas tikslinėse teritorijose (miestuose)“ įgyvendinimo.</w:t>
            </w:r>
          </w:p>
        </w:tc>
      </w:tr>
      <w:tr w:rsidR="002E6280">
        <w:tc>
          <w:tcPr>
            <w:tcW w:w="9746" w:type="dxa"/>
            <w:tcBorders>
              <w:top w:val="nil"/>
              <w:left w:val="single" w:sz="4" w:space="0" w:color="auto"/>
              <w:bottom w:val="nil"/>
              <w:right w:val="single" w:sz="4" w:space="0" w:color="auto"/>
            </w:tcBorders>
            <w:hideMark/>
          </w:tcPr>
          <w:p w:rsidR="002E6280" w:rsidRDefault="00444010">
            <w:pPr>
              <w:tabs>
                <w:tab w:val="left" w:pos="0"/>
                <w:tab w:val="left" w:pos="601"/>
              </w:tabs>
              <w:ind w:left="601" w:hanging="425"/>
              <w:jc w:val="both"/>
              <w:rPr>
                <w:szCs w:val="24"/>
                <w:lang w:eastAsia="lt-LT"/>
              </w:rPr>
            </w:pPr>
            <w:r>
              <w:rPr>
                <w:szCs w:val="24"/>
                <w:lang w:eastAsia="lt-LT"/>
              </w:rPr>
              <w:t>1.3.</w:t>
            </w:r>
            <w:r>
              <w:rPr>
                <w:szCs w:val="24"/>
                <w:lang w:eastAsia="lt-LT"/>
              </w:rPr>
              <w:tab/>
              <w:t>Remiamos veiklos: modernios, atitinkančios šiuolaikinės visuomenės poreikius kultūros infrastruktūros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w:t>
            </w:r>
          </w:p>
        </w:tc>
      </w:tr>
      <w:tr w:rsidR="002E6280">
        <w:tc>
          <w:tcPr>
            <w:tcW w:w="9746" w:type="dxa"/>
            <w:tcBorders>
              <w:top w:val="nil"/>
              <w:left w:val="single" w:sz="4" w:space="0" w:color="auto"/>
              <w:bottom w:val="nil"/>
              <w:right w:val="single" w:sz="4" w:space="0" w:color="auto"/>
            </w:tcBorders>
            <w:hideMark/>
          </w:tcPr>
          <w:p w:rsidR="002E6280" w:rsidRDefault="00444010">
            <w:pPr>
              <w:tabs>
                <w:tab w:val="left" w:pos="0"/>
                <w:tab w:val="left" w:pos="601"/>
              </w:tabs>
              <w:ind w:left="601" w:hanging="425"/>
              <w:jc w:val="both"/>
              <w:rPr>
                <w:szCs w:val="24"/>
                <w:lang w:eastAsia="lt-LT"/>
              </w:rPr>
            </w:pPr>
            <w:r>
              <w:rPr>
                <w:szCs w:val="24"/>
                <w:lang w:eastAsia="lt-LT"/>
              </w:rPr>
              <w:t>1.4.</w:t>
            </w:r>
            <w:r>
              <w:rPr>
                <w:szCs w:val="24"/>
                <w:lang w:eastAsia="lt-LT"/>
              </w:rPr>
              <w:tab/>
              <w:t>Galimi pareiškėjai:</w:t>
            </w:r>
          </w:p>
          <w:p w:rsidR="002E6280" w:rsidRDefault="00444010">
            <w:pPr>
              <w:tabs>
                <w:tab w:val="left" w:pos="0"/>
                <w:tab w:val="left" w:pos="1168"/>
              </w:tabs>
              <w:ind w:left="1168" w:hanging="567"/>
              <w:jc w:val="both"/>
              <w:rPr>
                <w:szCs w:val="24"/>
                <w:lang w:eastAsia="lt-LT"/>
              </w:rPr>
            </w:pPr>
            <w:r>
              <w:rPr>
                <w:szCs w:val="24"/>
                <w:lang w:eastAsia="lt-LT"/>
              </w:rPr>
              <w:t>1.4.1.</w:t>
            </w:r>
            <w:r>
              <w:rPr>
                <w:szCs w:val="24"/>
                <w:lang w:eastAsia="lt-LT"/>
              </w:rPr>
              <w:tab/>
              <w:t>viešieji juridiniai asmenys, kurių savininko (dalininko) teises ir pareigas įgyvendina savivaldybės taryba arba Kultūros ministerija ir kurių projektai įtraukti į atitinkamą integruotą teritorijų vystymo programą;</w:t>
            </w:r>
          </w:p>
          <w:p w:rsidR="002E6280" w:rsidRDefault="00444010">
            <w:pPr>
              <w:tabs>
                <w:tab w:val="left" w:pos="0"/>
                <w:tab w:val="left" w:pos="1168"/>
              </w:tabs>
              <w:ind w:left="1168" w:hanging="567"/>
              <w:jc w:val="both"/>
              <w:rPr>
                <w:szCs w:val="24"/>
                <w:lang w:eastAsia="lt-LT"/>
              </w:rPr>
            </w:pPr>
            <w:r>
              <w:rPr>
                <w:szCs w:val="24"/>
                <w:lang w:eastAsia="lt-LT"/>
              </w:rPr>
              <w:t>1.4.2.</w:t>
            </w:r>
            <w:r>
              <w:rPr>
                <w:szCs w:val="24"/>
                <w:lang w:eastAsia="lt-LT"/>
              </w:rPr>
              <w:tab/>
              <w:t>religinės bendruomenės ar bendrijos, kurių projektai įtraukti į atitinkamą integruotą teritorijų vystymo programą.</w:t>
            </w:r>
          </w:p>
        </w:tc>
      </w:tr>
      <w:tr w:rsidR="002E6280">
        <w:tc>
          <w:tcPr>
            <w:tcW w:w="9746" w:type="dxa"/>
            <w:tcBorders>
              <w:top w:val="nil"/>
              <w:left w:val="single" w:sz="4" w:space="0" w:color="auto"/>
              <w:bottom w:val="single" w:sz="4" w:space="0" w:color="auto"/>
              <w:right w:val="single" w:sz="4" w:space="0" w:color="auto"/>
            </w:tcBorders>
            <w:hideMark/>
          </w:tcPr>
          <w:p w:rsidR="002E6280" w:rsidRDefault="00444010">
            <w:pPr>
              <w:tabs>
                <w:tab w:val="left" w:pos="176"/>
                <w:tab w:val="left" w:pos="601"/>
              </w:tabs>
              <w:ind w:left="601" w:hanging="425"/>
              <w:jc w:val="both"/>
              <w:rPr>
                <w:szCs w:val="24"/>
                <w:lang w:eastAsia="lt-LT"/>
              </w:rPr>
            </w:pPr>
            <w:r>
              <w:rPr>
                <w:szCs w:val="24"/>
                <w:lang w:eastAsia="lt-LT"/>
              </w:rPr>
              <w:t>1.5.</w:t>
            </w:r>
            <w:r>
              <w:rPr>
                <w:szCs w:val="24"/>
                <w:lang w:eastAsia="lt-LT"/>
              </w:rPr>
              <w:tab/>
              <w:t>Galimi partneriai – viešieji ir privatūs juridiniai asmenys.</w:t>
            </w:r>
          </w:p>
        </w:tc>
      </w:tr>
    </w:tbl>
    <w:p w:rsidR="002E6280" w:rsidRDefault="002E6280">
      <w:pPr>
        <w:tabs>
          <w:tab w:val="left" w:pos="0"/>
          <w:tab w:val="left" w:pos="567"/>
        </w:tabs>
        <w:jc w:val="both"/>
        <w:rPr>
          <w:szCs w:val="24"/>
          <w:lang w:eastAsia="lt-LT"/>
        </w:rPr>
      </w:pPr>
    </w:p>
    <w:p w:rsidR="002E6280" w:rsidRDefault="002E6280">
      <w:pPr>
        <w:tabs>
          <w:tab w:val="left" w:pos="0"/>
          <w:tab w:val="left" w:pos="567"/>
        </w:tabs>
        <w:jc w:val="both"/>
        <w:rPr>
          <w:szCs w:val="24"/>
          <w:lang w:eastAsia="lt-LT"/>
        </w:rPr>
      </w:pPr>
    </w:p>
    <w:p w:rsidR="002E6280" w:rsidRDefault="002E6280">
      <w:pPr>
        <w:tabs>
          <w:tab w:val="left" w:pos="0"/>
          <w:tab w:val="left" w:pos="567"/>
        </w:tabs>
        <w:jc w:val="both"/>
        <w:rPr>
          <w:szCs w:val="24"/>
          <w:lang w:eastAsia="lt-LT"/>
        </w:rPr>
      </w:pPr>
    </w:p>
    <w:p w:rsidR="002E6280" w:rsidRDefault="00444010">
      <w:pPr>
        <w:tabs>
          <w:tab w:val="left" w:pos="0"/>
          <w:tab w:val="left" w:pos="567"/>
          <w:tab w:val="left" w:pos="1276"/>
        </w:tabs>
        <w:ind w:left="993" w:hanging="426"/>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2E6280">
        <w:tc>
          <w:tcPr>
            <w:tcW w:w="974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567"/>
              </w:tabs>
              <w:spacing w:line="276" w:lineRule="auto"/>
              <w:ind w:firstLine="601"/>
              <w:jc w:val="both"/>
              <w:rPr>
                <w:szCs w:val="24"/>
                <w:lang w:eastAsia="lt-LT"/>
              </w:rPr>
            </w:pPr>
            <w:r>
              <w:rPr>
                <w:szCs w:val="24"/>
                <w:lang w:eastAsia="lt-LT"/>
              </w:rPr>
              <w:t>2.1.Negrąžinamoji subsidija</w:t>
            </w:r>
          </w:p>
        </w:tc>
      </w:tr>
    </w:tbl>
    <w:p w:rsidR="002E6280" w:rsidRDefault="002E6280">
      <w:pPr>
        <w:tabs>
          <w:tab w:val="left" w:pos="0"/>
          <w:tab w:val="left" w:pos="567"/>
        </w:tabs>
        <w:jc w:val="both"/>
        <w:rPr>
          <w:szCs w:val="24"/>
          <w:lang w:eastAsia="lt-LT"/>
        </w:rPr>
      </w:pPr>
    </w:p>
    <w:p w:rsidR="002E6280" w:rsidRDefault="00444010">
      <w:pPr>
        <w:tabs>
          <w:tab w:val="left" w:pos="993"/>
        </w:tabs>
        <w:ind w:left="927" w:hanging="360"/>
        <w:jc w:val="both"/>
        <w:rPr>
          <w:szCs w:val="24"/>
          <w:lang w:eastAsia="lt-LT"/>
        </w:rPr>
      </w:pPr>
      <w:r>
        <w:rPr>
          <w:szCs w:val="24"/>
          <w:lang w:eastAsia="lt-LT"/>
        </w:rPr>
        <w:t>3.</w:t>
      </w:r>
      <w:r>
        <w:rPr>
          <w:szCs w:val="24"/>
          <w:lang w:eastAsia="lt-LT"/>
        </w:rPr>
        <w:tab/>
        <w:t xml:space="preserve">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E6280">
        <w:tc>
          <w:tcPr>
            <w:tcW w:w="1002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567"/>
              </w:tabs>
              <w:spacing w:line="276" w:lineRule="auto"/>
              <w:ind w:firstLine="601"/>
              <w:jc w:val="both"/>
              <w:rPr>
                <w:szCs w:val="24"/>
                <w:lang w:eastAsia="lt-LT"/>
              </w:rPr>
            </w:pPr>
            <w:r>
              <w:rPr>
                <w:szCs w:val="24"/>
                <w:lang w:eastAsia="lt-LT"/>
              </w:rPr>
              <w:t>Regionų projektų planavimas</w:t>
            </w:r>
          </w:p>
        </w:tc>
      </w:tr>
    </w:tbl>
    <w:p w:rsidR="002E6280" w:rsidRDefault="002E6280">
      <w:pPr>
        <w:tabs>
          <w:tab w:val="left" w:pos="0"/>
          <w:tab w:val="left" w:pos="567"/>
        </w:tabs>
        <w:jc w:val="both"/>
        <w:rPr>
          <w:szCs w:val="24"/>
          <w:lang w:eastAsia="lt-LT"/>
        </w:rPr>
      </w:pPr>
    </w:p>
    <w:p w:rsidR="002E6280" w:rsidRDefault="00444010">
      <w:pPr>
        <w:tabs>
          <w:tab w:val="left" w:pos="0"/>
          <w:tab w:val="left" w:pos="567"/>
          <w:tab w:val="left" w:pos="993"/>
        </w:tabs>
        <w:ind w:left="927" w:hanging="360"/>
        <w:jc w:val="both"/>
        <w:rPr>
          <w:szCs w:val="24"/>
          <w:lang w:eastAsia="lt-LT"/>
        </w:rPr>
      </w:pPr>
      <w:r>
        <w:rPr>
          <w:szCs w:val="24"/>
          <w:lang w:eastAsia="lt-LT"/>
        </w:rPr>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E6280">
        <w:tc>
          <w:tcPr>
            <w:tcW w:w="1002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567"/>
              </w:tabs>
              <w:spacing w:line="276" w:lineRule="auto"/>
              <w:ind w:firstLine="601"/>
              <w:jc w:val="both"/>
              <w:rPr>
                <w:szCs w:val="24"/>
                <w:lang w:eastAsia="lt-LT"/>
              </w:rPr>
            </w:pPr>
            <w:r>
              <w:rPr>
                <w:szCs w:val="24"/>
                <w:lang w:eastAsia="lt-LT"/>
              </w:rPr>
              <w:t>Viešoji įstaiga Centrinė projektų valdymo agentūra</w:t>
            </w:r>
          </w:p>
        </w:tc>
      </w:tr>
    </w:tbl>
    <w:p w:rsidR="002E6280" w:rsidRDefault="002E6280">
      <w:pPr>
        <w:tabs>
          <w:tab w:val="left" w:pos="0"/>
          <w:tab w:val="left" w:pos="567"/>
        </w:tabs>
        <w:ind w:left="644"/>
        <w:jc w:val="both"/>
        <w:rPr>
          <w:szCs w:val="24"/>
          <w:lang w:eastAsia="lt-LT"/>
        </w:rPr>
      </w:pPr>
    </w:p>
    <w:p w:rsidR="002E6280" w:rsidRDefault="00444010">
      <w:pPr>
        <w:tabs>
          <w:tab w:val="left" w:pos="993"/>
        </w:tabs>
        <w:ind w:left="993" w:hanging="426"/>
        <w:jc w:val="both"/>
        <w:rPr>
          <w:color w:val="000000"/>
          <w:szCs w:val="24"/>
          <w:lang w:eastAsia="lt-LT"/>
        </w:rPr>
      </w:pPr>
      <w:r>
        <w:rPr>
          <w:color w:val="000000"/>
          <w:szCs w:val="24"/>
          <w:lang w:eastAsia="lt-LT"/>
        </w:rPr>
        <w:t xml:space="preserve">5. </w:t>
      </w:r>
      <w:r>
        <w:rPr>
          <w:color w:val="000000"/>
          <w:szCs w:val="24"/>
          <w:lang w:eastAsia="lt-LT"/>
        </w:rPr>
        <w:tab/>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2E6280">
        <w:tc>
          <w:tcPr>
            <w:tcW w:w="1002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885"/>
              </w:tabs>
              <w:ind w:firstLine="601"/>
              <w:jc w:val="both"/>
              <w:rPr>
                <w:b/>
                <w:szCs w:val="24"/>
                <w:lang w:eastAsia="lt-LT"/>
              </w:rPr>
            </w:pPr>
            <w:r>
              <w:rPr>
                <w:szCs w:val="24"/>
                <w:lang w:eastAsia="lt-LT"/>
              </w:rPr>
              <w:t>Viešųjų juridinių asmenų, kurių savininko (dalininko) teises ir pareigas įgyvendina savivaldybės taryba arba Kultūros ministerija, objektai bei religinių bendruomenių ar bendrijų objektai, kurių projektai įtraukti į atitinkamą integruotą teritorijų vystymo programą, investicijos į kuriuos planuojamos regioninio planavimo būdu pagal priemonę</w:t>
            </w:r>
            <w:r>
              <w:rPr>
                <w:color w:val="000000"/>
                <w:szCs w:val="24"/>
                <w:lang w:eastAsia="lt-LT"/>
              </w:rPr>
              <w:t xml:space="preserve"> „Modernizuoti savivaldybių kultūros infrastruktūrą“, negalės būti finansuojami pagal Kultūros ministerijos įgyvendinamas priemones „Aktualizuoti savivaldybių kultūros paveldo objektus“, „Aktualizuoti viešąjį ir privatų kultūros paveldą“ bei „Modernizuoti viešąją ir privačią kultūros infrastruktūrą“.</w:t>
            </w:r>
          </w:p>
        </w:tc>
      </w:tr>
    </w:tbl>
    <w:p w:rsidR="002E6280" w:rsidRDefault="002E6280">
      <w:pPr>
        <w:ind w:left="788"/>
        <w:contextualSpacing/>
        <w:rPr>
          <w:color w:val="000000"/>
          <w:szCs w:val="24"/>
          <w:lang w:eastAsia="lt-LT"/>
        </w:rPr>
      </w:pPr>
    </w:p>
    <w:p w:rsidR="002E6280" w:rsidRDefault="00444010">
      <w:pPr>
        <w:tabs>
          <w:tab w:val="left" w:pos="993"/>
        </w:tabs>
        <w:ind w:left="993" w:hanging="426"/>
        <w:jc w:val="both"/>
        <w:rPr>
          <w:szCs w:val="24"/>
          <w:lang w:eastAsia="lt-LT"/>
        </w:rPr>
      </w:pPr>
      <w:r>
        <w:rPr>
          <w:szCs w:val="24"/>
          <w:lang w:eastAsia="lt-LT"/>
        </w:rPr>
        <w:t xml:space="preserve">6. </w:t>
      </w:r>
      <w:r>
        <w:rPr>
          <w:szCs w:val="24"/>
          <w:lang w:eastAsia="lt-LT"/>
        </w:rPr>
        <w:tab/>
        <w:t>P</w:t>
      </w:r>
      <w:r>
        <w:rPr>
          <w:bCs/>
          <w:szCs w:val="24"/>
          <w:lang w:eastAsia="lt-LT"/>
        </w:rPr>
        <w:t>riemonės įgyvendinimo stebėsenos rodikliai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3402"/>
        <w:gridCol w:w="1276"/>
        <w:gridCol w:w="1843"/>
        <w:gridCol w:w="1876"/>
      </w:tblGrid>
      <w:tr w:rsidR="002E6280">
        <w:tc>
          <w:tcPr>
            <w:tcW w:w="138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284"/>
              </w:tabs>
              <w:jc w:val="center"/>
              <w:rPr>
                <w:szCs w:val="24"/>
                <w:lang w:eastAsia="lt-LT"/>
              </w:rPr>
            </w:pPr>
            <w:r>
              <w:rPr>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 xml:space="preserve">Tarpinė reikšmė </w:t>
            </w:r>
          </w:p>
          <w:p w:rsidR="002E6280" w:rsidRDefault="00444010">
            <w:pPr>
              <w:tabs>
                <w:tab w:val="left" w:pos="0"/>
              </w:tabs>
              <w:jc w:val="center"/>
              <w:rPr>
                <w:szCs w:val="24"/>
                <w:lang w:eastAsia="lt-LT"/>
              </w:rPr>
            </w:pPr>
            <w:r>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Galutinė reikšmė 2023 m. gruodžio 31 d.</w:t>
            </w:r>
          </w:p>
        </w:tc>
      </w:tr>
      <w:tr w:rsidR="002E6280">
        <w:tc>
          <w:tcPr>
            <w:tcW w:w="138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color w:val="FF0000"/>
                <w:szCs w:val="24"/>
                <w:lang w:eastAsia="lt-LT"/>
              </w:rPr>
            </w:pPr>
            <w:r>
              <w:rPr>
                <w:szCs w:val="24"/>
                <w:lang w:eastAsia="lt-LT"/>
              </w:rPr>
              <w:t>R.N.301</w:t>
            </w:r>
          </w:p>
        </w:tc>
        <w:tc>
          <w:tcPr>
            <w:tcW w:w="3402" w:type="dxa"/>
            <w:tcBorders>
              <w:top w:val="single" w:sz="4" w:space="0" w:color="auto"/>
              <w:left w:val="single" w:sz="4" w:space="0" w:color="auto"/>
              <w:bottom w:val="single" w:sz="4" w:space="0" w:color="auto"/>
              <w:right w:val="single" w:sz="4" w:space="0" w:color="auto"/>
            </w:tcBorders>
            <w:hideMark/>
          </w:tcPr>
          <w:p w:rsidR="002E6280" w:rsidRDefault="00444010">
            <w:pPr>
              <w:rPr>
                <w:color w:val="FF0000"/>
                <w:szCs w:val="24"/>
              </w:rPr>
            </w:pPr>
            <w:r>
              <w:rPr>
                <w:color w:val="000000"/>
                <w:szCs w:val="24"/>
              </w:rPr>
              <w:t>„Gyventojai (≥15 m.), per pastaruosius 12 mėnesių lankę, žiūrėję scenos meno renginių“</w:t>
            </w:r>
          </w:p>
        </w:tc>
        <w:tc>
          <w:tcPr>
            <w:tcW w:w="12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color w:val="FF0000"/>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E6280" w:rsidRDefault="002E6280">
            <w:pPr>
              <w:tabs>
                <w:tab w:val="left" w:pos="0"/>
              </w:tabs>
              <w:jc w:val="center"/>
              <w:rPr>
                <w:szCs w:val="24"/>
                <w:lang w:eastAsia="lt-LT"/>
              </w:rPr>
            </w:pPr>
          </w:p>
          <w:p w:rsidR="002E6280" w:rsidRDefault="00444010">
            <w:pPr>
              <w:tabs>
                <w:tab w:val="left" w:pos="0"/>
              </w:tabs>
              <w:jc w:val="center"/>
              <w:rPr>
                <w:szCs w:val="24"/>
                <w:lang w:eastAsia="lt-LT"/>
              </w:rPr>
            </w:pPr>
            <w:r>
              <w:rPr>
                <w:szCs w:val="24"/>
                <w:lang w:eastAsia="lt-LT"/>
              </w:rPr>
              <w:t>65,1</w:t>
            </w:r>
          </w:p>
        </w:tc>
        <w:tc>
          <w:tcPr>
            <w:tcW w:w="1876" w:type="dxa"/>
            <w:tcBorders>
              <w:top w:val="single" w:sz="4" w:space="0" w:color="auto"/>
              <w:left w:val="single" w:sz="4" w:space="0" w:color="auto"/>
              <w:bottom w:val="single" w:sz="4" w:space="0" w:color="auto"/>
              <w:right w:val="single" w:sz="4" w:space="0" w:color="auto"/>
            </w:tcBorders>
          </w:tcPr>
          <w:p w:rsidR="002E6280" w:rsidRDefault="002E6280">
            <w:pPr>
              <w:tabs>
                <w:tab w:val="left" w:pos="0"/>
              </w:tabs>
              <w:jc w:val="center"/>
              <w:rPr>
                <w:szCs w:val="24"/>
                <w:lang w:eastAsia="lt-LT"/>
              </w:rPr>
            </w:pPr>
          </w:p>
          <w:p w:rsidR="002E6280" w:rsidRDefault="00444010">
            <w:pPr>
              <w:tabs>
                <w:tab w:val="left" w:pos="0"/>
              </w:tabs>
              <w:jc w:val="center"/>
              <w:rPr>
                <w:szCs w:val="24"/>
                <w:lang w:eastAsia="lt-LT"/>
              </w:rPr>
            </w:pPr>
            <w:r>
              <w:rPr>
                <w:szCs w:val="24"/>
                <w:lang w:eastAsia="lt-LT"/>
              </w:rPr>
              <w:t>69,2</w:t>
            </w:r>
          </w:p>
        </w:tc>
      </w:tr>
      <w:tr w:rsidR="002E6280">
        <w:tc>
          <w:tcPr>
            <w:tcW w:w="138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R.N.302</w:t>
            </w:r>
          </w:p>
        </w:tc>
        <w:tc>
          <w:tcPr>
            <w:tcW w:w="3402" w:type="dxa"/>
            <w:tcBorders>
              <w:top w:val="single" w:sz="4" w:space="0" w:color="auto"/>
              <w:left w:val="single" w:sz="4" w:space="0" w:color="auto"/>
              <w:bottom w:val="single" w:sz="4" w:space="0" w:color="auto"/>
              <w:right w:val="single" w:sz="4" w:space="0" w:color="auto"/>
            </w:tcBorders>
            <w:hideMark/>
          </w:tcPr>
          <w:p w:rsidR="002E6280" w:rsidRDefault="00444010">
            <w:pPr>
              <w:rPr>
                <w:color w:val="000000"/>
                <w:szCs w:val="24"/>
              </w:rPr>
            </w:pPr>
            <w:r>
              <w:rPr>
                <w:color w:val="000000"/>
                <w:szCs w:val="24"/>
              </w:rPr>
              <w:t>„Gyventojai (≥15 m.), per pastaruosius 12 mėnesių lankęsi muziejuose, galerijose ir parodose“</w:t>
            </w:r>
          </w:p>
        </w:tc>
        <w:tc>
          <w:tcPr>
            <w:tcW w:w="12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E6280" w:rsidRDefault="002E6280">
            <w:pPr>
              <w:tabs>
                <w:tab w:val="left" w:pos="0"/>
              </w:tabs>
              <w:jc w:val="center"/>
              <w:rPr>
                <w:szCs w:val="24"/>
                <w:lang w:eastAsia="lt-LT"/>
              </w:rPr>
            </w:pPr>
          </w:p>
          <w:p w:rsidR="002E6280" w:rsidRDefault="00444010">
            <w:pPr>
              <w:tabs>
                <w:tab w:val="left" w:pos="0"/>
              </w:tabs>
              <w:jc w:val="center"/>
              <w:rPr>
                <w:szCs w:val="24"/>
                <w:lang w:eastAsia="lt-LT"/>
              </w:rPr>
            </w:pPr>
            <w:r>
              <w:rPr>
                <w:szCs w:val="24"/>
                <w:lang w:eastAsia="lt-LT"/>
              </w:rPr>
              <w:t>50,5</w:t>
            </w:r>
          </w:p>
        </w:tc>
        <w:tc>
          <w:tcPr>
            <w:tcW w:w="1876" w:type="dxa"/>
            <w:tcBorders>
              <w:top w:val="single" w:sz="4" w:space="0" w:color="auto"/>
              <w:left w:val="single" w:sz="4" w:space="0" w:color="auto"/>
              <w:bottom w:val="single" w:sz="4" w:space="0" w:color="auto"/>
              <w:right w:val="single" w:sz="4" w:space="0" w:color="auto"/>
            </w:tcBorders>
          </w:tcPr>
          <w:p w:rsidR="002E6280" w:rsidRDefault="002E6280">
            <w:pPr>
              <w:tabs>
                <w:tab w:val="left" w:pos="0"/>
              </w:tabs>
              <w:jc w:val="center"/>
              <w:rPr>
                <w:szCs w:val="24"/>
                <w:lang w:eastAsia="lt-LT"/>
              </w:rPr>
            </w:pPr>
          </w:p>
          <w:p w:rsidR="002E6280" w:rsidRDefault="00444010">
            <w:pPr>
              <w:tabs>
                <w:tab w:val="left" w:pos="0"/>
              </w:tabs>
              <w:jc w:val="center"/>
              <w:rPr>
                <w:szCs w:val="24"/>
                <w:lang w:eastAsia="lt-LT"/>
              </w:rPr>
            </w:pPr>
            <w:r>
              <w:rPr>
                <w:szCs w:val="24"/>
                <w:lang w:eastAsia="lt-LT"/>
              </w:rPr>
              <w:t>56,2</w:t>
            </w:r>
          </w:p>
        </w:tc>
      </w:tr>
      <w:tr w:rsidR="002E6280">
        <w:tc>
          <w:tcPr>
            <w:tcW w:w="138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R.N.303</w:t>
            </w:r>
          </w:p>
        </w:tc>
        <w:tc>
          <w:tcPr>
            <w:tcW w:w="3402" w:type="dxa"/>
            <w:tcBorders>
              <w:top w:val="single" w:sz="4" w:space="0" w:color="auto"/>
              <w:left w:val="single" w:sz="4" w:space="0" w:color="auto"/>
              <w:bottom w:val="single" w:sz="4" w:space="0" w:color="auto"/>
              <w:right w:val="single" w:sz="4" w:space="0" w:color="auto"/>
            </w:tcBorders>
            <w:hideMark/>
          </w:tcPr>
          <w:p w:rsidR="002E6280" w:rsidRDefault="00444010">
            <w:pPr>
              <w:rPr>
                <w:color w:val="000000"/>
                <w:szCs w:val="24"/>
              </w:rPr>
            </w:pPr>
            <w:r>
              <w:rPr>
                <w:color w:val="000000"/>
                <w:szCs w:val="24"/>
              </w:rPr>
              <w:t>„Gyventojai (≥15 m.), per pastaruosius 12 mėnesių lankęsi bibliotekoje“</w:t>
            </w:r>
          </w:p>
        </w:tc>
        <w:tc>
          <w:tcPr>
            <w:tcW w:w="12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rsidR="002E6280" w:rsidRDefault="002E6280">
            <w:pPr>
              <w:tabs>
                <w:tab w:val="left" w:pos="0"/>
              </w:tabs>
              <w:jc w:val="center"/>
              <w:rPr>
                <w:szCs w:val="24"/>
                <w:lang w:eastAsia="lt-LT"/>
              </w:rPr>
            </w:pPr>
          </w:p>
          <w:p w:rsidR="002E6280" w:rsidRDefault="00444010">
            <w:pPr>
              <w:tabs>
                <w:tab w:val="left" w:pos="0"/>
              </w:tabs>
              <w:jc w:val="center"/>
              <w:rPr>
                <w:szCs w:val="24"/>
                <w:lang w:eastAsia="lt-LT"/>
              </w:rPr>
            </w:pPr>
            <w:r>
              <w:rPr>
                <w:szCs w:val="24"/>
                <w:lang w:eastAsia="lt-LT"/>
              </w:rPr>
              <w:t>38,6</w:t>
            </w:r>
          </w:p>
        </w:tc>
        <w:tc>
          <w:tcPr>
            <w:tcW w:w="1876" w:type="dxa"/>
            <w:tcBorders>
              <w:top w:val="single" w:sz="4" w:space="0" w:color="auto"/>
              <w:left w:val="single" w:sz="4" w:space="0" w:color="auto"/>
              <w:bottom w:val="single" w:sz="4" w:space="0" w:color="auto"/>
              <w:right w:val="single" w:sz="4" w:space="0" w:color="auto"/>
            </w:tcBorders>
          </w:tcPr>
          <w:p w:rsidR="002E6280" w:rsidRDefault="002E6280">
            <w:pPr>
              <w:tabs>
                <w:tab w:val="left" w:pos="0"/>
              </w:tabs>
              <w:jc w:val="center"/>
              <w:rPr>
                <w:szCs w:val="24"/>
                <w:lang w:eastAsia="lt-LT"/>
              </w:rPr>
            </w:pPr>
          </w:p>
          <w:p w:rsidR="002E6280" w:rsidRDefault="00444010">
            <w:pPr>
              <w:tabs>
                <w:tab w:val="left" w:pos="0"/>
              </w:tabs>
              <w:jc w:val="center"/>
              <w:rPr>
                <w:szCs w:val="24"/>
                <w:lang w:eastAsia="lt-LT"/>
              </w:rPr>
            </w:pPr>
            <w:r>
              <w:rPr>
                <w:szCs w:val="24"/>
                <w:lang w:eastAsia="lt-LT"/>
              </w:rPr>
              <w:t>41,8</w:t>
            </w:r>
          </w:p>
        </w:tc>
      </w:tr>
      <w:tr w:rsidR="002E6280">
        <w:tc>
          <w:tcPr>
            <w:tcW w:w="138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P.N.304</w:t>
            </w:r>
          </w:p>
        </w:tc>
        <w:tc>
          <w:tcPr>
            <w:tcW w:w="3402" w:type="dxa"/>
            <w:tcBorders>
              <w:top w:val="single" w:sz="4" w:space="0" w:color="auto"/>
              <w:left w:val="single" w:sz="4" w:space="0" w:color="auto"/>
              <w:bottom w:val="single" w:sz="4" w:space="0" w:color="auto"/>
              <w:right w:val="single" w:sz="4" w:space="0" w:color="auto"/>
            </w:tcBorders>
            <w:hideMark/>
          </w:tcPr>
          <w:p w:rsidR="002E6280" w:rsidRDefault="00444010">
            <w:pPr>
              <w:rPr>
                <w:color w:val="000000"/>
                <w:szCs w:val="24"/>
              </w:rPr>
            </w:pPr>
            <w:r>
              <w:rPr>
                <w:color w:val="000000"/>
                <w:szCs w:val="24"/>
              </w:rPr>
              <w:t>„Modernizuoti kultūros infrastruktūros objektai“</w:t>
            </w:r>
          </w:p>
        </w:tc>
        <w:tc>
          <w:tcPr>
            <w:tcW w:w="12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16</w:t>
            </w:r>
          </w:p>
        </w:tc>
      </w:tr>
    </w:tbl>
    <w:p w:rsidR="002E6280" w:rsidRDefault="002E6280"/>
    <w:p w:rsidR="002E6280" w:rsidRDefault="00444010">
      <w:pPr>
        <w:tabs>
          <w:tab w:val="left" w:pos="567"/>
          <w:tab w:val="left" w:pos="993"/>
          <w:tab w:val="left" w:pos="1134"/>
        </w:tabs>
        <w:ind w:left="993" w:hanging="426"/>
        <w:jc w:val="both"/>
        <w:rPr>
          <w:bCs/>
          <w:szCs w:val="24"/>
          <w:lang w:eastAsia="lt-LT"/>
        </w:rPr>
      </w:pPr>
      <w:r>
        <w:rPr>
          <w:bCs/>
          <w:szCs w:val="24"/>
          <w:lang w:eastAsia="lt-LT"/>
        </w:rPr>
        <w:t xml:space="preserve">7. </w:t>
      </w:r>
      <w:r>
        <w:rPr>
          <w:bCs/>
          <w:szCs w:val="24"/>
          <w:lang w:eastAsia="lt-LT"/>
        </w:rPr>
        <w:tab/>
        <w:t>Priemonės finansavimo šaltiniai</w:t>
      </w:r>
    </w:p>
    <w:p w:rsidR="002E6280" w:rsidRDefault="00444010">
      <w:pPr>
        <w:tabs>
          <w:tab w:val="left" w:pos="0"/>
          <w:tab w:val="left" w:pos="567"/>
        </w:tabs>
        <w:ind w:firstLine="4320"/>
        <w:jc w:val="both"/>
        <w:rPr>
          <w:szCs w:val="24"/>
          <w:lang w:eastAsia="lt-LT"/>
        </w:rPr>
      </w:pPr>
      <w:r>
        <w:rPr>
          <w:szCs w:val="24"/>
          <w:lang w:eastAsia="lt-LT"/>
        </w:rPr>
        <w:t>(eurais)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33"/>
        <w:gridCol w:w="284"/>
        <w:gridCol w:w="1418"/>
        <w:gridCol w:w="1701"/>
        <w:gridCol w:w="1559"/>
        <w:gridCol w:w="1134"/>
        <w:gridCol w:w="1134"/>
      </w:tblGrid>
      <w:tr w:rsidR="002E6280">
        <w:trPr>
          <w:trHeight w:val="454"/>
          <w:tblHeader/>
        </w:trPr>
        <w:tc>
          <w:tcPr>
            <w:tcW w:w="2551" w:type="dxa"/>
            <w:gridSpan w:val="2"/>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142"/>
              </w:tabs>
              <w:jc w:val="center"/>
              <w:rPr>
                <w:bCs/>
                <w:szCs w:val="24"/>
                <w:lang w:eastAsia="lt-LT"/>
              </w:rPr>
            </w:pPr>
            <w:r>
              <w:rPr>
                <w:bCs/>
                <w:szCs w:val="24"/>
                <w:lang w:eastAsia="lt-LT"/>
              </w:rPr>
              <w:t>Projektams skiriamas finansavimas</w:t>
            </w:r>
          </w:p>
        </w:tc>
        <w:tc>
          <w:tcPr>
            <w:tcW w:w="7230" w:type="dxa"/>
            <w:gridSpan w:val="6"/>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142"/>
              </w:tabs>
              <w:jc w:val="center"/>
              <w:rPr>
                <w:bCs/>
                <w:szCs w:val="24"/>
                <w:lang w:eastAsia="lt-LT"/>
              </w:rPr>
            </w:pPr>
            <w:r>
              <w:rPr>
                <w:bCs/>
                <w:szCs w:val="24"/>
                <w:lang w:eastAsia="lt-LT"/>
              </w:rPr>
              <w:t>Kiti projektų finansavimo šaltiniai</w:t>
            </w:r>
          </w:p>
        </w:tc>
      </w:tr>
      <w:tr w:rsidR="002E6280">
        <w:trPr>
          <w:trHeight w:val="320"/>
          <w:tblHeader/>
        </w:trPr>
        <w:tc>
          <w:tcPr>
            <w:tcW w:w="1418" w:type="dxa"/>
            <w:vMerge w:val="restart"/>
            <w:tcBorders>
              <w:top w:val="single" w:sz="4" w:space="0" w:color="auto"/>
              <w:left w:val="single" w:sz="4" w:space="0" w:color="auto"/>
              <w:bottom w:val="single" w:sz="4" w:space="0" w:color="auto"/>
              <w:right w:val="single" w:sz="4" w:space="0" w:color="auto"/>
            </w:tcBorders>
          </w:tcPr>
          <w:p w:rsidR="002E6280" w:rsidRDefault="002E6280">
            <w:pPr>
              <w:ind w:left="-108" w:right="-108"/>
              <w:jc w:val="center"/>
              <w:rPr>
                <w:bCs/>
                <w:szCs w:val="24"/>
                <w:lang w:eastAsia="lt-LT"/>
              </w:rPr>
            </w:pPr>
          </w:p>
          <w:p w:rsidR="002E6280" w:rsidRDefault="00444010">
            <w:pPr>
              <w:ind w:left="-108" w:right="-108"/>
              <w:jc w:val="center"/>
              <w:rPr>
                <w:bCs/>
                <w:szCs w:val="24"/>
                <w:lang w:eastAsia="lt-LT"/>
              </w:rPr>
            </w:pPr>
            <w:r>
              <w:rPr>
                <w:bCs/>
                <w:szCs w:val="24"/>
                <w:lang w:eastAsia="lt-LT"/>
              </w:rPr>
              <w:t>ES struktūrinių fondų</w:t>
            </w:r>
          </w:p>
          <w:p w:rsidR="002E6280" w:rsidRDefault="00444010">
            <w:pPr>
              <w:ind w:left="-108" w:right="-108"/>
              <w:jc w:val="center"/>
              <w:rPr>
                <w:bCs/>
                <w:szCs w:val="24"/>
                <w:lang w:eastAsia="lt-LT"/>
              </w:rPr>
            </w:pPr>
            <w:r>
              <w:rPr>
                <w:bCs/>
                <w:szCs w:val="24"/>
                <w:lang w:eastAsia="lt-LT"/>
              </w:rPr>
              <w:t>lėšos – iki</w:t>
            </w:r>
          </w:p>
        </w:tc>
        <w:tc>
          <w:tcPr>
            <w:tcW w:w="8363" w:type="dxa"/>
            <w:gridSpan w:val="7"/>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 w:val="left" w:pos="142"/>
              </w:tabs>
              <w:jc w:val="center"/>
              <w:rPr>
                <w:bCs/>
                <w:szCs w:val="24"/>
                <w:lang w:eastAsia="lt-LT"/>
              </w:rPr>
            </w:pPr>
            <w:r>
              <w:rPr>
                <w:bCs/>
                <w:szCs w:val="24"/>
                <w:lang w:eastAsia="lt-LT"/>
              </w:rPr>
              <w:t>Nacionalinės lėšos</w:t>
            </w:r>
          </w:p>
        </w:tc>
      </w:tr>
      <w:tr w:rsidR="002E6280">
        <w:trPr>
          <w:cantSplit/>
          <w:trHeight w:val="281"/>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6280" w:rsidRDefault="002E6280">
            <w:pPr>
              <w:rPr>
                <w:bCs/>
                <w:szCs w:val="24"/>
                <w:lang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2E6280" w:rsidRDefault="00444010">
            <w:pPr>
              <w:jc w:val="center"/>
              <w:rPr>
                <w:bCs/>
                <w:szCs w:val="24"/>
                <w:lang w:eastAsia="lt-LT"/>
              </w:rPr>
            </w:pPr>
            <w:r>
              <w:rPr>
                <w:bCs/>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Projektų vykdytojų lėšos</w:t>
            </w:r>
          </w:p>
        </w:tc>
      </w:tr>
      <w:tr w:rsidR="002E6280">
        <w:trPr>
          <w:cantSplit/>
          <w:trHeight w:val="102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6280" w:rsidRDefault="002E6280">
            <w:pPr>
              <w:rPr>
                <w:bCs/>
                <w:szCs w:val="24"/>
                <w:lang w:eastAsia="lt-LT"/>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E6280" w:rsidRDefault="002E6280">
            <w:pP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Savivaldybės biudžeto</w:t>
            </w:r>
          </w:p>
          <w:p w:rsidR="002E6280" w:rsidRDefault="00444010">
            <w:pPr>
              <w:tabs>
                <w:tab w:val="left" w:pos="0"/>
              </w:tabs>
              <w:jc w:val="center"/>
              <w:rPr>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Kitos viešosios lėšos</w:t>
            </w:r>
          </w:p>
        </w:tc>
        <w:tc>
          <w:tcPr>
            <w:tcW w:w="1134"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Privačios lėšos</w:t>
            </w:r>
          </w:p>
        </w:tc>
      </w:tr>
      <w:tr w:rsidR="002E6280">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ind w:left="318" w:hanging="284"/>
              <w:contextualSpacing/>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2E6280">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23.773.855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4.195.386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szCs w:val="24"/>
                <w:lang w:eastAsia="lt-LT"/>
              </w:rPr>
            </w:pPr>
            <w:r>
              <w:rPr>
                <w:szCs w:val="24"/>
                <w:lang w:eastAsia="lt-LT"/>
              </w:rPr>
              <w:t>600.000</w:t>
            </w:r>
          </w:p>
        </w:tc>
        <w:tc>
          <w:tcPr>
            <w:tcW w:w="155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3.595.386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szCs w:val="24"/>
                <w:lang w:eastAsia="lt-LT"/>
              </w:rPr>
            </w:pPr>
            <w:r>
              <w:rPr>
                <w:szCs w:val="24"/>
                <w:lang w:eastAsia="lt-LT"/>
              </w:rPr>
              <w:t>0</w:t>
            </w:r>
          </w:p>
        </w:tc>
      </w:tr>
      <w:tr w:rsidR="002E6280">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ind w:left="318" w:hanging="284"/>
              <w:contextualSpacing/>
              <w:rPr>
                <w:szCs w:val="24"/>
                <w:lang w:eastAsia="lt-LT"/>
              </w:rPr>
            </w:pPr>
            <w:r>
              <w:rPr>
                <w:szCs w:val="24"/>
                <w:lang w:eastAsia="lt-LT"/>
              </w:rPr>
              <w:t>2.</w:t>
            </w:r>
            <w:r>
              <w:rPr>
                <w:szCs w:val="24"/>
                <w:lang w:eastAsia="lt-LT"/>
              </w:rPr>
              <w:tab/>
              <w:t>Veiklos lėšų rezervas ir jam finansuoti skiriamos nacionalinės lėšos</w:t>
            </w:r>
          </w:p>
        </w:tc>
      </w:tr>
      <w:tr w:rsidR="002E6280">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szCs w:val="24"/>
                <w:lang w:eastAsia="lt-LT"/>
              </w:rPr>
            </w:pPr>
            <w:r>
              <w:rPr>
                <w:szCs w:val="24"/>
                <w:lang w:eastAsia="lt-LT"/>
              </w:rPr>
              <w:t>0</w:t>
            </w:r>
          </w:p>
        </w:tc>
      </w:tr>
      <w:tr w:rsidR="002E6280">
        <w:trPr>
          <w:trHeight w:val="249"/>
        </w:trPr>
        <w:tc>
          <w:tcPr>
            <w:tcW w:w="9781" w:type="dxa"/>
            <w:gridSpan w:val="8"/>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ind w:left="318" w:hanging="284"/>
              <w:contextualSpacing/>
              <w:rPr>
                <w:szCs w:val="24"/>
                <w:lang w:eastAsia="lt-LT"/>
              </w:rPr>
            </w:pPr>
            <w:r>
              <w:rPr>
                <w:szCs w:val="24"/>
                <w:lang w:eastAsia="lt-LT"/>
              </w:rPr>
              <w:t>3.</w:t>
            </w:r>
            <w:r>
              <w:rPr>
                <w:szCs w:val="24"/>
                <w:lang w:eastAsia="lt-LT"/>
              </w:rPr>
              <w:tab/>
              <w:t>Iš viso</w:t>
            </w:r>
          </w:p>
        </w:tc>
      </w:tr>
      <w:tr w:rsidR="002E6280">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23.773.855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szCs w:val="24"/>
                <w:lang w:eastAsia="lt-LT"/>
              </w:rPr>
            </w:pPr>
            <w:r>
              <w:rPr>
                <w:szCs w:val="24"/>
                <w:lang w:eastAsia="lt-LT"/>
              </w:rPr>
              <w:t>4.195.386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szCs w:val="24"/>
                <w:lang w:eastAsia="lt-LT"/>
              </w:rPr>
            </w:pPr>
            <w:r>
              <w:rPr>
                <w:szCs w:val="24"/>
                <w:lang w:eastAsia="lt-LT"/>
              </w:rPr>
              <w:t>600.000</w:t>
            </w:r>
          </w:p>
        </w:tc>
        <w:tc>
          <w:tcPr>
            <w:tcW w:w="1559" w:type="dxa"/>
            <w:tcBorders>
              <w:top w:val="single" w:sz="4" w:space="0" w:color="auto"/>
              <w:left w:val="single" w:sz="4" w:space="0" w:color="auto"/>
              <w:bottom w:val="single" w:sz="4" w:space="0" w:color="auto"/>
              <w:right w:val="single" w:sz="4" w:space="0" w:color="auto"/>
            </w:tcBorders>
            <w:hideMark/>
          </w:tcPr>
          <w:p w:rsidR="002E6280" w:rsidRDefault="00444010">
            <w:pPr>
              <w:tabs>
                <w:tab w:val="left" w:pos="0"/>
              </w:tabs>
              <w:jc w:val="center"/>
              <w:rPr>
                <w:bCs/>
                <w:szCs w:val="24"/>
                <w:lang w:eastAsia="lt-LT"/>
              </w:rPr>
            </w:pPr>
            <w:r>
              <w:rPr>
                <w:bCs/>
                <w:szCs w:val="24"/>
                <w:lang w:eastAsia="lt-LT"/>
              </w:rPr>
              <w:t>3.595.386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6280" w:rsidRDefault="00444010">
            <w:pPr>
              <w:tabs>
                <w:tab w:val="left" w:pos="0"/>
              </w:tabs>
              <w:jc w:val="center"/>
              <w:rPr>
                <w:szCs w:val="24"/>
                <w:lang w:eastAsia="lt-LT"/>
              </w:rPr>
            </w:pPr>
            <w:r>
              <w:rPr>
                <w:szCs w:val="24"/>
                <w:lang w:eastAsia="lt-LT"/>
              </w:rPr>
              <w:t>0“</w:t>
            </w:r>
          </w:p>
        </w:tc>
      </w:tr>
    </w:tbl>
    <w:p w:rsidR="002E6280" w:rsidRDefault="002E6280">
      <w:pPr>
        <w:tabs>
          <w:tab w:val="left" w:pos="6237"/>
        </w:tabs>
        <w:rPr>
          <w:sz w:val="20"/>
        </w:rPr>
      </w:pPr>
    </w:p>
    <w:p w:rsidR="002E6280" w:rsidRDefault="002E6280">
      <w:pPr>
        <w:spacing w:line="360" w:lineRule="auto"/>
        <w:jc w:val="both"/>
        <w:rPr>
          <w:szCs w:val="28"/>
          <w:lang w:eastAsia="lt-LT"/>
        </w:rPr>
      </w:pPr>
    </w:p>
    <w:p w:rsidR="002E6280" w:rsidRDefault="002E6280">
      <w:pPr>
        <w:rPr>
          <w:sz w:val="2"/>
          <w:szCs w:val="2"/>
        </w:rPr>
      </w:pPr>
    </w:p>
    <w:p w:rsidR="00444010" w:rsidRDefault="00444010" w:rsidP="00444010">
      <w:pPr>
        <w:jc w:val="both"/>
        <w:rPr>
          <w:szCs w:val="28"/>
          <w:lang w:eastAsia="lt-LT"/>
        </w:rPr>
      </w:pPr>
    </w:p>
    <w:p w:rsidR="00444010" w:rsidRDefault="00444010" w:rsidP="00444010">
      <w:pPr>
        <w:jc w:val="both"/>
        <w:rPr>
          <w:szCs w:val="28"/>
          <w:lang w:eastAsia="lt-LT"/>
        </w:rPr>
      </w:pPr>
    </w:p>
    <w:p w:rsidR="00444010" w:rsidRDefault="00444010" w:rsidP="00444010">
      <w:pPr>
        <w:jc w:val="both"/>
        <w:rPr>
          <w:szCs w:val="28"/>
          <w:lang w:eastAsia="lt-LT"/>
        </w:rPr>
      </w:pPr>
    </w:p>
    <w:p w:rsidR="002E6280" w:rsidRDefault="00444010">
      <w:pPr>
        <w:spacing w:line="360" w:lineRule="auto"/>
        <w:jc w:val="both"/>
        <w:rPr>
          <w:caps/>
          <w:szCs w:val="28"/>
          <w:lang w:eastAsia="lt-LT"/>
        </w:rPr>
      </w:pPr>
      <w:r>
        <w:rPr>
          <w:szCs w:val="28"/>
          <w:lang w:eastAsia="lt-LT"/>
        </w:rPr>
        <w:t>Kultūros ministras</w:t>
      </w:r>
      <w:r>
        <w:rPr>
          <w:szCs w:val="28"/>
          <w:lang w:eastAsia="lt-LT"/>
        </w:rPr>
        <w:tab/>
      </w:r>
      <w:r>
        <w:rPr>
          <w:szCs w:val="28"/>
          <w:lang w:eastAsia="lt-LT"/>
        </w:rPr>
        <w:tab/>
      </w:r>
      <w:r>
        <w:rPr>
          <w:szCs w:val="28"/>
          <w:lang w:eastAsia="lt-LT"/>
        </w:rPr>
        <w:tab/>
      </w:r>
      <w:r>
        <w:rPr>
          <w:szCs w:val="28"/>
          <w:lang w:eastAsia="lt-LT"/>
        </w:rPr>
        <w:tab/>
        <w:t xml:space="preserve">                            Šarūnas Birutis</w:t>
      </w: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p>
    <w:p w:rsidR="002E6280" w:rsidRDefault="002E6280">
      <w:pPr>
        <w:tabs>
          <w:tab w:val="center" w:pos="4819"/>
          <w:tab w:val="right" w:pos="9638"/>
        </w:tabs>
        <w:rPr>
          <w:szCs w:val="22"/>
          <w:lang w:eastAsia="lt-LT"/>
        </w:rPr>
      </w:pPr>
    </w:p>
    <w:p w:rsidR="002E6280" w:rsidRDefault="002E6280">
      <w:pPr>
        <w:rPr>
          <w:sz w:val="2"/>
          <w:szCs w:val="2"/>
        </w:rPr>
      </w:pPr>
      <w:bookmarkStart w:id="0" w:name="_GoBack"/>
      <w:bookmarkEnd w:id="0"/>
    </w:p>
    <w:sectPr w:rsidR="002E6280">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FA" w:rsidRDefault="006945FA">
      <w:pPr>
        <w:rPr>
          <w:rFonts w:ascii="Calibri" w:hAnsi="Calibri"/>
          <w:sz w:val="22"/>
          <w:szCs w:val="22"/>
          <w:lang w:eastAsia="lt-LT"/>
        </w:rPr>
      </w:pPr>
      <w:r>
        <w:rPr>
          <w:rFonts w:ascii="Calibri" w:hAnsi="Calibri"/>
          <w:sz w:val="22"/>
          <w:szCs w:val="22"/>
          <w:lang w:eastAsia="lt-LT"/>
        </w:rPr>
        <w:separator/>
      </w:r>
    </w:p>
  </w:endnote>
  <w:endnote w:type="continuationSeparator" w:id="0">
    <w:p w:rsidR="006945FA" w:rsidRDefault="006945FA">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80" w:rsidRDefault="002E6280">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80" w:rsidRDefault="002E6280">
    <w:pPr>
      <w:tabs>
        <w:tab w:val="center" w:pos="4819"/>
        <w:tab w:val="right" w:pos="9638"/>
      </w:tabs>
      <w:rPr>
        <w:rFonts w:ascii="Calibri" w:hAnsi="Calibri"/>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80" w:rsidRDefault="002E6280">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FA" w:rsidRDefault="006945FA">
      <w:pPr>
        <w:rPr>
          <w:rFonts w:ascii="Calibri" w:hAnsi="Calibri"/>
          <w:sz w:val="22"/>
          <w:szCs w:val="22"/>
          <w:lang w:eastAsia="lt-LT"/>
        </w:rPr>
      </w:pPr>
      <w:r>
        <w:rPr>
          <w:rFonts w:ascii="Calibri" w:hAnsi="Calibri"/>
          <w:sz w:val="22"/>
          <w:szCs w:val="22"/>
          <w:lang w:eastAsia="lt-LT"/>
        </w:rPr>
        <w:separator/>
      </w:r>
    </w:p>
  </w:footnote>
  <w:footnote w:type="continuationSeparator" w:id="0">
    <w:p w:rsidR="006945FA" w:rsidRDefault="006945FA">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80" w:rsidRDefault="00444010">
    <w:pPr>
      <w:tabs>
        <w:tab w:val="center" w:pos="4986"/>
        <w:tab w:val="right" w:pos="9972"/>
      </w:tabs>
      <w:jc w:val="center"/>
      <w:rPr>
        <w:szCs w:val="24"/>
        <w:lang w:eastAsia="x-none"/>
      </w:rPr>
    </w:pPr>
    <w:r>
      <w:rPr>
        <w:szCs w:val="24"/>
        <w:lang w:eastAsia="x-none"/>
      </w:rPr>
      <w:t>12</w:t>
    </w:r>
  </w:p>
  <w:p w:rsidR="002E6280" w:rsidRDefault="002E6280">
    <w:pPr>
      <w:tabs>
        <w:tab w:val="center" w:pos="4986"/>
        <w:tab w:val="right" w:pos="9972"/>
      </w:tabs>
      <w:jc w:val="center"/>
      <w:rPr>
        <w:szCs w:val="24"/>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80" w:rsidRDefault="00444010">
    <w:pPr>
      <w:tabs>
        <w:tab w:val="center" w:pos="4986"/>
        <w:tab w:val="right" w:pos="9972"/>
      </w:tabs>
      <w:jc w:val="center"/>
      <w:rPr>
        <w:szCs w:val="24"/>
        <w:lang w:eastAsia="x-none"/>
      </w:rPr>
    </w:pPr>
    <w:r>
      <w:rPr>
        <w:szCs w:val="24"/>
        <w:lang w:eastAsia="x-none"/>
      </w:rPr>
      <w:fldChar w:fldCharType="begin"/>
    </w:r>
    <w:r>
      <w:rPr>
        <w:szCs w:val="24"/>
        <w:lang w:eastAsia="x-none"/>
      </w:rPr>
      <w:instrText xml:space="preserve"> PAGE   \* MERGEFORMAT </w:instrText>
    </w:r>
    <w:r>
      <w:rPr>
        <w:szCs w:val="24"/>
        <w:lang w:eastAsia="x-none"/>
      </w:rPr>
      <w:fldChar w:fldCharType="separate"/>
    </w:r>
    <w:r w:rsidR="00AE7207">
      <w:rPr>
        <w:noProof/>
        <w:szCs w:val="24"/>
        <w:lang w:eastAsia="x-none"/>
      </w:rPr>
      <w:t>2</w:t>
    </w:r>
    <w:r>
      <w:rPr>
        <w:szCs w:val="24"/>
        <w:lang w:eastAsia="x-none"/>
      </w:rPr>
      <w:fldChar w:fldCharType="end"/>
    </w:r>
  </w:p>
  <w:p w:rsidR="002E6280" w:rsidRDefault="002E6280">
    <w:pPr>
      <w:tabs>
        <w:tab w:val="center" w:pos="4986"/>
        <w:tab w:val="right" w:pos="9570"/>
      </w:tabs>
      <w:jc w:val="center"/>
      <w:rPr>
        <w:szCs w:val="24"/>
        <w:lang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80" w:rsidRDefault="002E6280">
    <w:pPr>
      <w:tabs>
        <w:tab w:val="center" w:pos="4986"/>
        <w:tab w:val="right" w:pos="9972"/>
      </w:tabs>
      <w:rPr>
        <w:szCs w:val="24"/>
        <w:lang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56"/>
    <w:rsid w:val="001C06C2"/>
    <w:rsid w:val="0027275D"/>
    <w:rsid w:val="002E6280"/>
    <w:rsid w:val="00444010"/>
    <w:rsid w:val="006945FA"/>
    <w:rsid w:val="009467C1"/>
    <w:rsid w:val="00AE7207"/>
    <w:rsid w:val="00F54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44010"/>
    <w:rPr>
      <w:rFonts w:ascii="Tahoma" w:hAnsi="Tahoma" w:cs="Tahoma"/>
      <w:sz w:val="16"/>
      <w:szCs w:val="16"/>
    </w:rPr>
  </w:style>
  <w:style w:type="character" w:customStyle="1" w:styleId="BalloonTextChar">
    <w:name w:val="Balloon Text Char"/>
    <w:basedOn w:val="DefaultParagraphFont"/>
    <w:link w:val="BalloonText"/>
    <w:rsid w:val="00444010"/>
    <w:rPr>
      <w:rFonts w:ascii="Tahoma" w:hAnsi="Tahoma" w:cs="Tahoma"/>
      <w:sz w:val="16"/>
      <w:szCs w:val="16"/>
    </w:rPr>
  </w:style>
  <w:style w:type="character" w:styleId="PlaceholderText">
    <w:name w:val="Placeholder Text"/>
    <w:basedOn w:val="DefaultParagraphFont"/>
    <w:rsid w:val="004440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44010"/>
    <w:rPr>
      <w:rFonts w:ascii="Tahoma" w:hAnsi="Tahoma" w:cs="Tahoma"/>
      <w:sz w:val="16"/>
      <w:szCs w:val="16"/>
    </w:rPr>
  </w:style>
  <w:style w:type="character" w:customStyle="1" w:styleId="BalloonTextChar">
    <w:name w:val="Balloon Text Char"/>
    <w:basedOn w:val="DefaultParagraphFont"/>
    <w:link w:val="BalloonText"/>
    <w:rsid w:val="00444010"/>
    <w:rPr>
      <w:rFonts w:ascii="Tahoma" w:hAnsi="Tahoma" w:cs="Tahoma"/>
      <w:sz w:val="16"/>
      <w:szCs w:val="16"/>
    </w:rPr>
  </w:style>
  <w:style w:type="character" w:styleId="PlaceholderText">
    <w:name w:val="Placeholder Text"/>
    <w:basedOn w:val="DefaultParagraphFont"/>
    <w:rsid w:val="004440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36366">
      <w:bodyDiv w:val="1"/>
      <w:marLeft w:val="0"/>
      <w:marRight w:val="0"/>
      <w:marTop w:val="0"/>
      <w:marBottom w:val="0"/>
      <w:divBdr>
        <w:top w:val="none" w:sz="0" w:space="0" w:color="auto"/>
        <w:left w:val="none" w:sz="0" w:space="0" w:color="auto"/>
        <w:bottom w:val="none" w:sz="0" w:space="0" w:color="auto"/>
        <w:right w:val="none" w:sz="0" w:space="0" w:color="auto"/>
      </w:divBdr>
    </w:div>
    <w:div w:id="20550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FE07B-470E-41E2-A92A-1AF23A95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3178</Words>
  <Characters>1812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Maliavkina</dc:creator>
  <cp:lastModifiedBy>Andrius Jautakis</cp:lastModifiedBy>
  <cp:revision>4</cp:revision>
  <dcterms:created xsi:type="dcterms:W3CDTF">2016-07-22T12:20:00Z</dcterms:created>
  <dcterms:modified xsi:type="dcterms:W3CDTF">2018-02-19T14:49:00Z</dcterms:modified>
</cp:coreProperties>
</file>