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524FFC" w:rsidP="00372CD3">
            <w:pPr>
              <w:rPr>
                <w:rFonts w:ascii="Times New Roman" w:hAnsi="Times New Roman"/>
                <w:b/>
                <w:sz w:val="22"/>
                <w:szCs w:val="22"/>
                <w:lang w:val="lt-LT" w:eastAsia="lt-LT"/>
              </w:rPr>
            </w:pPr>
            <w:r>
              <w:rPr>
                <w:rFonts w:ascii="Times New Roman" w:hAnsi="Times New Roman"/>
                <w:b/>
                <w:sz w:val="24"/>
                <w:szCs w:val="24"/>
                <w:lang w:val="lt-LT"/>
              </w:rPr>
              <w:t>Lyginamasis projekto variantas</w:t>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33B12493" wp14:editId="2DD4DB3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421FC8">
        <w:rPr>
          <w:rFonts w:ascii="Times New Roman" w:hAnsi="Times New Roman"/>
          <w:b/>
          <w:noProof/>
          <w:sz w:val="24"/>
          <w:szCs w:val="24"/>
          <w:lang w:val="lt-LT"/>
        </w:rPr>
        <w:t>DĖL LIETUVOS RESPUBLIKOS SOCIALINĖS APSAUGOS IR DARBO MINISTRO 201</w:t>
      </w:r>
      <w:r w:rsidR="0069269C">
        <w:rPr>
          <w:rFonts w:ascii="Times New Roman" w:hAnsi="Times New Roman"/>
          <w:b/>
          <w:noProof/>
          <w:sz w:val="24"/>
          <w:szCs w:val="24"/>
          <w:lang w:val="lt-LT"/>
        </w:rPr>
        <w:t>7</w:t>
      </w:r>
      <w:r w:rsidR="00421FC8">
        <w:rPr>
          <w:rFonts w:ascii="Times New Roman" w:hAnsi="Times New Roman"/>
          <w:b/>
          <w:noProof/>
          <w:sz w:val="24"/>
          <w:szCs w:val="24"/>
          <w:lang w:val="lt-LT"/>
        </w:rPr>
        <w:t xml:space="preserve"> M. RUGPJŪČIO </w:t>
      </w:r>
      <w:r w:rsidR="0069269C">
        <w:rPr>
          <w:rFonts w:ascii="Times New Roman" w:hAnsi="Times New Roman"/>
          <w:b/>
          <w:noProof/>
          <w:sz w:val="24"/>
          <w:szCs w:val="24"/>
          <w:lang w:val="lt-LT"/>
        </w:rPr>
        <w:t>2</w:t>
      </w:r>
      <w:r w:rsidR="00421FC8">
        <w:rPr>
          <w:rFonts w:ascii="Times New Roman" w:hAnsi="Times New Roman"/>
          <w:b/>
          <w:noProof/>
          <w:sz w:val="24"/>
          <w:szCs w:val="24"/>
          <w:lang w:val="lt-LT"/>
        </w:rPr>
        <w:t xml:space="preserve"> D. ĮSAKYMO NR. A1-404 </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DĖL </w:t>
      </w:r>
      <w:r w:rsidR="00421FC8" w:rsidRPr="006D2F7C">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69269C">
        <w:rPr>
          <w:rFonts w:ascii="Times New Roman" w:hAnsi="Times New Roman"/>
          <w:b/>
          <w:noProof/>
          <w:sz w:val="24"/>
          <w:szCs w:val="24"/>
          <w:lang w:val="lt-LT"/>
        </w:rPr>
        <w:t>3</w:t>
      </w:r>
      <w:r w:rsidR="00421FC8" w:rsidRPr="006D2F7C">
        <w:rPr>
          <w:rFonts w:ascii="Times New Roman" w:hAnsi="Times New Roman"/>
          <w:b/>
          <w:noProof/>
          <w:sz w:val="24"/>
          <w:szCs w:val="24"/>
          <w:lang w:val="lt-LT"/>
        </w:rPr>
        <w:t>.1-ESFA-</w:t>
      </w:r>
      <w:r w:rsidR="0069269C">
        <w:rPr>
          <w:rFonts w:ascii="Times New Roman" w:hAnsi="Times New Roman"/>
          <w:b/>
          <w:noProof/>
          <w:sz w:val="24"/>
          <w:szCs w:val="24"/>
          <w:lang w:val="lt-LT"/>
        </w:rPr>
        <w:t>K</w:t>
      </w:r>
      <w:r w:rsidR="00421FC8" w:rsidRPr="006D2F7C">
        <w:rPr>
          <w:rFonts w:ascii="Times New Roman" w:hAnsi="Times New Roman"/>
          <w:b/>
          <w:noProof/>
          <w:sz w:val="24"/>
          <w:szCs w:val="24"/>
          <w:lang w:val="lt-LT"/>
        </w:rPr>
        <w:t>-4</w:t>
      </w:r>
      <w:r w:rsidR="0069269C">
        <w:rPr>
          <w:rFonts w:ascii="Times New Roman" w:hAnsi="Times New Roman"/>
          <w:b/>
          <w:noProof/>
          <w:sz w:val="24"/>
          <w:szCs w:val="24"/>
          <w:lang w:val="lt-LT"/>
        </w:rPr>
        <w:t>1</w:t>
      </w:r>
      <w:r w:rsidR="00421FC8" w:rsidRPr="006D2F7C">
        <w:rPr>
          <w:rFonts w:ascii="Times New Roman" w:hAnsi="Times New Roman"/>
          <w:b/>
          <w:noProof/>
          <w:sz w:val="24"/>
          <w:szCs w:val="24"/>
          <w:lang w:val="lt-LT"/>
        </w:rPr>
        <w:t>3 „SOCIALIN</w:t>
      </w:r>
      <w:r w:rsidR="00F50B14">
        <w:rPr>
          <w:rFonts w:ascii="Times New Roman" w:hAnsi="Times New Roman"/>
          <w:b/>
          <w:noProof/>
          <w:sz w:val="24"/>
          <w:szCs w:val="24"/>
          <w:lang w:val="lt-LT"/>
        </w:rPr>
        <w:t>Ę</w:t>
      </w:r>
      <w:r w:rsidR="00421FC8" w:rsidRPr="006D2F7C">
        <w:rPr>
          <w:rFonts w:ascii="Times New Roman" w:hAnsi="Times New Roman"/>
          <w:b/>
          <w:noProof/>
          <w:sz w:val="24"/>
          <w:szCs w:val="24"/>
          <w:lang w:val="lt-LT"/>
        </w:rPr>
        <w:t xml:space="preserve"> ATS</w:t>
      </w:r>
      <w:r w:rsidR="00F50B14">
        <w:rPr>
          <w:rFonts w:ascii="Times New Roman" w:hAnsi="Times New Roman"/>
          <w:b/>
          <w:noProof/>
          <w:sz w:val="24"/>
          <w:szCs w:val="24"/>
          <w:lang w:val="lt-LT"/>
        </w:rPr>
        <w:t>KIRTĮ PATIRIANČIŲ ASMENŲ INTEGRACIJA Į DARBO RINKĄ</w:t>
      </w:r>
      <w:r w:rsidR="00421FC8" w:rsidRPr="006D2F7C">
        <w:rPr>
          <w:rFonts w:ascii="Times New Roman" w:hAnsi="Times New Roman"/>
          <w:b/>
          <w:noProof/>
          <w:sz w:val="24"/>
          <w:szCs w:val="24"/>
          <w:lang w:val="lt-LT"/>
        </w:rPr>
        <w:t>“ PROJEKTŲ FINANSAVIMO SĄLYGŲ APRAŠO PATVIRTINIMO</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 PAKEITIMO </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C03496">
        <w:rPr>
          <w:rFonts w:ascii="Times New Roman" w:hAnsi="Times New Roman"/>
          <w:sz w:val="24"/>
          <w:szCs w:val="24"/>
          <w:lang w:val="lt-LT"/>
        </w:rPr>
        <w:t>vasario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5"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5"/>
      <w:r w:rsidR="003D0BAD" w:rsidRPr="00383FF6">
        <w:rPr>
          <w:rFonts w:ascii="Times New Roman" w:hAnsi="Times New Roman"/>
          <w:sz w:val="24"/>
          <w:szCs w:val="24"/>
          <w:lang w:val="lt-LT"/>
        </w:rPr>
        <w:t xml:space="preserve"> d. Nr. </w:t>
      </w:r>
      <w:bookmarkStart w:id="6"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6"/>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10"/>
          <w:headerReference w:type="default" r:id="rId11"/>
          <w:footerReference w:type="even" r:id="rId12"/>
          <w:footerReference w:type="default" r:id="rId13"/>
          <w:headerReference w:type="first" r:id="rId14"/>
          <w:footerReference w:type="first" r:id="rId15"/>
          <w:pgSz w:w="11906" w:h="16838"/>
          <w:pgMar w:top="567" w:right="567" w:bottom="1134" w:left="1701" w:header="720" w:footer="720" w:gutter="0"/>
          <w:cols w:space="720"/>
          <w:titlePg/>
          <w:docGrid w:linePitch="360"/>
        </w:sectPr>
      </w:pPr>
    </w:p>
    <w:p w:rsidR="00763D15" w:rsidRPr="005A090F" w:rsidRDefault="00421FC8" w:rsidP="00986CF8">
      <w:pPr>
        <w:pStyle w:val="Betarp"/>
        <w:ind w:firstLine="1298"/>
        <w:jc w:val="both"/>
        <w:rPr>
          <w:rFonts w:ascii="Times New Roman" w:hAnsi="Times New Roman"/>
          <w:sz w:val="24"/>
          <w:szCs w:val="24"/>
          <w:lang w:val="lt-LT"/>
        </w:rPr>
      </w:pPr>
      <w:r w:rsidRPr="005A090F">
        <w:rPr>
          <w:rFonts w:ascii="Times New Roman" w:hAnsi="Times New Roman"/>
          <w:sz w:val="24"/>
          <w:szCs w:val="24"/>
          <w:lang w:val="lt-LT"/>
        </w:rPr>
        <w:lastRenderedPageBreak/>
        <w:t xml:space="preserve">P a k e i č i u 2014–2020 metų Europos Sąjungos fondų investicijų veiksmų programos 8 prioriteto „Socialinės įtraukties didinimas ir kova su skurdu“ įgyvendinimo </w:t>
      </w:r>
      <w:bookmarkStart w:id="7" w:name="_GoBack"/>
      <w:bookmarkEnd w:id="7"/>
      <w:r w:rsidRPr="005A090F">
        <w:rPr>
          <w:rFonts w:ascii="Times New Roman" w:hAnsi="Times New Roman"/>
          <w:sz w:val="24"/>
          <w:szCs w:val="24"/>
          <w:lang w:val="lt-LT"/>
        </w:rPr>
        <w:t>priemonės Nr. 08.</w:t>
      </w:r>
      <w:r w:rsidR="0069269C" w:rsidRPr="005A090F">
        <w:rPr>
          <w:rFonts w:ascii="Times New Roman" w:hAnsi="Times New Roman"/>
          <w:sz w:val="24"/>
          <w:szCs w:val="24"/>
          <w:lang w:val="lt-LT"/>
        </w:rPr>
        <w:t>3</w:t>
      </w:r>
      <w:r w:rsidRPr="005A090F">
        <w:rPr>
          <w:rFonts w:ascii="Times New Roman" w:hAnsi="Times New Roman"/>
          <w:sz w:val="24"/>
          <w:szCs w:val="24"/>
          <w:lang w:val="lt-LT"/>
        </w:rPr>
        <w:t>.1-ESFA</w:t>
      </w:r>
      <w:proofErr w:type="gramStart"/>
      <w:r w:rsidRPr="005A090F">
        <w:rPr>
          <w:rFonts w:ascii="Times New Roman" w:hAnsi="Times New Roman"/>
          <w:sz w:val="24"/>
          <w:szCs w:val="24"/>
          <w:lang w:val="lt-LT"/>
        </w:rPr>
        <w:t>-</w:t>
      </w:r>
      <w:proofErr w:type="gramEnd"/>
      <w:r w:rsidR="0069269C" w:rsidRPr="005A090F">
        <w:rPr>
          <w:rFonts w:ascii="Times New Roman" w:hAnsi="Times New Roman"/>
          <w:sz w:val="24"/>
          <w:szCs w:val="24"/>
          <w:lang w:val="lt-LT"/>
        </w:rPr>
        <w:t>K</w:t>
      </w:r>
      <w:r w:rsidRPr="005A090F">
        <w:rPr>
          <w:rFonts w:ascii="Times New Roman" w:hAnsi="Times New Roman"/>
          <w:sz w:val="24"/>
          <w:szCs w:val="24"/>
          <w:lang w:val="lt-LT"/>
        </w:rPr>
        <w:t>-4</w:t>
      </w:r>
      <w:r w:rsidR="0069269C" w:rsidRPr="005A090F">
        <w:rPr>
          <w:rFonts w:ascii="Times New Roman" w:hAnsi="Times New Roman"/>
          <w:sz w:val="24"/>
          <w:szCs w:val="24"/>
          <w:lang w:val="lt-LT"/>
        </w:rPr>
        <w:t>1</w:t>
      </w:r>
      <w:r w:rsidRPr="005A090F">
        <w:rPr>
          <w:rFonts w:ascii="Times New Roman" w:hAnsi="Times New Roman"/>
          <w:sz w:val="24"/>
          <w:szCs w:val="24"/>
          <w:lang w:val="lt-LT"/>
        </w:rPr>
        <w:t>3 „</w:t>
      </w:r>
      <w:r w:rsidR="00F50B14" w:rsidRPr="005A090F">
        <w:rPr>
          <w:rFonts w:ascii="Times New Roman" w:hAnsi="Times New Roman"/>
          <w:sz w:val="24"/>
          <w:szCs w:val="24"/>
          <w:lang w:val="lt-LT"/>
        </w:rPr>
        <w:t>Socialinę atskirtį patiriančių asmenų integracija į darbo rinką</w:t>
      </w:r>
      <w:r w:rsidRPr="005A090F">
        <w:rPr>
          <w:rFonts w:ascii="Times New Roman" w:hAnsi="Times New Roman"/>
          <w:sz w:val="24"/>
          <w:szCs w:val="24"/>
          <w:lang w:val="lt-LT"/>
        </w:rPr>
        <w:t>“ projektų finansavimo sąlygų aprašą, patvirtintą Lietuvos Respublikos socialinės apsaugos ir darbo ministro 201</w:t>
      </w:r>
      <w:r w:rsidR="00403231" w:rsidRPr="005A090F">
        <w:rPr>
          <w:rFonts w:ascii="Times New Roman" w:hAnsi="Times New Roman"/>
          <w:sz w:val="24"/>
          <w:szCs w:val="24"/>
          <w:lang w:val="lt-LT"/>
        </w:rPr>
        <w:t>7</w:t>
      </w:r>
      <w:r w:rsidRPr="005A090F">
        <w:rPr>
          <w:rFonts w:ascii="Times New Roman" w:hAnsi="Times New Roman"/>
          <w:sz w:val="24"/>
          <w:szCs w:val="24"/>
          <w:lang w:val="lt-LT"/>
        </w:rPr>
        <w:t xml:space="preserve"> m. rugpjūčio </w:t>
      </w:r>
      <w:r w:rsidR="00403231" w:rsidRPr="005A090F">
        <w:rPr>
          <w:rFonts w:ascii="Times New Roman" w:hAnsi="Times New Roman"/>
          <w:sz w:val="24"/>
          <w:szCs w:val="24"/>
          <w:lang w:val="lt-LT"/>
        </w:rPr>
        <w:t>2</w:t>
      </w:r>
      <w:r w:rsidRPr="005A090F">
        <w:rPr>
          <w:rFonts w:ascii="Times New Roman" w:hAnsi="Times New Roman"/>
          <w:sz w:val="24"/>
          <w:szCs w:val="24"/>
          <w:lang w:val="lt-LT"/>
        </w:rPr>
        <w:t xml:space="preserve"> d. įsakymu Nr. A1-404 „Dėl 2014–2020 metų Europos Sąjungos fondų investicijų veiksmų programos 8 prioriteto „Socialinės įtraukties didinimas ir kova su skurdu“ įgyvendinimo priemonės Nr. 08.</w:t>
      </w:r>
      <w:r w:rsidR="00403231" w:rsidRPr="005A090F">
        <w:rPr>
          <w:rFonts w:ascii="Times New Roman" w:hAnsi="Times New Roman"/>
          <w:sz w:val="24"/>
          <w:szCs w:val="24"/>
          <w:lang w:val="lt-LT"/>
        </w:rPr>
        <w:t>3</w:t>
      </w:r>
      <w:r w:rsidRPr="005A090F">
        <w:rPr>
          <w:rFonts w:ascii="Times New Roman" w:hAnsi="Times New Roman"/>
          <w:sz w:val="24"/>
          <w:szCs w:val="24"/>
          <w:lang w:val="lt-LT"/>
        </w:rPr>
        <w:t>.1-ESFA-</w:t>
      </w:r>
      <w:r w:rsidR="00403231" w:rsidRPr="005A090F">
        <w:rPr>
          <w:rFonts w:ascii="Times New Roman" w:hAnsi="Times New Roman"/>
          <w:sz w:val="24"/>
          <w:szCs w:val="24"/>
          <w:lang w:val="lt-LT"/>
        </w:rPr>
        <w:t>K</w:t>
      </w:r>
      <w:r w:rsidRPr="005A090F">
        <w:rPr>
          <w:rFonts w:ascii="Times New Roman" w:hAnsi="Times New Roman"/>
          <w:sz w:val="24"/>
          <w:szCs w:val="24"/>
          <w:lang w:val="lt-LT"/>
        </w:rPr>
        <w:t>-4</w:t>
      </w:r>
      <w:r w:rsidR="00403231" w:rsidRPr="005A090F">
        <w:rPr>
          <w:rFonts w:ascii="Times New Roman" w:hAnsi="Times New Roman"/>
          <w:sz w:val="24"/>
          <w:szCs w:val="24"/>
          <w:lang w:val="lt-LT"/>
        </w:rPr>
        <w:t>1</w:t>
      </w:r>
      <w:r w:rsidRPr="005A090F">
        <w:rPr>
          <w:rFonts w:ascii="Times New Roman" w:hAnsi="Times New Roman"/>
          <w:sz w:val="24"/>
          <w:szCs w:val="24"/>
          <w:lang w:val="lt-LT"/>
        </w:rPr>
        <w:t>3 „</w:t>
      </w:r>
      <w:r w:rsidR="00030552" w:rsidRPr="005A090F">
        <w:rPr>
          <w:rFonts w:ascii="Times New Roman" w:hAnsi="Times New Roman"/>
          <w:sz w:val="24"/>
          <w:szCs w:val="24"/>
          <w:lang w:val="lt-LT"/>
        </w:rPr>
        <w:t>Socialin</w:t>
      </w:r>
      <w:r w:rsidR="00403231" w:rsidRPr="005A090F">
        <w:rPr>
          <w:rFonts w:ascii="Times New Roman" w:hAnsi="Times New Roman"/>
          <w:sz w:val="24"/>
          <w:szCs w:val="24"/>
          <w:lang w:val="lt-LT"/>
        </w:rPr>
        <w:t>ę atskirtį patiriančių asmenų integracija į darbo rinką</w:t>
      </w:r>
      <w:r w:rsidRPr="005A090F">
        <w:rPr>
          <w:rFonts w:ascii="Times New Roman" w:hAnsi="Times New Roman"/>
          <w:sz w:val="24"/>
          <w:szCs w:val="24"/>
          <w:lang w:val="lt-LT"/>
        </w:rPr>
        <w:t>“ projektų finansavimo sąlygų aprašo patvirtinimo“</w:t>
      </w:r>
      <w:r w:rsidR="00763D15" w:rsidRPr="005A090F">
        <w:rPr>
          <w:rFonts w:ascii="Times New Roman" w:hAnsi="Times New Roman"/>
          <w:sz w:val="24"/>
          <w:szCs w:val="24"/>
          <w:lang w:val="lt-LT"/>
        </w:rPr>
        <w:t xml:space="preserve"> (toliau – Aprašas):</w:t>
      </w:r>
    </w:p>
    <w:p w:rsidR="005A090F" w:rsidRDefault="004A759E" w:rsidP="005A090F">
      <w:pPr>
        <w:pStyle w:val="Sraopastraipa"/>
        <w:numPr>
          <w:ilvl w:val="0"/>
          <w:numId w:val="6"/>
        </w:numPr>
        <w:rPr>
          <w:rFonts w:ascii="Times New Roman" w:hAnsi="Times New Roman"/>
          <w:sz w:val="24"/>
          <w:szCs w:val="24"/>
        </w:rPr>
      </w:pPr>
      <w:r>
        <w:rPr>
          <w:rFonts w:ascii="Times New Roman" w:hAnsi="Times New Roman"/>
          <w:sz w:val="24"/>
          <w:szCs w:val="24"/>
        </w:rPr>
        <w:t xml:space="preserve">Pakeičiu </w:t>
      </w:r>
      <w:r w:rsidR="005A090F" w:rsidRPr="005A090F">
        <w:rPr>
          <w:rFonts w:ascii="Times New Roman" w:hAnsi="Times New Roman"/>
          <w:sz w:val="24"/>
          <w:szCs w:val="24"/>
        </w:rPr>
        <w:t xml:space="preserve">Aprašo 52 punkto </w:t>
      </w:r>
      <w:r>
        <w:rPr>
          <w:rFonts w:ascii="Times New Roman" w:hAnsi="Times New Roman"/>
          <w:sz w:val="24"/>
          <w:szCs w:val="24"/>
        </w:rPr>
        <w:t xml:space="preserve">lentelės </w:t>
      </w:r>
      <w:r w:rsidR="005A090F" w:rsidRPr="005A090F">
        <w:rPr>
          <w:rFonts w:ascii="Times New Roman" w:hAnsi="Times New Roman"/>
          <w:sz w:val="24"/>
          <w:szCs w:val="24"/>
        </w:rPr>
        <w:t>5 pastraip</w:t>
      </w:r>
      <w:r>
        <w:rPr>
          <w:rFonts w:ascii="Times New Roman" w:hAnsi="Times New Roman"/>
          <w:sz w:val="24"/>
          <w:szCs w:val="24"/>
        </w:rPr>
        <w:t>ą ir ją išdėstau taip:</w:t>
      </w:r>
    </w:p>
    <w:tbl>
      <w:tblPr>
        <w:tblStyle w:val="Lentelstinklelis"/>
        <w:tblW w:w="0" w:type="auto"/>
        <w:tblInd w:w="108" w:type="dxa"/>
        <w:tblLook w:val="04A0" w:firstRow="1" w:lastRow="0" w:firstColumn="1" w:lastColumn="0" w:noHBand="0" w:noVBand="1"/>
      </w:tblPr>
      <w:tblGrid>
        <w:gridCol w:w="1205"/>
        <w:gridCol w:w="1257"/>
        <w:gridCol w:w="7229"/>
      </w:tblGrid>
      <w:tr w:rsidR="00882745" w:rsidRPr="002509CA" w:rsidTr="000F4BDD">
        <w:tc>
          <w:tcPr>
            <w:tcW w:w="1205" w:type="dxa"/>
          </w:tcPr>
          <w:p w:rsidR="00882745" w:rsidRPr="00882745" w:rsidRDefault="00882745" w:rsidP="00882745">
            <w:pPr>
              <w:ind w:left="-1296"/>
              <w:jc w:val="center"/>
              <w:rPr>
                <w:rFonts w:ascii="Times New Roman" w:hAnsi="Times New Roman"/>
                <w:sz w:val="24"/>
                <w:szCs w:val="24"/>
                <w:lang w:val="lt-LT"/>
              </w:rPr>
            </w:pPr>
            <w:r w:rsidRPr="00882745">
              <w:rPr>
                <w:rFonts w:ascii="Times New Roman" w:hAnsi="Times New Roman"/>
                <w:sz w:val="24"/>
                <w:szCs w:val="24"/>
                <w:lang w:val="lt-LT"/>
              </w:rPr>
              <w:t>“5.</w:t>
            </w:r>
            <w:r w:rsidRPr="005A090F">
              <w:rPr>
                <w:rFonts w:ascii="Times New Roman" w:hAnsi="Times New Roman"/>
                <w:sz w:val="24"/>
                <w:szCs w:val="24"/>
                <w:lang w:val="lt-LT" w:eastAsia="lt-LT"/>
              </w:rPr>
              <w:t xml:space="preserve"> </w:t>
            </w:r>
            <w:r w:rsidRPr="009F2EBD">
              <w:rPr>
                <w:rFonts w:ascii="Times New Roman" w:hAnsi="Times New Roman"/>
                <w:b/>
                <w:sz w:val="24"/>
                <w:szCs w:val="24"/>
                <w:lang w:val="lt-LT" w:eastAsia="lt-LT"/>
              </w:rPr>
              <w:t>„5.</w:t>
            </w:r>
          </w:p>
        </w:tc>
        <w:tc>
          <w:tcPr>
            <w:tcW w:w="1205" w:type="dxa"/>
          </w:tcPr>
          <w:p w:rsidR="00882745" w:rsidRPr="006302DA" w:rsidRDefault="00882745" w:rsidP="00065A3B">
            <w:pPr>
              <w:rPr>
                <w:rFonts w:ascii="Times New Roman" w:hAnsi="Times New Roman"/>
                <w:b/>
                <w:sz w:val="24"/>
                <w:szCs w:val="24"/>
                <w:lang w:val="lt-LT"/>
              </w:rPr>
            </w:pPr>
            <w:r w:rsidRPr="006302DA">
              <w:rPr>
                <w:rFonts w:ascii="Times New Roman" w:hAnsi="Times New Roman"/>
                <w:b/>
                <w:sz w:val="24"/>
                <w:szCs w:val="24"/>
                <w:lang w:val="lt-LT"/>
              </w:rPr>
              <w:t>Projekto vykdymas</w:t>
            </w:r>
          </w:p>
        </w:tc>
        <w:tc>
          <w:tcPr>
            <w:tcW w:w="7229" w:type="dxa"/>
          </w:tcPr>
          <w:p w:rsidR="00882745" w:rsidRPr="006302DA" w:rsidRDefault="00882745" w:rsidP="00065A3B">
            <w:pPr>
              <w:jc w:val="both"/>
              <w:rPr>
                <w:rFonts w:ascii="Times New Roman" w:hAnsi="Times New Roman"/>
                <w:sz w:val="24"/>
                <w:szCs w:val="24"/>
                <w:lang w:val="lt-LT" w:eastAsia="lt-LT"/>
              </w:rPr>
            </w:pPr>
            <w:r w:rsidRPr="00ED2FA6">
              <w:rPr>
                <w:rFonts w:ascii="Times New Roman" w:hAnsi="Times New Roman"/>
                <w:sz w:val="24"/>
                <w:szCs w:val="24"/>
                <w:lang w:val="lt-LT" w:eastAsia="lt-LT"/>
              </w:rPr>
              <w:t>Tinkamomis finansuoti išlaidomis laikomos projektą vykdančio personalo darbo užmokesčio ir atlygio projektą vykdantiems fizin</w:t>
            </w:r>
            <w:r w:rsidRPr="006302DA">
              <w:rPr>
                <w:rFonts w:ascii="Times New Roman" w:hAnsi="Times New Roman"/>
                <w:sz w:val="24"/>
                <w:szCs w:val="24"/>
                <w:lang w:val="lt-LT" w:eastAsia="lt-LT"/>
              </w:rPr>
              <w:t xml:space="preserve">iams ir juridiniams asmenims pagal paslaugų (civilines) ir kitas sutartis išlaidos (jei pagal šias sutartis matyti, kad tai yra darbo užmokesčio ar atlygio išlaidos), kai projekto vykdytojas </w:t>
            </w:r>
            <w:r w:rsidRPr="006302DA">
              <w:rPr>
                <w:rFonts w:ascii="Times New Roman" w:hAnsi="Times New Roman"/>
                <w:b/>
                <w:sz w:val="24"/>
                <w:szCs w:val="24"/>
                <w:lang w:val="lt-LT" w:eastAsia="lt-LT"/>
              </w:rPr>
              <w:t>ar partneris</w:t>
            </w:r>
            <w:r w:rsidRPr="006302DA">
              <w:rPr>
                <w:rFonts w:ascii="Times New Roman" w:hAnsi="Times New Roman"/>
                <w:sz w:val="24"/>
                <w:szCs w:val="24"/>
                <w:lang w:val="lt-LT" w:eastAsia="lt-LT"/>
              </w:rPr>
              <w:t xml:space="preserve"> pats vykdo projekto veiklas </w:t>
            </w:r>
            <w:proofErr w:type="gramStart"/>
            <w:r w:rsidRPr="006302DA">
              <w:rPr>
                <w:rFonts w:ascii="Times New Roman" w:hAnsi="Times New Roman"/>
                <w:sz w:val="24"/>
                <w:szCs w:val="24"/>
                <w:lang w:val="lt-LT" w:eastAsia="lt-LT"/>
              </w:rPr>
              <w:t>(</w:t>
            </w:r>
            <w:proofErr w:type="gramEnd"/>
            <w:r w:rsidRPr="006302DA">
              <w:rPr>
                <w:rFonts w:ascii="Times New Roman" w:hAnsi="Times New Roman"/>
                <w:sz w:val="24"/>
                <w:szCs w:val="24"/>
                <w:lang w:val="lt-LT" w:eastAsia="lt-LT"/>
              </w:rPr>
              <w:t xml:space="preserve">arba jų dalį). </w:t>
            </w:r>
          </w:p>
          <w:p w:rsidR="00882745" w:rsidRPr="006302DA" w:rsidRDefault="00882745" w:rsidP="00065A3B">
            <w:pPr>
              <w:jc w:val="both"/>
              <w:rPr>
                <w:rFonts w:ascii="Times New Roman" w:hAnsi="Times New Roman"/>
                <w:sz w:val="24"/>
                <w:szCs w:val="24"/>
                <w:lang w:val="lt-LT" w:eastAsia="lt-LT"/>
              </w:rPr>
            </w:pPr>
            <w:r w:rsidRPr="006302DA">
              <w:rPr>
                <w:rFonts w:ascii="Times New Roman" w:hAnsi="Times New Roman"/>
                <w:sz w:val="24"/>
                <w:szCs w:val="24"/>
                <w:lang w:val="lt-LT" w:eastAsia="lt-LT"/>
              </w:rPr>
              <w:t>Valstybės ar savivaldybių biudžetinių įstaigų darbuotojui mokamo darbo užmokesčio dydis turi būti nustatomas vadovaujantis Lietuvos Respublikos valstybės ir savivaldybių įstaigų darbuotojų darbo apmokėjimo įstatymu.</w:t>
            </w:r>
          </w:p>
          <w:p w:rsidR="00882745" w:rsidRPr="006302DA" w:rsidRDefault="00882745" w:rsidP="00065A3B">
            <w:pPr>
              <w:jc w:val="both"/>
              <w:rPr>
                <w:rFonts w:ascii="Times New Roman" w:hAnsi="Times New Roman"/>
                <w:sz w:val="24"/>
                <w:szCs w:val="24"/>
                <w:lang w:val="lt-LT" w:eastAsia="lt-LT"/>
              </w:rPr>
            </w:pPr>
            <w:r w:rsidRPr="006302DA">
              <w:rPr>
                <w:rFonts w:ascii="Times New Roman" w:hAnsi="Times New Roman"/>
                <w:sz w:val="24"/>
                <w:szCs w:val="24"/>
                <w:lang w:val="lt-LT" w:eastAsia="lt-LT"/>
              </w:rPr>
              <w:t xml:space="preserve">Kitų įstaigų darbuotojų darbo užmokesčio išlaidos neturi viršyti atitinkamos specializacijos ir kvalifikacijos darbuotojų vidutinio darbo užmokesčio, išskyrus tinkamai pagrįstus atvejus. </w:t>
            </w:r>
          </w:p>
          <w:p w:rsidR="00882745" w:rsidRPr="006302DA" w:rsidRDefault="00882745" w:rsidP="00770726">
            <w:pPr>
              <w:jc w:val="both"/>
              <w:rPr>
                <w:rFonts w:ascii="Times New Roman" w:hAnsi="Times New Roman"/>
                <w:sz w:val="24"/>
                <w:szCs w:val="24"/>
                <w:lang w:val="lt-LT" w:eastAsia="lt-LT"/>
              </w:rPr>
            </w:pPr>
            <w:r w:rsidRPr="006302DA">
              <w:rPr>
                <w:rFonts w:ascii="Times New Roman" w:hAnsi="Times New Roman"/>
                <w:sz w:val="24"/>
                <w:szCs w:val="24"/>
                <w:lang w:val="lt-LT" w:eastAsia="lt-LT"/>
              </w:rPr>
              <w:t xml:space="preserve">Su darbuotojais, vykdančiais tiesiogines projekto veiklas, turi būti sudaromos darbo sutartys, kai tas darbas yra pagrindinis, arba esamų darbo sutarčių papildymai, kai, be pagrindinių pareigų, sulygstama dėl papildomų funkcijų projekte (tokiu atveju sutartyje turi būti aiškiai įvardyta, kiek laiko dirbama prie projekto, ir nurodomas atlygis). </w:t>
            </w:r>
          </w:p>
          <w:p w:rsidR="00882745" w:rsidRPr="006302DA" w:rsidRDefault="00882745" w:rsidP="00770726">
            <w:pPr>
              <w:jc w:val="both"/>
              <w:rPr>
                <w:rFonts w:ascii="Times New Roman" w:hAnsi="Times New Roman"/>
                <w:sz w:val="24"/>
                <w:szCs w:val="24"/>
                <w:lang w:val="lt-LT" w:eastAsia="lt-LT"/>
              </w:rPr>
            </w:pPr>
            <w:r w:rsidRPr="006302DA">
              <w:rPr>
                <w:rFonts w:ascii="Times New Roman" w:hAnsi="Times New Roman"/>
                <w:sz w:val="24"/>
                <w:szCs w:val="24"/>
                <w:lang w:val="lt-LT" w:eastAsia="lt-LT"/>
              </w:rPr>
              <w:t xml:space="preserve">Asmenims, einantiems valstybės tarnautojo pareigas projekto vykdytojo </w:t>
            </w:r>
            <w:r w:rsidRPr="006302DA">
              <w:rPr>
                <w:rFonts w:ascii="Times New Roman" w:hAnsi="Times New Roman"/>
                <w:sz w:val="24"/>
                <w:szCs w:val="24"/>
                <w:lang w:val="lt-LT" w:eastAsia="lt-LT"/>
              </w:rPr>
              <w:lastRenderedPageBreak/>
              <w:t>ar partnerio institucijoje, taikomos Lietuvos Respublikos valstybės tarnybos įstatymo 17 straipsnio 1 dalies 5 punkto nuostatos ir atskiros darbo sutartys nesudaromos.</w:t>
            </w:r>
          </w:p>
          <w:p w:rsidR="00882745" w:rsidRPr="002509CA" w:rsidRDefault="00882745" w:rsidP="00770726">
            <w:pPr>
              <w:jc w:val="both"/>
              <w:rPr>
                <w:rFonts w:ascii="Times New Roman" w:hAnsi="Times New Roman"/>
                <w:sz w:val="24"/>
                <w:szCs w:val="24"/>
                <w:lang w:val="lt-LT"/>
              </w:rPr>
            </w:pPr>
            <w:r w:rsidRPr="002509CA">
              <w:rPr>
                <w:rFonts w:ascii="Times New Roman" w:hAnsi="Times New Roman"/>
                <w:sz w:val="24"/>
                <w:szCs w:val="24"/>
                <w:lang w:val="lt-LT" w:eastAsia="lt-LT"/>
              </w:rPr>
              <w:t>Projekto vykdytojas privalo užtikrinti, kad projektą vykdantys darbuotojai turėtų išsilavinimą ir kvalifikaciją, atitinkančius projekte numatytas vykdyti funkcijas ir pareigas.</w:t>
            </w:r>
            <w:r w:rsidRPr="005A090F">
              <w:rPr>
                <w:rFonts w:ascii="Times New Roman" w:eastAsia="Calibri" w:hAnsi="Times New Roman"/>
                <w:sz w:val="24"/>
                <w:szCs w:val="24"/>
                <w:lang w:val="lt-LT" w:eastAsia="lt-LT"/>
              </w:rPr>
              <w:t>“</w:t>
            </w:r>
          </w:p>
        </w:tc>
      </w:tr>
    </w:tbl>
    <w:p w:rsidR="00065A3B" w:rsidRPr="002509CA" w:rsidRDefault="00065A3B" w:rsidP="00065A3B">
      <w:pPr>
        <w:ind w:left="1296"/>
        <w:rPr>
          <w:rFonts w:ascii="Times New Roman" w:hAnsi="Times New Roman"/>
          <w:sz w:val="24"/>
          <w:szCs w:val="24"/>
          <w:lang w:val="lt-LT"/>
        </w:rPr>
      </w:pPr>
    </w:p>
    <w:p w:rsidR="005D3E15" w:rsidRPr="005A090F" w:rsidRDefault="00763D15" w:rsidP="005A090F">
      <w:pPr>
        <w:pStyle w:val="Betarp"/>
        <w:numPr>
          <w:ilvl w:val="0"/>
          <w:numId w:val="6"/>
        </w:numPr>
        <w:jc w:val="both"/>
        <w:rPr>
          <w:rFonts w:ascii="Times New Roman" w:hAnsi="Times New Roman"/>
          <w:sz w:val="24"/>
          <w:szCs w:val="24"/>
          <w:lang w:val="lt-LT"/>
        </w:rPr>
      </w:pPr>
      <w:r w:rsidRPr="005A090F">
        <w:rPr>
          <w:rFonts w:ascii="Times New Roman" w:hAnsi="Times New Roman"/>
          <w:sz w:val="24"/>
          <w:szCs w:val="24"/>
          <w:lang w:val="lt-LT"/>
        </w:rPr>
        <w:t>Aprašą papildau</w:t>
      </w:r>
      <w:r w:rsidR="00C47346" w:rsidRPr="005A090F">
        <w:rPr>
          <w:rFonts w:ascii="Times New Roman" w:hAnsi="Times New Roman"/>
          <w:sz w:val="24"/>
          <w:szCs w:val="24"/>
          <w:lang w:val="lt-LT"/>
        </w:rPr>
        <w:t xml:space="preserve"> </w:t>
      </w:r>
      <w:r w:rsidR="00161E0B" w:rsidRPr="005A090F">
        <w:rPr>
          <w:rFonts w:ascii="Times New Roman" w:hAnsi="Times New Roman"/>
          <w:sz w:val="24"/>
          <w:szCs w:val="24"/>
          <w:lang w:val="lt-LT"/>
        </w:rPr>
        <w:t>5</w:t>
      </w:r>
      <w:r w:rsidR="00410645" w:rsidRPr="005A090F">
        <w:rPr>
          <w:rFonts w:ascii="Times New Roman" w:hAnsi="Times New Roman"/>
          <w:sz w:val="24"/>
          <w:szCs w:val="24"/>
          <w:lang w:val="lt-LT"/>
        </w:rPr>
        <w:t>5</w:t>
      </w:r>
      <w:r w:rsidR="00161E0B" w:rsidRPr="005A090F">
        <w:rPr>
          <w:rFonts w:ascii="Times New Roman" w:hAnsi="Times New Roman"/>
          <w:sz w:val="24"/>
          <w:szCs w:val="24"/>
          <w:vertAlign w:val="superscript"/>
          <w:lang w:val="lt-LT"/>
        </w:rPr>
        <w:t>1</w:t>
      </w:r>
      <w:r w:rsidR="00161E0B" w:rsidRPr="005A090F">
        <w:rPr>
          <w:rFonts w:ascii="Times New Roman" w:hAnsi="Times New Roman"/>
          <w:sz w:val="24"/>
          <w:szCs w:val="24"/>
          <w:lang w:val="lt-LT"/>
        </w:rPr>
        <w:t xml:space="preserve"> punktu</w:t>
      </w:r>
      <w:r w:rsidR="00E60135" w:rsidRPr="005A090F">
        <w:rPr>
          <w:rFonts w:ascii="Times New Roman" w:hAnsi="Times New Roman"/>
          <w:sz w:val="24"/>
          <w:szCs w:val="24"/>
          <w:lang w:val="lt-LT"/>
        </w:rPr>
        <w:t>:</w:t>
      </w:r>
    </w:p>
    <w:p w:rsidR="0033386E" w:rsidRPr="002617E7" w:rsidRDefault="00986CF8" w:rsidP="00986CF8">
      <w:pPr>
        <w:ind w:firstLine="1298"/>
        <w:jc w:val="both"/>
        <w:rPr>
          <w:rFonts w:ascii="Times New Roman" w:eastAsia="Calibri" w:hAnsi="Times New Roman"/>
          <w:b/>
          <w:sz w:val="24"/>
          <w:szCs w:val="24"/>
          <w:lang w:val="lt-LT" w:eastAsia="lt-LT"/>
        </w:rPr>
      </w:pPr>
      <w:r w:rsidRPr="009F2EBD">
        <w:rPr>
          <w:rFonts w:ascii="Times New Roman" w:hAnsi="Times New Roman"/>
          <w:b/>
          <w:sz w:val="24"/>
          <w:szCs w:val="24"/>
          <w:lang w:val="lt-LT" w:eastAsia="lt-LT"/>
        </w:rPr>
        <w:t>„</w:t>
      </w:r>
      <w:r w:rsidR="00161E0B" w:rsidRPr="009F2EBD">
        <w:rPr>
          <w:rFonts w:ascii="Times New Roman" w:hAnsi="Times New Roman"/>
          <w:b/>
          <w:sz w:val="24"/>
          <w:szCs w:val="24"/>
          <w:lang w:val="lt-LT" w:eastAsia="lt-LT"/>
        </w:rPr>
        <w:t>5</w:t>
      </w:r>
      <w:r w:rsidR="00410645" w:rsidRPr="009F2EBD">
        <w:rPr>
          <w:rFonts w:ascii="Times New Roman" w:hAnsi="Times New Roman"/>
          <w:b/>
          <w:sz w:val="24"/>
          <w:szCs w:val="24"/>
          <w:lang w:val="lt-LT" w:eastAsia="lt-LT"/>
        </w:rPr>
        <w:t>5</w:t>
      </w:r>
      <w:r w:rsidR="00161E0B" w:rsidRPr="009F2EBD">
        <w:rPr>
          <w:rFonts w:ascii="Times New Roman" w:hAnsi="Times New Roman"/>
          <w:b/>
          <w:sz w:val="24"/>
          <w:szCs w:val="24"/>
          <w:vertAlign w:val="superscript"/>
          <w:lang w:val="lt-LT" w:eastAsia="lt-LT"/>
        </w:rPr>
        <w:t>1</w:t>
      </w:r>
      <w:r w:rsidR="00DE50BD">
        <w:rPr>
          <w:rFonts w:ascii="Times New Roman" w:hAnsi="Times New Roman"/>
          <w:b/>
          <w:sz w:val="24"/>
          <w:szCs w:val="24"/>
          <w:lang w:val="lt-LT" w:eastAsia="lt-LT"/>
        </w:rPr>
        <w:t>.</w:t>
      </w:r>
      <w:r w:rsidR="00161E0B" w:rsidRPr="002617E7">
        <w:rPr>
          <w:rFonts w:ascii="Times New Roman" w:hAnsi="Times New Roman"/>
          <w:b/>
          <w:sz w:val="24"/>
          <w:szCs w:val="24"/>
          <w:vertAlign w:val="superscript"/>
          <w:lang w:val="lt-LT" w:eastAsia="lt-LT"/>
        </w:rPr>
        <w:t xml:space="preserve"> </w:t>
      </w:r>
      <w:r w:rsidR="00161E0B" w:rsidRPr="002617E7">
        <w:rPr>
          <w:rFonts w:ascii="Times New Roman" w:hAnsi="Times New Roman"/>
          <w:b/>
          <w:sz w:val="24"/>
          <w:szCs w:val="24"/>
          <w:lang w:val="lt-LT" w:eastAsia="lt-LT"/>
        </w:rPr>
        <w:t xml:space="preserve">Tais atvejais, kai </w:t>
      </w:r>
      <w:r w:rsidR="0033386E" w:rsidRPr="002617E7">
        <w:rPr>
          <w:rFonts w:ascii="Times New Roman" w:eastAsia="Calibri" w:hAnsi="Times New Roman"/>
          <w:b/>
          <w:sz w:val="24"/>
          <w:szCs w:val="24"/>
          <w:lang w:val="lt-LT" w:eastAsia="lt-LT"/>
        </w:rPr>
        <w:t>darbuotojų darbo užmokesčio išlaidos apmokamos taikant Aprašo 53 punkte nurodytus fiksuotuosius įkainius</w:t>
      </w:r>
      <w:r w:rsidR="00410645" w:rsidRPr="002617E7">
        <w:rPr>
          <w:rFonts w:ascii="Times New Roman" w:eastAsia="Calibri" w:hAnsi="Times New Roman"/>
          <w:b/>
          <w:sz w:val="24"/>
          <w:szCs w:val="24"/>
          <w:lang w:val="lt-LT" w:eastAsia="lt-LT"/>
        </w:rPr>
        <w:t>,</w:t>
      </w:r>
      <w:r w:rsidR="0033386E" w:rsidRPr="002617E7">
        <w:rPr>
          <w:rFonts w:ascii="Times New Roman" w:eastAsia="Calibri" w:hAnsi="Times New Roman"/>
          <w:b/>
          <w:sz w:val="24"/>
          <w:szCs w:val="24"/>
          <w:lang w:val="lt-LT" w:eastAsia="lt-LT"/>
        </w:rPr>
        <w:t xml:space="preserve">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5</w:t>
      </w:r>
      <w:r w:rsidR="00D044B6" w:rsidRPr="002617E7">
        <w:rPr>
          <w:rFonts w:ascii="Times New Roman" w:eastAsia="Calibri" w:hAnsi="Times New Roman"/>
          <w:b/>
          <w:sz w:val="24"/>
          <w:szCs w:val="24"/>
          <w:lang w:val="lt-LT" w:eastAsia="lt-LT"/>
        </w:rPr>
        <w:t>3</w:t>
      </w:r>
      <w:r w:rsidR="0033386E" w:rsidRPr="002617E7">
        <w:rPr>
          <w:rFonts w:ascii="Times New Roman" w:eastAsia="Calibri" w:hAnsi="Times New Roman"/>
          <w:b/>
          <w:sz w:val="24"/>
          <w:szCs w:val="24"/>
          <w:lang w:val="lt-LT" w:eastAsia="lt-LT"/>
        </w:rPr>
        <w:t xml:space="preserve"> punkt</w:t>
      </w:r>
      <w:r w:rsidR="00D044B6" w:rsidRPr="002617E7">
        <w:rPr>
          <w:rFonts w:ascii="Times New Roman" w:eastAsia="Calibri" w:hAnsi="Times New Roman"/>
          <w:b/>
          <w:sz w:val="24"/>
          <w:szCs w:val="24"/>
          <w:lang w:val="lt-LT" w:eastAsia="lt-LT"/>
        </w:rPr>
        <w:t>e</w:t>
      </w:r>
      <w:r w:rsidR="0033386E" w:rsidRPr="002617E7">
        <w:rPr>
          <w:rFonts w:ascii="Times New Roman" w:eastAsia="Calibri" w:hAnsi="Times New Roman"/>
          <w:b/>
          <w:sz w:val="24"/>
          <w:szCs w:val="24"/>
          <w:lang w:val="lt-LT" w:eastAsia="lt-LT"/>
        </w:rPr>
        <w:t xml:space="preserve"> nurodytieji fiksuotieji įkainiai. Šios išlaidos apmokamos </w:t>
      </w:r>
      <w:r w:rsidR="0033386E" w:rsidRPr="002617E7">
        <w:rPr>
          <w:rFonts w:ascii="Times New Roman" w:eastAsia="Calibri" w:hAnsi="Times New Roman"/>
          <w:b/>
          <w:color w:val="000000"/>
          <w:sz w:val="24"/>
          <w:szCs w:val="24"/>
          <w:lang w:val="lt-LT" w:eastAsia="lt-LT"/>
        </w:rPr>
        <w:t>vadovaujantis</w:t>
      </w:r>
      <w:r w:rsidR="0033386E" w:rsidRPr="002617E7">
        <w:rPr>
          <w:rFonts w:ascii="Times New Roman" w:eastAsia="Calibri" w:hAnsi="Times New Roman"/>
          <w:b/>
          <w:sz w:val="24"/>
          <w:szCs w:val="24"/>
          <w:lang w:val="lt-LT" w:eastAsia="lt-LT"/>
        </w:rPr>
        <w:t xml:space="preserve"> Lietuvos Respublikos teisės aktais.“ </w:t>
      </w:r>
    </w:p>
    <w:p w:rsidR="00161E0B" w:rsidRPr="005A090F" w:rsidRDefault="00161E0B" w:rsidP="00E60135">
      <w:pPr>
        <w:pStyle w:val="Betarp"/>
        <w:ind w:firstLine="1298"/>
        <w:jc w:val="both"/>
        <w:rPr>
          <w:rFonts w:ascii="Times New Roman" w:hAnsi="Times New Roman"/>
          <w:sz w:val="24"/>
          <w:szCs w:val="24"/>
          <w:lang w:val="lt-LT"/>
        </w:rPr>
      </w:pPr>
    </w:p>
    <w:p w:rsidR="00392B9E" w:rsidRPr="005A090F" w:rsidRDefault="00392B9E" w:rsidP="00A66272">
      <w:pPr>
        <w:ind w:firstLine="1276"/>
        <w:jc w:val="both"/>
        <w:rPr>
          <w:rFonts w:ascii="Times New Roman" w:hAnsi="Times New Roman"/>
          <w:sz w:val="24"/>
          <w:szCs w:val="24"/>
          <w:lang w:val="lt-LT"/>
        </w:rPr>
      </w:pPr>
    </w:p>
    <w:p w:rsidR="00392B9E" w:rsidRPr="00383FF6" w:rsidRDefault="00392B9E" w:rsidP="005D45F8">
      <w:pPr>
        <w:spacing w:line="360" w:lineRule="auto"/>
        <w:rPr>
          <w:rFonts w:ascii="Times New Roman" w:hAnsi="Times New Roman"/>
          <w:sz w:val="24"/>
          <w:szCs w:val="24"/>
          <w:lang w:val="lt-LT"/>
        </w:rPr>
        <w:sectPr w:rsidR="00392B9E"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763D15"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8"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8"/>
          </w:p>
        </w:tc>
        <w:tc>
          <w:tcPr>
            <w:tcW w:w="4656" w:type="dxa"/>
          </w:tcPr>
          <w:p w:rsidR="003D0BAD" w:rsidRPr="00383FF6" w:rsidRDefault="00D36917" w:rsidP="00D36917">
            <w:pPr>
              <w:jc w:val="right"/>
              <w:rPr>
                <w:rFonts w:ascii="Times New Roman" w:hAnsi="Times New Roman"/>
                <w:sz w:val="24"/>
                <w:szCs w:val="24"/>
                <w:lang w:val="lt-LT" w:eastAsia="lt-LT"/>
              </w:rPr>
            </w:pPr>
            <w:r>
              <w:rPr>
                <w:rFonts w:ascii="Times New Roman" w:hAnsi="Times New Roman"/>
                <w:sz w:val="24"/>
                <w:szCs w:val="24"/>
                <w:lang w:val="lt-LT" w:eastAsia="lt-LT"/>
              </w:rPr>
              <w:t>Linas Kukuraitis</w:t>
            </w:r>
          </w:p>
        </w:tc>
      </w:tr>
      <w:tr w:rsidR="00D36917" w:rsidRPr="00383FF6" w:rsidTr="003D0BAD">
        <w:tc>
          <w:tcPr>
            <w:tcW w:w="4631" w:type="dxa"/>
          </w:tcPr>
          <w:p w:rsidR="00D36917" w:rsidRDefault="00D36917" w:rsidP="003D0BAD">
            <w:pPr>
              <w:rPr>
                <w:rFonts w:ascii="Times New Roman" w:hAnsi="Times New Roman"/>
                <w:sz w:val="24"/>
                <w:szCs w:val="24"/>
                <w:lang w:val="lt-LT" w:eastAsia="lt-LT"/>
              </w:rPr>
            </w:pPr>
          </w:p>
          <w:p w:rsidR="00D36917" w:rsidRDefault="00D36917" w:rsidP="003D0BAD">
            <w:pPr>
              <w:rPr>
                <w:rFonts w:ascii="Times New Roman" w:hAnsi="Times New Roman"/>
                <w:sz w:val="24"/>
                <w:szCs w:val="24"/>
                <w:lang w:val="lt-LT" w:eastAsia="lt-LT"/>
              </w:rPr>
            </w:pPr>
          </w:p>
          <w:p w:rsidR="00D36917" w:rsidRDefault="00D36917" w:rsidP="00D36917">
            <w:pPr>
              <w:rPr>
                <w:rFonts w:ascii="Times New Roman" w:hAnsi="Times New Roman"/>
                <w:sz w:val="24"/>
                <w:szCs w:val="24"/>
                <w:lang w:val="lt-LT" w:eastAsia="lt-LT"/>
              </w:rPr>
            </w:pPr>
          </w:p>
        </w:tc>
        <w:tc>
          <w:tcPr>
            <w:tcW w:w="4656" w:type="dxa"/>
          </w:tcPr>
          <w:p w:rsidR="00D36917" w:rsidRPr="00383FF6" w:rsidRDefault="00D36917" w:rsidP="006C7613">
            <w:pPr>
              <w:jc w:val="right"/>
              <w:rPr>
                <w:rFonts w:ascii="Times New Roman" w:hAnsi="Times New Roman"/>
                <w:sz w:val="24"/>
                <w:szCs w:val="24"/>
                <w:lang w:val="lt-LT" w:eastAsia="lt-LT"/>
              </w:rPr>
            </w:pPr>
          </w:p>
        </w:tc>
      </w:tr>
    </w:tbl>
    <w:p w:rsidR="00282F59" w:rsidRPr="00383FF6" w:rsidRDefault="00282F59" w:rsidP="00DD3A62">
      <w:pPr>
        <w:rPr>
          <w:lang w:val="lt-LT"/>
        </w:rPr>
      </w:pPr>
    </w:p>
    <w:sectPr w:rsidR="00282F59"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3E" w:rsidRDefault="00917E3E">
      <w:r>
        <w:separator/>
      </w:r>
    </w:p>
  </w:endnote>
  <w:endnote w:type="continuationSeparator" w:id="0">
    <w:p w:rsidR="00917E3E" w:rsidRDefault="0091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E2" w:rsidRDefault="00334FE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E2" w:rsidRDefault="00334FE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E2" w:rsidRDefault="00334FE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3E" w:rsidRDefault="00917E3E">
      <w:r>
        <w:separator/>
      </w:r>
    </w:p>
  </w:footnote>
  <w:footnote w:type="continuationSeparator" w:id="0">
    <w:p w:rsidR="00917E3E" w:rsidRDefault="0091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917E3E"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586"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917E3E" w:rsidP="003D0BAD">
    <w:pPr>
      <w:pStyle w:val="Antrats"/>
      <w:framePr w:wrap="around" w:vAnchor="text" w:hAnchor="margin" w:xAlign="center" w:y="1"/>
      <w:rPr>
        <w:rStyle w:val="Puslapionumeri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587"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r w:rsidR="00D761EC">
      <w:rPr>
        <w:rStyle w:val="Puslapionumeris"/>
      </w:rPr>
      <w:fldChar w:fldCharType="begin"/>
    </w:r>
    <w:r w:rsidR="003D0BAD">
      <w:rPr>
        <w:rStyle w:val="Puslapionumeris"/>
      </w:rPr>
      <w:instrText xml:space="preserve">PAGE  </w:instrText>
    </w:r>
    <w:r w:rsidR="00D761EC">
      <w:rPr>
        <w:rStyle w:val="Puslapionumeris"/>
      </w:rPr>
      <w:fldChar w:fldCharType="separate"/>
    </w:r>
    <w:r w:rsidR="00524FFC">
      <w:rPr>
        <w:rStyle w:val="Puslapionumeris"/>
        <w:noProof/>
      </w:rPr>
      <w:t>2</w:t>
    </w:r>
    <w:r w:rsidR="00D761EC">
      <w:rPr>
        <w:rStyle w:val="Puslapionumeris"/>
      </w:rPr>
      <w:fldChar w:fldCharType="end"/>
    </w:r>
  </w:p>
  <w:p w:rsidR="003D0BAD" w:rsidRDefault="003D0B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E2" w:rsidRDefault="00917E3E">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585"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TimesLT&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03"/>
    <w:multiLevelType w:val="hybridMultilevel"/>
    <w:tmpl w:val="468E1EBE"/>
    <w:lvl w:ilvl="0" w:tplc="3F3A09E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07BA223D"/>
    <w:multiLevelType w:val="hybridMultilevel"/>
    <w:tmpl w:val="C51069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216B44"/>
    <w:multiLevelType w:val="multilevel"/>
    <w:tmpl w:val="19B81752"/>
    <w:lvl w:ilvl="0">
      <w:start w:val="1"/>
      <w:numFmt w:val="decimal"/>
      <w:lvlText w:val="%1."/>
      <w:lvlJc w:val="left"/>
      <w:pPr>
        <w:tabs>
          <w:tab w:val="num" w:pos="1495"/>
        </w:tabs>
        <w:ind w:left="0" w:firstLine="0"/>
      </w:pPr>
    </w:lvl>
    <w:lvl w:ilvl="1">
      <w:start w:val="1"/>
      <w:numFmt w:val="decimal"/>
      <w:lvlText w:val="%1.%2."/>
      <w:lvlJc w:val="left"/>
      <w:pPr>
        <w:tabs>
          <w:tab w:val="num" w:pos="1437"/>
        </w:tabs>
        <w:ind w:left="1077" w:firstLine="0"/>
      </w:pPr>
    </w:lvl>
    <w:lvl w:ilvl="2">
      <w:start w:val="1"/>
      <w:numFmt w:val="decimal"/>
      <w:lvlText w:val="%1.%2.%3."/>
      <w:lvlJc w:val="left"/>
      <w:pPr>
        <w:tabs>
          <w:tab w:val="num" w:pos="2514"/>
        </w:tabs>
        <w:ind w:left="2154" w:firstLine="0"/>
      </w:pPr>
    </w:lvl>
    <w:lvl w:ilvl="3">
      <w:start w:val="1"/>
      <w:numFmt w:val="decimal"/>
      <w:lvlText w:val="%1.%2.%3.%4."/>
      <w:lvlJc w:val="left"/>
      <w:pPr>
        <w:tabs>
          <w:tab w:val="num" w:pos="3591"/>
        </w:tabs>
        <w:ind w:left="3231" w:firstLine="0"/>
      </w:pPr>
    </w:lvl>
    <w:lvl w:ilvl="4">
      <w:start w:val="1"/>
      <w:numFmt w:val="decimal"/>
      <w:lvlText w:val="%1.%2.%3.%4.%5."/>
      <w:lvlJc w:val="left"/>
      <w:pPr>
        <w:tabs>
          <w:tab w:val="num" w:pos="4668"/>
        </w:tabs>
        <w:ind w:left="4308" w:firstLine="0"/>
      </w:pPr>
    </w:lvl>
    <w:lvl w:ilvl="5">
      <w:start w:val="1"/>
      <w:numFmt w:val="decimal"/>
      <w:lvlText w:val="%1.%2.%3.%4.%5.%6."/>
      <w:lvlJc w:val="left"/>
      <w:pPr>
        <w:tabs>
          <w:tab w:val="num" w:pos="5745"/>
        </w:tabs>
        <w:ind w:left="5385" w:firstLine="0"/>
      </w:pPr>
    </w:lvl>
    <w:lvl w:ilvl="6">
      <w:start w:val="1"/>
      <w:numFmt w:val="decimal"/>
      <w:lvlText w:val="%1.%2.%3.%4.%5.%6.%7."/>
      <w:lvlJc w:val="left"/>
      <w:pPr>
        <w:tabs>
          <w:tab w:val="num" w:pos="6822"/>
        </w:tabs>
        <w:ind w:left="6462" w:firstLine="0"/>
      </w:pPr>
    </w:lvl>
    <w:lvl w:ilvl="7">
      <w:start w:val="1"/>
      <w:numFmt w:val="decimal"/>
      <w:lvlText w:val="%1.%2.%3.%4.%5.%6.%7.%8."/>
      <w:lvlJc w:val="left"/>
      <w:pPr>
        <w:tabs>
          <w:tab w:val="num" w:pos="7899"/>
        </w:tabs>
        <w:ind w:left="7539" w:firstLine="0"/>
      </w:pPr>
    </w:lvl>
    <w:lvl w:ilvl="8">
      <w:start w:val="1"/>
      <w:numFmt w:val="decimal"/>
      <w:lvlText w:val="%1.%2.%3.%4.%5.%6.%7.%8.%9."/>
      <w:lvlJc w:val="left"/>
      <w:pPr>
        <w:tabs>
          <w:tab w:val="num" w:pos="8976"/>
        </w:tabs>
        <w:ind w:left="8616" w:firstLine="0"/>
      </w:pPr>
    </w:lvl>
  </w:abstractNum>
  <w:abstractNum w:abstractNumId="3">
    <w:nsid w:val="094D0E87"/>
    <w:multiLevelType w:val="hybridMultilevel"/>
    <w:tmpl w:val="C9289852"/>
    <w:lvl w:ilvl="0" w:tplc="1882A07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46DA57B2"/>
    <w:multiLevelType w:val="hybridMultilevel"/>
    <w:tmpl w:val="64C4240A"/>
    <w:lvl w:ilvl="0" w:tplc="32C89A3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nsid w:val="6F1D08F3"/>
    <w:multiLevelType w:val="hybridMultilevel"/>
    <w:tmpl w:val="46384854"/>
    <w:lvl w:ilvl="0" w:tplc="C5F83B2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6384"/>
    <w:rsid w:val="00016B0C"/>
    <w:rsid w:val="00030552"/>
    <w:rsid w:val="00065A3B"/>
    <w:rsid w:val="00066E5B"/>
    <w:rsid w:val="000B1E95"/>
    <w:rsid w:val="000C354E"/>
    <w:rsid w:val="000E71A7"/>
    <w:rsid w:val="000F3243"/>
    <w:rsid w:val="00113F52"/>
    <w:rsid w:val="00122144"/>
    <w:rsid w:val="0014073C"/>
    <w:rsid w:val="001524A9"/>
    <w:rsid w:val="00161E0B"/>
    <w:rsid w:val="001771C3"/>
    <w:rsid w:val="001C59B5"/>
    <w:rsid w:val="001D7531"/>
    <w:rsid w:val="001F38C5"/>
    <w:rsid w:val="00202AB4"/>
    <w:rsid w:val="0021206F"/>
    <w:rsid w:val="00221151"/>
    <w:rsid w:val="002509CA"/>
    <w:rsid w:val="002575AE"/>
    <w:rsid w:val="002617E7"/>
    <w:rsid w:val="00273DA7"/>
    <w:rsid w:val="0027739E"/>
    <w:rsid w:val="00282F59"/>
    <w:rsid w:val="002A07D8"/>
    <w:rsid w:val="002C3984"/>
    <w:rsid w:val="002F0835"/>
    <w:rsid w:val="0033315F"/>
    <w:rsid w:val="0033386E"/>
    <w:rsid w:val="00334FE2"/>
    <w:rsid w:val="00351A7C"/>
    <w:rsid w:val="003635FB"/>
    <w:rsid w:val="00372173"/>
    <w:rsid w:val="00383FF6"/>
    <w:rsid w:val="00387A2F"/>
    <w:rsid w:val="00392B9E"/>
    <w:rsid w:val="003A46D1"/>
    <w:rsid w:val="003B65BD"/>
    <w:rsid w:val="003C244D"/>
    <w:rsid w:val="003D0BAD"/>
    <w:rsid w:val="003E29D5"/>
    <w:rsid w:val="003E696D"/>
    <w:rsid w:val="003F679C"/>
    <w:rsid w:val="00403231"/>
    <w:rsid w:val="00407E28"/>
    <w:rsid w:val="00410645"/>
    <w:rsid w:val="004159F8"/>
    <w:rsid w:val="00421FC8"/>
    <w:rsid w:val="004377ED"/>
    <w:rsid w:val="00473B71"/>
    <w:rsid w:val="004A2F04"/>
    <w:rsid w:val="004A759E"/>
    <w:rsid w:val="004B3F25"/>
    <w:rsid w:val="004F70E6"/>
    <w:rsid w:val="00524FFC"/>
    <w:rsid w:val="00545DDF"/>
    <w:rsid w:val="00576C15"/>
    <w:rsid w:val="005A090F"/>
    <w:rsid w:val="005D3E15"/>
    <w:rsid w:val="005D45F8"/>
    <w:rsid w:val="005F2377"/>
    <w:rsid w:val="006006EE"/>
    <w:rsid w:val="00607E53"/>
    <w:rsid w:val="006301D9"/>
    <w:rsid w:val="006302DA"/>
    <w:rsid w:val="00641B46"/>
    <w:rsid w:val="00641E74"/>
    <w:rsid w:val="00647595"/>
    <w:rsid w:val="00660267"/>
    <w:rsid w:val="00672AAB"/>
    <w:rsid w:val="0069269C"/>
    <w:rsid w:val="006A6BA7"/>
    <w:rsid w:val="006C7613"/>
    <w:rsid w:val="006D2F7C"/>
    <w:rsid w:val="006F6911"/>
    <w:rsid w:val="006F7593"/>
    <w:rsid w:val="00703256"/>
    <w:rsid w:val="00722155"/>
    <w:rsid w:val="0072718E"/>
    <w:rsid w:val="00736588"/>
    <w:rsid w:val="00740DE5"/>
    <w:rsid w:val="00740DFD"/>
    <w:rsid w:val="00746BC4"/>
    <w:rsid w:val="0075797E"/>
    <w:rsid w:val="00763D15"/>
    <w:rsid w:val="00770726"/>
    <w:rsid w:val="007756AF"/>
    <w:rsid w:val="00797DEF"/>
    <w:rsid w:val="007B7EF5"/>
    <w:rsid w:val="007C49C6"/>
    <w:rsid w:val="007E7D86"/>
    <w:rsid w:val="00835C51"/>
    <w:rsid w:val="00881151"/>
    <w:rsid w:val="00882745"/>
    <w:rsid w:val="00893A56"/>
    <w:rsid w:val="008A17C0"/>
    <w:rsid w:val="008C06C8"/>
    <w:rsid w:val="008C7C0A"/>
    <w:rsid w:val="008D77F8"/>
    <w:rsid w:val="00912EAE"/>
    <w:rsid w:val="009151E3"/>
    <w:rsid w:val="00917E3E"/>
    <w:rsid w:val="00921E62"/>
    <w:rsid w:val="009376FC"/>
    <w:rsid w:val="00954862"/>
    <w:rsid w:val="00986CF8"/>
    <w:rsid w:val="009B56AF"/>
    <w:rsid w:val="009E0F7B"/>
    <w:rsid w:val="009F2EBD"/>
    <w:rsid w:val="009F5048"/>
    <w:rsid w:val="00A11FD0"/>
    <w:rsid w:val="00A13DF9"/>
    <w:rsid w:val="00A208CC"/>
    <w:rsid w:val="00A66272"/>
    <w:rsid w:val="00A94D42"/>
    <w:rsid w:val="00AD1964"/>
    <w:rsid w:val="00B34374"/>
    <w:rsid w:val="00B9607D"/>
    <w:rsid w:val="00BB2A15"/>
    <w:rsid w:val="00BC4CEB"/>
    <w:rsid w:val="00BD2F2B"/>
    <w:rsid w:val="00BF2821"/>
    <w:rsid w:val="00C03496"/>
    <w:rsid w:val="00C03A75"/>
    <w:rsid w:val="00C155B4"/>
    <w:rsid w:val="00C2154D"/>
    <w:rsid w:val="00C234D7"/>
    <w:rsid w:val="00C23B62"/>
    <w:rsid w:val="00C31135"/>
    <w:rsid w:val="00C4587D"/>
    <w:rsid w:val="00C47346"/>
    <w:rsid w:val="00C527F0"/>
    <w:rsid w:val="00CB5C8A"/>
    <w:rsid w:val="00D044B6"/>
    <w:rsid w:val="00D36917"/>
    <w:rsid w:val="00D4579D"/>
    <w:rsid w:val="00D63B2A"/>
    <w:rsid w:val="00D67987"/>
    <w:rsid w:val="00D761EC"/>
    <w:rsid w:val="00DA3EC4"/>
    <w:rsid w:val="00DD3A62"/>
    <w:rsid w:val="00DE50BD"/>
    <w:rsid w:val="00E0291A"/>
    <w:rsid w:val="00E17E91"/>
    <w:rsid w:val="00E60135"/>
    <w:rsid w:val="00EE3CDF"/>
    <w:rsid w:val="00EF2E1B"/>
    <w:rsid w:val="00F05FCC"/>
    <w:rsid w:val="00F119A7"/>
    <w:rsid w:val="00F47AC6"/>
    <w:rsid w:val="00F50B14"/>
    <w:rsid w:val="00F54BC4"/>
    <w:rsid w:val="00F57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90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 w:type="paragraph" w:styleId="Porat">
    <w:name w:val="footer"/>
    <w:basedOn w:val="prastasis"/>
    <w:link w:val="PoratDiagrama"/>
    <w:uiPriority w:val="99"/>
    <w:unhideWhenUsed/>
    <w:rsid w:val="00334FE2"/>
    <w:pPr>
      <w:tabs>
        <w:tab w:val="center" w:pos="4819"/>
        <w:tab w:val="right" w:pos="9638"/>
      </w:tabs>
    </w:pPr>
  </w:style>
  <w:style w:type="character" w:customStyle="1" w:styleId="PoratDiagrama">
    <w:name w:val="Poraštė Diagrama"/>
    <w:basedOn w:val="Numatytasispastraiposriftas"/>
    <w:link w:val="Porat"/>
    <w:uiPriority w:val="99"/>
    <w:rsid w:val="00334FE2"/>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90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 w:type="paragraph" w:styleId="Porat">
    <w:name w:val="footer"/>
    <w:basedOn w:val="prastasis"/>
    <w:link w:val="PoratDiagrama"/>
    <w:uiPriority w:val="99"/>
    <w:unhideWhenUsed/>
    <w:rsid w:val="00334FE2"/>
    <w:pPr>
      <w:tabs>
        <w:tab w:val="center" w:pos="4819"/>
        <w:tab w:val="right" w:pos="9638"/>
      </w:tabs>
    </w:pPr>
  </w:style>
  <w:style w:type="character" w:customStyle="1" w:styleId="PoratDiagrama">
    <w:name w:val="Poraštė Diagrama"/>
    <w:basedOn w:val="Numatytasispastraiposriftas"/>
    <w:link w:val="Porat"/>
    <w:uiPriority w:val="99"/>
    <w:rsid w:val="00334FE2"/>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1238">
      <w:bodyDiv w:val="1"/>
      <w:marLeft w:val="0"/>
      <w:marRight w:val="0"/>
      <w:marTop w:val="0"/>
      <w:marBottom w:val="0"/>
      <w:divBdr>
        <w:top w:val="none" w:sz="0" w:space="0" w:color="auto"/>
        <w:left w:val="none" w:sz="0" w:space="0" w:color="auto"/>
        <w:bottom w:val="none" w:sz="0" w:space="0" w:color="auto"/>
        <w:right w:val="none" w:sz="0" w:space="0" w:color="auto"/>
      </w:divBdr>
    </w:div>
    <w:div w:id="821040748">
      <w:bodyDiv w:val="1"/>
      <w:marLeft w:val="0"/>
      <w:marRight w:val="0"/>
      <w:marTop w:val="0"/>
      <w:marBottom w:val="0"/>
      <w:divBdr>
        <w:top w:val="none" w:sz="0" w:space="0" w:color="auto"/>
        <w:left w:val="none" w:sz="0" w:space="0" w:color="auto"/>
        <w:bottom w:val="none" w:sz="0" w:space="0" w:color="auto"/>
        <w:right w:val="none" w:sz="0" w:space="0" w:color="auto"/>
      </w:divBdr>
    </w:div>
    <w:div w:id="1534730426">
      <w:bodyDiv w:val="1"/>
      <w:marLeft w:val="0"/>
      <w:marRight w:val="0"/>
      <w:marTop w:val="0"/>
      <w:marBottom w:val="0"/>
      <w:divBdr>
        <w:top w:val="none" w:sz="0" w:space="0" w:color="auto"/>
        <w:left w:val="none" w:sz="0" w:space="0" w:color="auto"/>
        <w:bottom w:val="none" w:sz="0" w:space="0" w:color="auto"/>
        <w:right w:val="none" w:sz="0" w:space="0" w:color="auto"/>
      </w:divBdr>
      <w:divsChild>
        <w:div w:id="1029139900">
          <w:marLeft w:val="0"/>
          <w:marRight w:val="0"/>
          <w:marTop w:val="0"/>
          <w:marBottom w:val="0"/>
          <w:divBdr>
            <w:top w:val="none" w:sz="0" w:space="0" w:color="auto"/>
            <w:left w:val="none" w:sz="0" w:space="0" w:color="auto"/>
            <w:bottom w:val="none" w:sz="0" w:space="0" w:color="auto"/>
            <w:right w:val="none" w:sz="0" w:space="0" w:color="auto"/>
          </w:divBdr>
          <w:divsChild>
            <w:div w:id="727218072">
              <w:marLeft w:val="0"/>
              <w:marRight w:val="0"/>
              <w:marTop w:val="0"/>
              <w:marBottom w:val="0"/>
              <w:divBdr>
                <w:top w:val="none" w:sz="0" w:space="0" w:color="auto"/>
                <w:left w:val="none" w:sz="0" w:space="0" w:color="auto"/>
                <w:bottom w:val="none" w:sz="0" w:space="0" w:color="auto"/>
                <w:right w:val="none" w:sz="0" w:space="0" w:color="auto"/>
              </w:divBdr>
              <w:divsChild>
                <w:div w:id="631903815">
                  <w:marLeft w:val="0"/>
                  <w:marRight w:val="0"/>
                  <w:marTop w:val="0"/>
                  <w:marBottom w:val="0"/>
                  <w:divBdr>
                    <w:top w:val="none" w:sz="0" w:space="0" w:color="auto"/>
                    <w:left w:val="none" w:sz="0" w:space="0" w:color="auto"/>
                    <w:bottom w:val="none" w:sz="0" w:space="0" w:color="auto"/>
                    <w:right w:val="none" w:sz="0" w:space="0" w:color="auto"/>
                  </w:divBdr>
                  <w:divsChild>
                    <w:div w:id="91054574">
                      <w:marLeft w:val="0"/>
                      <w:marRight w:val="0"/>
                      <w:marTop w:val="0"/>
                      <w:marBottom w:val="0"/>
                      <w:divBdr>
                        <w:top w:val="none" w:sz="0" w:space="0" w:color="auto"/>
                        <w:left w:val="none" w:sz="0" w:space="0" w:color="auto"/>
                        <w:bottom w:val="none" w:sz="0" w:space="0" w:color="auto"/>
                        <w:right w:val="none" w:sz="0" w:space="0" w:color="auto"/>
                      </w:divBdr>
                    </w:div>
                    <w:div w:id="45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E2D50-7C02-4CCC-8201-37AAA2ED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2389</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5</cp:revision>
  <cp:lastPrinted>2018-01-29T07:35:00Z</cp:lastPrinted>
  <dcterms:created xsi:type="dcterms:W3CDTF">2018-02-27T07:38:00Z</dcterms:created>
  <dcterms:modified xsi:type="dcterms:W3CDTF">2018-02-27T08:53:00Z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-183156354</vt:i4>
  </property>
  <property fmtid="{D5CDD505-2E9C-101B-9397-08002B2CF9AE}" pid="3" name="_NewReviewCycle">
    <vt:lpwstr/>
  </property>
  <property fmtid="{D5CDD505-2E9C-101B-9397-08002B2CF9AE}" pid="4" name="_EmailSubject">
    <vt:lpwstr>isakymu projektu patalpinimas</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ReviewingToolsShownOnce">
    <vt:lpwstr/>
  </property>
</Properties>
</file>