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FD" w:rsidRPr="006619BE" w:rsidRDefault="006619BE" w:rsidP="006619BE">
      <w:pPr>
        <w:tabs>
          <w:tab w:val="center" w:pos="4153"/>
          <w:tab w:val="right" w:pos="8306"/>
        </w:tabs>
        <w:jc w:val="right"/>
        <w:rPr>
          <w:b/>
          <w:i/>
          <w:szCs w:val="24"/>
        </w:rPr>
      </w:pPr>
      <w:bookmarkStart w:id="0" w:name="_GoBack"/>
      <w:bookmarkEnd w:id="0"/>
      <w:r w:rsidRPr="006619BE">
        <w:rPr>
          <w:b/>
          <w:i/>
          <w:szCs w:val="24"/>
        </w:rPr>
        <w:t>Lyginamasis variantas</w:t>
      </w:r>
    </w:p>
    <w:p w:rsidR="00F4299C" w:rsidRPr="00442954" w:rsidRDefault="00F4299C">
      <w:pPr>
        <w:tabs>
          <w:tab w:val="center" w:pos="4153"/>
          <w:tab w:val="right" w:pos="8306"/>
        </w:tabs>
        <w:jc w:val="center"/>
        <w:rPr>
          <w:szCs w:val="24"/>
        </w:rPr>
      </w:pPr>
    </w:p>
    <w:p w:rsidR="00F67AFD" w:rsidRPr="00442954" w:rsidRDefault="00FB3FB2">
      <w:pPr>
        <w:tabs>
          <w:tab w:val="center" w:pos="4153"/>
          <w:tab w:val="right" w:pos="8306"/>
        </w:tabs>
        <w:jc w:val="center"/>
        <w:rPr>
          <w:b/>
          <w:bCs/>
          <w:szCs w:val="24"/>
        </w:rPr>
      </w:pPr>
      <w:r w:rsidRPr="00442954">
        <w:rPr>
          <w:b/>
          <w:bCs/>
          <w:szCs w:val="24"/>
        </w:rPr>
        <w:t>LIETUVOS RESPUBLIKOS SVEIKATOS APSAUGOS MINISTRAS</w:t>
      </w:r>
    </w:p>
    <w:p w:rsidR="00F67AFD" w:rsidRPr="00442954" w:rsidRDefault="00F67AFD">
      <w:pPr>
        <w:tabs>
          <w:tab w:val="center" w:pos="4153"/>
          <w:tab w:val="right" w:pos="8306"/>
        </w:tabs>
        <w:jc w:val="center"/>
        <w:rPr>
          <w:b/>
          <w:bCs/>
          <w:szCs w:val="24"/>
        </w:rPr>
      </w:pPr>
    </w:p>
    <w:p w:rsidR="00F67AFD" w:rsidRPr="00442954" w:rsidRDefault="00FB3FB2">
      <w:pPr>
        <w:tabs>
          <w:tab w:val="center" w:pos="4153"/>
          <w:tab w:val="right" w:pos="8306"/>
        </w:tabs>
        <w:jc w:val="center"/>
        <w:rPr>
          <w:szCs w:val="24"/>
        </w:rPr>
      </w:pPr>
      <w:r w:rsidRPr="00442954">
        <w:rPr>
          <w:b/>
          <w:bCs/>
          <w:szCs w:val="24"/>
        </w:rPr>
        <w:t>ĮSAKYMAS</w:t>
      </w:r>
    </w:p>
    <w:p w:rsidR="00F67AFD" w:rsidRPr="00442954" w:rsidRDefault="00FB3FB2">
      <w:pPr>
        <w:jc w:val="center"/>
        <w:rPr>
          <w:szCs w:val="24"/>
        </w:rPr>
      </w:pPr>
      <w:r w:rsidRPr="00442954">
        <w:rPr>
          <w:rFonts w:eastAsia="Calibri"/>
          <w:b/>
          <w:bCs/>
          <w:color w:val="000000"/>
          <w:szCs w:val="24"/>
        </w:rPr>
        <w:t xml:space="preserve">DĖL </w:t>
      </w:r>
      <w:r w:rsidRPr="00442954">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442954" w:rsidRPr="00442954" w:rsidRDefault="00442954">
      <w:pPr>
        <w:jc w:val="center"/>
        <w:rPr>
          <w:b/>
          <w:color w:val="000000"/>
          <w:szCs w:val="24"/>
        </w:rPr>
      </w:pPr>
    </w:p>
    <w:p w:rsidR="009342F7" w:rsidRPr="00442954" w:rsidRDefault="00FB3FB2">
      <w:pPr>
        <w:jc w:val="center"/>
        <w:rPr>
          <w:color w:val="000000"/>
          <w:szCs w:val="24"/>
        </w:rPr>
      </w:pPr>
      <w:r w:rsidRPr="00442954">
        <w:rPr>
          <w:color w:val="000000"/>
          <w:szCs w:val="24"/>
        </w:rPr>
        <w:t>201</w:t>
      </w:r>
      <w:r w:rsidR="00FC7C0E">
        <w:rPr>
          <w:color w:val="000000"/>
          <w:szCs w:val="24"/>
        </w:rPr>
        <w:t>8</w:t>
      </w:r>
      <w:r w:rsidRPr="00442954">
        <w:rPr>
          <w:color w:val="000000"/>
          <w:szCs w:val="24"/>
        </w:rPr>
        <w:t xml:space="preserve"> m.</w:t>
      </w:r>
      <w:r w:rsidR="00FC7C0E">
        <w:rPr>
          <w:color w:val="000000"/>
          <w:szCs w:val="24"/>
        </w:rPr>
        <w:t xml:space="preserve"> vasario</w:t>
      </w:r>
      <w:r w:rsidR="00931383">
        <w:rPr>
          <w:color w:val="000000"/>
          <w:szCs w:val="24"/>
        </w:rPr>
        <w:t xml:space="preserve">        </w:t>
      </w:r>
      <w:r w:rsidR="00A021F9" w:rsidRPr="00442954">
        <w:rPr>
          <w:color w:val="000000"/>
          <w:spacing w:val="-9"/>
          <w:szCs w:val="24"/>
        </w:rPr>
        <w:t xml:space="preserve"> </w:t>
      </w:r>
      <w:r w:rsidRPr="00442954">
        <w:rPr>
          <w:color w:val="000000"/>
          <w:szCs w:val="24"/>
        </w:rPr>
        <w:t>d. Nr. V-</w:t>
      </w:r>
      <w:r w:rsidR="004145F6" w:rsidRPr="00442954">
        <w:rPr>
          <w:color w:val="000000"/>
          <w:szCs w:val="24"/>
        </w:rPr>
        <w:t xml:space="preserve"> </w:t>
      </w:r>
    </w:p>
    <w:p w:rsidR="00F67AFD" w:rsidRPr="00442954" w:rsidRDefault="00FB3FB2">
      <w:pPr>
        <w:jc w:val="center"/>
        <w:rPr>
          <w:color w:val="000000"/>
          <w:szCs w:val="24"/>
        </w:rPr>
      </w:pPr>
      <w:r w:rsidRPr="00442954">
        <w:rPr>
          <w:color w:val="000000"/>
          <w:szCs w:val="24"/>
        </w:rPr>
        <w:t>Vilnius</w:t>
      </w:r>
    </w:p>
    <w:p w:rsidR="00F67AFD" w:rsidRPr="00442954" w:rsidRDefault="00F67AFD" w:rsidP="00E343AB">
      <w:pPr>
        <w:rPr>
          <w:color w:val="000000"/>
          <w:szCs w:val="24"/>
        </w:rPr>
      </w:pPr>
    </w:p>
    <w:p w:rsidR="007F1078" w:rsidRPr="00FC7C0E" w:rsidRDefault="007F1078" w:rsidP="00FC7C0E">
      <w:pPr>
        <w:tabs>
          <w:tab w:val="left" w:pos="1134"/>
          <w:tab w:val="left" w:pos="1276"/>
        </w:tabs>
        <w:ind w:right="111" w:firstLine="851"/>
        <w:jc w:val="both"/>
        <w:rPr>
          <w:bCs/>
          <w:color w:val="000000"/>
          <w:szCs w:val="24"/>
          <w:lang w:eastAsia="lt-LT"/>
        </w:rPr>
      </w:pPr>
      <w:r w:rsidRPr="00442954">
        <w:rPr>
          <w:color w:val="000000"/>
          <w:szCs w:val="24"/>
          <w:lang w:eastAsia="lt-LT"/>
        </w:rPr>
        <w:t xml:space="preserve">P a k e i č i u 2014–2020 metų Europos Sąjungos fondų investicijų veiksmų programos, patvirtintos 2014 m. rugsėjo 8 d. Europos Komisijos sprendimu, 8 prioriteto „Socialinės </w:t>
      </w:r>
      <w:proofErr w:type="spellStart"/>
      <w:r w:rsidRPr="00442954">
        <w:rPr>
          <w:color w:val="000000"/>
          <w:szCs w:val="24"/>
          <w:lang w:eastAsia="lt-LT"/>
        </w:rPr>
        <w:t>įtraukties</w:t>
      </w:r>
      <w:proofErr w:type="spellEnd"/>
      <w:r w:rsidRPr="00442954">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442954">
        <w:rPr>
          <w:color w:val="000000"/>
          <w:szCs w:val="24"/>
          <w:lang w:eastAsia="lt-LT"/>
        </w:rPr>
        <w:t>įtraukties</w:t>
      </w:r>
      <w:proofErr w:type="spellEnd"/>
      <w:r w:rsidRPr="00442954">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860AEA">
        <w:rPr>
          <w:color w:val="000000"/>
          <w:szCs w:val="24"/>
          <w:lang w:eastAsia="lt-LT"/>
        </w:rPr>
        <w:t xml:space="preserve"> ir penkioliktajame skirsnyje</w:t>
      </w:r>
      <w:r w:rsidR="00C910B3" w:rsidRPr="00C910B3">
        <w:rPr>
          <w:color w:val="000000"/>
          <w:szCs w:val="24"/>
          <w:lang w:eastAsia="lt-LT"/>
        </w:rPr>
        <w:t xml:space="preserve"> „Veiksmų programos prioriteto įgyvendinimo priemonė </w:t>
      </w:r>
      <w:r w:rsidR="00C910B3" w:rsidRPr="00C910B3">
        <w:rPr>
          <w:bCs/>
          <w:color w:val="000000"/>
          <w:szCs w:val="24"/>
          <w:lang w:eastAsia="lt-LT"/>
        </w:rPr>
        <w:t xml:space="preserve">Nr. </w:t>
      </w:r>
      <w:r w:rsidR="00C910B3" w:rsidRPr="00C910B3">
        <w:rPr>
          <w:color w:val="000000"/>
          <w:szCs w:val="24"/>
          <w:lang w:eastAsia="lt-LT"/>
        </w:rPr>
        <w:t>08.1.3-CPVA-R-609</w:t>
      </w:r>
      <w:r w:rsidR="00C910B3" w:rsidRPr="00C910B3">
        <w:rPr>
          <w:b/>
          <w:color w:val="000000"/>
          <w:szCs w:val="24"/>
          <w:lang w:eastAsia="lt-LT"/>
        </w:rPr>
        <w:t xml:space="preserve"> </w:t>
      </w:r>
      <w:r w:rsidR="00C910B3" w:rsidRPr="00C910B3">
        <w:rPr>
          <w:bCs/>
          <w:color w:val="000000"/>
          <w:szCs w:val="24"/>
          <w:lang w:eastAsia="lt-LT"/>
        </w:rPr>
        <w:t>„Pirminės asmens ir visuomenės sveikatos priežiūros veiklos efektyvumo didinimas“</w:t>
      </w:r>
      <w:r w:rsidR="00E343AB">
        <w:rPr>
          <w:bCs/>
          <w:color w:val="000000"/>
          <w:szCs w:val="24"/>
          <w:lang w:eastAsia="lt-LT"/>
        </w:rPr>
        <w:t xml:space="preserve"> </w:t>
      </w:r>
      <w:r w:rsidR="003F3AAE">
        <w:rPr>
          <w:bCs/>
          <w:color w:val="000000"/>
          <w:szCs w:val="24"/>
          <w:lang w:eastAsia="lt-LT"/>
        </w:rPr>
        <w:t xml:space="preserve">pakeičiu </w:t>
      </w:r>
      <w:r w:rsidR="00860AEA">
        <w:rPr>
          <w:bCs/>
          <w:color w:val="000000"/>
          <w:szCs w:val="24"/>
          <w:lang w:eastAsia="lt-LT"/>
        </w:rPr>
        <w:t>1 punktą ir jį išdėstau taip:</w:t>
      </w:r>
      <w:r w:rsidR="00C910B3" w:rsidRPr="00C910B3">
        <w:rPr>
          <w:bCs/>
          <w:color w:val="000000"/>
          <w:szCs w:val="24"/>
          <w:lang w:eastAsia="lt-LT"/>
        </w:rPr>
        <w:t xml:space="preserve"> </w:t>
      </w:r>
    </w:p>
    <w:p w:rsidR="007F1078" w:rsidRPr="007F1078" w:rsidRDefault="00860AEA" w:rsidP="00860AEA">
      <w:pPr>
        <w:tabs>
          <w:tab w:val="left" w:pos="0"/>
          <w:tab w:val="left" w:pos="567"/>
        </w:tabs>
        <w:suppressAutoHyphens w:val="0"/>
        <w:autoSpaceDN/>
        <w:spacing w:line="276" w:lineRule="auto"/>
        <w:ind w:firstLine="851"/>
        <w:textAlignment w:val="auto"/>
        <w:rPr>
          <w:color w:val="000000"/>
          <w:szCs w:val="24"/>
          <w:lang w:eastAsia="lt-LT"/>
        </w:rPr>
      </w:pPr>
      <w:r>
        <w:rPr>
          <w:color w:val="000000"/>
          <w:szCs w:val="24"/>
          <w:lang w:eastAsia="lt-LT"/>
        </w:rPr>
        <w:t xml:space="preserve">„1. </w:t>
      </w:r>
      <w:r w:rsidR="007F1078" w:rsidRPr="007F1078">
        <w:rPr>
          <w:color w:val="000000"/>
          <w:szCs w:val="24"/>
          <w:lang w:eastAsia="lt-LT"/>
        </w:rPr>
        <w:t>Priemonės aprašymas</w:t>
      </w:r>
    </w:p>
    <w:tbl>
      <w:tblPr>
        <w:tblW w:w="1448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8"/>
      </w:tblGrid>
      <w:tr w:rsidR="007F1078" w:rsidRPr="007F1078" w:rsidTr="00FF5386">
        <w:tc>
          <w:tcPr>
            <w:tcW w:w="14488" w:type="dxa"/>
            <w:shd w:val="clear" w:color="auto" w:fill="auto"/>
            <w:hideMark/>
          </w:tcPr>
          <w:p w:rsidR="007F1078" w:rsidRPr="007F1078" w:rsidRDefault="007F1078" w:rsidP="00442954">
            <w:pPr>
              <w:numPr>
                <w:ilvl w:val="1"/>
                <w:numId w:val="7"/>
              </w:num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7F1078">
              <w:rPr>
                <w:rFonts w:eastAsia="Calibri"/>
                <w:color w:val="000000"/>
                <w:szCs w:val="24"/>
                <w:lang w:eastAsia="lt-LT"/>
              </w:rPr>
              <w:t xml:space="preserve"> Priemonės įgyvendinimas finansuojamas Europos regioninės plėtros fondo lėšomis.</w:t>
            </w:r>
          </w:p>
        </w:tc>
      </w:tr>
      <w:tr w:rsidR="007F1078" w:rsidRPr="007F1078" w:rsidTr="00FF5386">
        <w:tc>
          <w:tcPr>
            <w:tcW w:w="14488" w:type="dxa"/>
            <w:shd w:val="clear" w:color="auto" w:fill="auto"/>
            <w:hideMark/>
          </w:tcPr>
          <w:p w:rsidR="007F1078" w:rsidRPr="007F1078" w:rsidRDefault="007F1078" w:rsidP="00442954">
            <w:pPr>
              <w:numPr>
                <w:ilvl w:val="1"/>
                <w:numId w:val="7"/>
              </w:num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7F1078">
              <w:rPr>
                <w:rFonts w:eastAsia="Calibri"/>
                <w:color w:val="000000"/>
                <w:szCs w:val="24"/>
                <w:lang w:eastAsia="lt-LT"/>
              </w:rPr>
              <w:t xml:space="preserve"> Įgyvendinant priemonę, prisidedama prie uždavinio „Pagerinti sveikatos priežiūros kokybę ir prieinamumą tikslinėms gyventojų grupėms bei sumažinti sveikatos netolygumus</w:t>
            </w:r>
            <w:r w:rsidRPr="007F1078">
              <w:rPr>
                <w:rFonts w:eastAsia="Calibri"/>
                <w:color w:val="000000"/>
                <w:szCs w:val="24"/>
              </w:rPr>
              <w:t>“</w:t>
            </w:r>
            <w:r w:rsidRPr="007F1078">
              <w:rPr>
                <w:rFonts w:eastAsia="Calibri"/>
                <w:b/>
                <w:color w:val="000000"/>
                <w:szCs w:val="24"/>
              </w:rPr>
              <w:t xml:space="preserve"> </w:t>
            </w:r>
            <w:r w:rsidRPr="007F1078">
              <w:rPr>
                <w:rFonts w:eastAsia="Calibri"/>
                <w:color w:val="000000"/>
                <w:szCs w:val="24"/>
                <w:lang w:eastAsia="lt-LT"/>
              </w:rPr>
              <w:t>įgyvendinimo.</w:t>
            </w:r>
          </w:p>
        </w:tc>
      </w:tr>
      <w:tr w:rsidR="00FC7C0E" w:rsidRPr="00FC7C0E" w:rsidTr="00FC7C0E">
        <w:tc>
          <w:tcPr>
            <w:tcW w:w="14488" w:type="dxa"/>
            <w:tcBorders>
              <w:left w:val="single" w:sz="4" w:space="0" w:color="auto"/>
              <w:right w:val="single" w:sz="4" w:space="0" w:color="auto"/>
            </w:tcBorders>
            <w:shd w:val="clear" w:color="auto" w:fill="auto"/>
            <w:hideMark/>
          </w:tcPr>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1.3.      Remiamos veiklos:</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1.3.1.   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w:t>
            </w:r>
            <w:r w:rsidRPr="00FC7C0E">
              <w:rPr>
                <w:rFonts w:eastAsia="Calibri"/>
                <w:color w:val="000000"/>
                <w:szCs w:val="24"/>
                <w:lang w:eastAsia="lt-LT"/>
              </w:rPr>
              <w:lastRenderedPageBreak/>
              <w:t xml:space="preserve">įstaigų, teikiančių pirminės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 </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1.3.2.     priklausomybės ligų srityje priklausomybės nuo </w:t>
            </w:r>
            <w:proofErr w:type="spellStart"/>
            <w:r w:rsidRPr="00FC7C0E">
              <w:rPr>
                <w:rFonts w:eastAsia="Calibri"/>
                <w:color w:val="000000"/>
                <w:szCs w:val="24"/>
                <w:lang w:eastAsia="lt-LT"/>
              </w:rPr>
              <w:t>opioidų</w:t>
            </w:r>
            <w:proofErr w:type="spellEnd"/>
            <w:r w:rsidRPr="00FC7C0E">
              <w:rPr>
                <w:rFonts w:eastAsia="Calibri"/>
                <w:color w:val="000000"/>
                <w:szCs w:val="24"/>
                <w:lang w:eastAsia="lt-LT"/>
              </w:rPr>
              <w:t xml:space="preserve"> pakaitinio gydymo kabinetų įrengimas (patalpų rekonstrukcija ir (ar) remontas, reikalingos įrangos įsigijimas) </w:t>
            </w:r>
            <w:r w:rsidRPr="00FC7C0E">
              <w:rPr>
                <w:rFonts w:eastAsia="Calibri"/>
                <w:strike/>
                <w:color w:val="000000"/>
                <w:szCs w:val="24"/>
                <w:lang w:eastAsia="lt-LT"/>
              </w:rPr>
              <w:t>psichikos sveikatos centruose</w:t>
            </w:r>
            <w:r w:rsidRPr="00FC7C0E">
              <w:rPr>
                <w:rFonts w:eastAsia="Calibri"/>
                <w:color w:val="000000"/>
                <w:szCs w:val="24"/>
                <w:lang w:eastAsia="lt-LT"/>
              </w:rPr>
              <w:t>;</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1.3.3.     tuberkuliozės srityje tiesiogiai stebimo gydymo kurso (DOTS, angl. </w:t>
            </w:r>
            <w:proofErr w:type="spellStart"/>
            <w:r w:rsidRPr="00FC7C0E">
              <w:rPr>
                <w:rFonts w:eastAsia="Calibri"/>
                <w:color w:val="000000"/>
                <w:szCs w:val="24"/>
                <w:lang w:eastAsia="lt-LT"/>
              </w:rPr>
              <w:t>directly</w:t>
            </w:r>
            <w:proofErr w:type="spellEnd"/>
            <w:r w:rsidRPr="00FC7C0E">
              <w:rPr>
                <w:rFonts w:eastAsia="Calibri"/>
                <w:color w:val="000000"/>
                <w:szCs w:val="24"/>
                <w:lang w:eastAsia="lt-LT"/>
              </w:rPr>
              <w:t xml:space="preserve"> </w:t>
            </w:r>
            <w:proofErr w:type="spellStart"/>
            <w:r w:rsidRPr="00FC7C0E">
              <w:rPr>
                <w:rFonts w:eastAsia="Calibri"/>
                <w:color w:val="000000"/>
                <w:szCs w:val="24"/>
                <w:lang w:eastAsia="lt-LT"/>
              </w:rPr>
              <w:t>observed</w:t>
            </w:r>
            <w:proofErr w:type="spellEnd"/>
            <w:r w:rsidRPr="00FC7C0E">
              <w:rPr>
                <w:rFonts w:eastAsia="Calibri"/>
                <w:color w:val="000000"/>
                <w:szCs w:val="24"/>
                <w:lang w:eastAsia="lt-LT"/>
              </w:rPr>
              <w:t xml:space="preserve"> </w:t>
            </w:r>
            <w:proofErr w:type="spellStart"/>
            <w:r w:rsidRPr="00FC7C0E">
              <w:rPr>
                <w:rFonts w:eastAsia="Calibri"/>
                <w:color w:val="000000"/>
                <w:szCs w:val="24"/>
                <w:lang w:eastAsia="lt-LT"/>
              </w:rPr>
              <w:t>treatment</w:t>
            </w:r>
            <w:proofErr w:type="spellEnd"/>
            <w:r w:rsidRPr="00FC7C0E">
              <w:rPr>
                <w:rFonts w:eastAsia="Calibri"/>
                <w:color w:val="000000"/>
                <w:szCs w:val="24"/>
                <w:lang w:eastAsia="lt-LT"/>
              </w:rPr>
              <w:t xml:space="preserve"> </w:t>
            </w:r>
            <w:proofErr w:type="spellStart"/>
            <w:r w:rsidRPr="00FC7C0E">
              <w:rPr>
                <w:rFonts w:eastAsia="Calibri"/>
                <w:color w:val="000000"/>
                <w:szCs w:val="24"/>
                <w:lang w:eastAsia="lt-LT"/>
              </w:rPr>
              <w:t>short</w:t>
            </w:r>
            <w:proofErr w:type="spellEnd"/>
            <w:r w:rsidRPr="00FC7C0E">
              <w:rPr>
                <w:rFonts w:eastAsia="Calibri"/>
                <w:color w:val="000000"/>
                <w:szCs w:val="24"/>
                <w:lang w:eastAsia="lt-LT"/>
              </w:rPr>
              <w:t xml:space="preserve"> </w:t>
            </w:r>
            <w:proofErr w:type="spellStart"/>
            <w:r w:rsidRPr="00FC7C0E">
              <w:rPr>
                <w:rFonts w:eastAsia="Calibri"/>
                <w:color w:val="000000"/>
                <w:szCs w:val="24"/>
                <w:lang w:eastAsia="lt-LT"/>
              </w:rPr>
              <w:t>course</w:t>
            </w:r>
            <w:proofErr w:type="spellEnd"/>
            <w:r w:rsidRPr="00FC7C0E">
              <w:rPr>
                <w:rFonts w:eastAsia="Calibri"/>
                <w:color w:val="000000"/>
                <w:szCs w:val="24"/>
                <w:lang w:eastAsia="lt-LT"/>
              </w:rPr>
              <w:t>) kabinetų įrengimas (patalpų rekonstrukcija ir (ar) remontas, reikalingos įrangos įsigijimas) asmens sveikatos priežiūros įstaigose, teikiančiose pirminės ambulatorinės asmens sveikatos priežiūros paslaugas;</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1.3.4.       sveikatos priežiūros paslaugų prieinamumo gerinimo neįgaliesiems srityje asmens sveikatos priežiūros įstaigų, teikiančių pirminės ambulatorinės asmens sveikatos priežiūros paslaugas, fizinės ir informacinės infrastruktūros pritaikymas specialiesiems neįgaliųjų poreikiams;</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1.3.5.      onkologinių ligų ir sveiko senėjimo srityje slaugos, slaugos ir palaikomojo gydymo, paliatyviosios pagalbos paslaugų vystymas asmens sveikatos priežiūros įstaigose ir pacientų namuose: statinių ir (ar) patalpų, skirtų šioms paslaugoms teikti, rekonstrukcija ir remontas, reikalingos įrangos įsigijimas bei aprūpinimas tikslinėmis transporto priemonėmis paslaugoms teikti pacientų namuose.   </w:t>
            </w:r>
          </w:p>
        </w:tc>
      </w:tr>
      <w:tr w:rsidR="00FC7C0E" w:rsidRPr="00FC7C0E" w:rsidTr="00FC7C0E">
        <w:tc>
          <w:tcPr>
            <w:tcW w:w="14488" w:type="dxa"/>
            <w:tcBorders>
              <w:left w:val="single" w:sz="4" w:space="0" w:color="auto"/>
              <w:right w:val="single" w:sz="4" w:space="0" w:color="auto"/>
            </w:tcBorders>
            <w:shd w:val="clear" w:color="auto" w:fill="auto"/>
            <w:hideMark/>
          </w:tcPr>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lastRenderedPageBreak/>
              <w:t>1.4.         Galimi pareiškėjai:</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1.4.1.      asmens sveikatos priežiūros įstaigos, teikiančios pirminės ambulatorinės asmens sveikatos priežiūros paslaugas ir turinčios sutartis su teritorinėmis ligonių kasomis dėl šių paslaugų apmokėjimo;</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1.4.2.      savivaldybių administracijos; </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1.4.3.      psichikos sveikatos centrai;</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1.4.4.      asmens sveikatos priežiūros įstaigos, teikiančios slaugos, slaugos ir palaikomojo gydymo ir (ar) paliatyviosios pagalbos paslaugas ir turinčios sutartis su teritorinėmis ligonių kasomis dėl šių paslaugų apmokėjimo. </w:t>
            </w:r>
          </w:p>
        </w:tc>
      </w:tr>
      <w:tr w:rsidR="00FC7C0E" w:rsidRPr="00FC7C0E" w:rsidTr="00FC7C0E">
        <w:tc>
          <w:tcPr>
            <w:tcW w:w="14488" w:type="dxa"/>
            <w:tcBorders>
              <w:left w:val="single" w:sz="4" w:space="0" w:color="auto"/>
              <w:right w:val="single" w:sz="4" w:space="0" w:color="auto"/>
            </w:tcBorders>
            <w:shd w:val="clear" w:color="auto" w:fill="auto"/>
            <w:hideMark/>
          </w:tcPr>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1.5.         Galimi partneriai:</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1.5.1.      asmens sveikatos priežiūros įstaigos, teikiančios pirminės ambulatorinės asmens sveikatos priežiūros paslaugas ir turinčios sutartis su teritorinėmis ligonių kasomis dėl šių paslaugų apmokėjimo;</w:t>
            </w:r>
          </w:p>
          <w:p w:rsidR="00FC7C0E" w:rsidRPr="00FC7C0E" w:rsidRDefault="00FC7C0E" w:rsidP="00FC7C0E">
            <w:p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1.5.2.      savivaldybių administracijos; </w:t>
            </w:r>
          </w:p>
          <w:p w:rsidR="00FC7C0E" w:rsidRPr="00FC7C0E" w:rsidRDefault="00FC7C0E" w:rsidP="003230CE">
            <w:pPr>
              <w:tabs>
                <w:tab w:val="left" w:pos="34"/>
                <w:tab w:val="left" w:pos="885"/>
                <w:tab w:val="left" w:pos="1768"/>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1.5.3. </w:t>
            </w:r>
            <w:r w:rsidR="003230CE">
              <w:rPr>
                <w:rFonts w:eastAsia="Calibri"/>
                <w:color w:val="000000"/>
                <w:szCs w:val="24"/>
                <w:lang w:eastAsia="lt-LT"/>
              </w:rPr>
              <w:t xml:space="preserve">    </w:t>
            </w:r>
            <w:r w:rsidRPr="00FC7C0E">
              <w:rPr>
                <w:rFonts w:eastAsia="Calibri"/>
                <w:color w:val="000000"/>
                <w:szCs w:val="24"/>
                <w:lang w:eastAsia="lt-LT"/>
              </w:rPr>
              <w:t xml:space="preserve">psichikos sveikatos centrai; </w:t>
            </w:r>
          </w:p>
          <w:p w:rsidR="00FC7C0E" w:rsidRPr="00FC7C0E" w:rsidRDefault="00FC7C0E" w:rsidP="003230CE">
            <w:pPr>
              <w:tabs>
                <w:tab w:val="left" w:pos="34"/>
                <w:tab w:val="left" w:pos="885"/>
                <w:tab w:val="left" w:pos="1768"/>
              </w:tabs>
              <w:suppressAutoHyphens w:val="0"/>
              <w:autoSpaceDN/>
              <w:ind w:left="34" w:firstLine="851"/>
              <w:contextualSpacing/>
              <w:jc w:val="both"/>
              <w:textAlignment w:val="auto"/>
              <w:rPr>
                <w:rFonts w:eastAsia="Calibri"/>
                <w:color w:val="000000"/>
                <w:szCs w:val="24"/>
                <w:lang w:eastAsia="lt-LT"/>
              </w:rPr>
            </w:pPr>
            <w:r w:rsidRPr="00FC7C0E">
              <w:rPr>
                <w:rFonts w:eastAsia="Calibri"/>
                <w:color w:val="000000"/>
                <w:szCs w:val="24"/>
                <w:lang w:eastAsia="lt-LT"/>
              </w:rPr>
              <w:t xml:space="preserve">1.5.4. </w:t>
            </w:r>
            <w:r w:rsidR="003230CE">
              <w:rPr>
                <w:rFonts w:eastAsia="Calibri"/>
                <w:color w:val="000000"/>
                <w:szCs w:val="24"/>
                <w:lang w:eastAsia="lt-LT"/>
              </w:rPr>
              <w:t xml:space="preserve">    </w:t>
            </w:r>
            <w:r w:rsidRPr="00FC7C0E">
              <w:rPr>
                <w:rFonts w:eastAsia="Calibri"/>
                <w:color w:val="000000"/>
                <w:szCs w:val="24"/>
                <w:lang w:eastAsia="lt-LT"/>
              </w:rPr>
              <w:t>asmens sveikatos priežiūros įstaigos, teikiančios slaugos, slaugos ir palaikomojo gydymo ir (ar) paliatyviosios pagalbos paslaugas ir turinčios sutartis su teritorinėmis ligonių kasomis dėl šių paslaugų apmokėjimo.“</w:t>
            </w:r>
          </w:p>
        </w:tc>
      </w:tr>
    </w:tbl>
    <w:p w:rsidR="007F1078" w:rsidRPr="007F1078" w:rsidRDefault="007F1078" w:rsidP="007F1078">
      <w:pPr>
        <w:tabs>
          <w:tab w:val="left" w:pos="0"/>
          <w:tab w:val="left" w:pos="567"/>
        </w:tabs>
        <w:suppressAutoHyphens w:val="0"/>
        <w:autoSpaceDN/>
        <w:jc w:val="both"/>
        <w:textAlignment w:val="auto"/>
        <w:rPr>
          <w:color w:val="000000"/>
          <w:szCs w:val="24"/>
          <w:lang w:eastAsia="lt-LT"/>
        </w:rPr>
      </w:pPr>
    </w:p>
    <w:p w:rsidR="007F1078" w:rsidRPr="007F1078" w:rsidRDefault="007F1078" w:rsidP="00E343AB">
      <w:pPr>
        <w:tabs>
          <w:tab w:val="left" w:pos="0"/>
          <w:tab w:val="left" w:pos="426"/>
          <w:tab w:val="left" w:pos="10205"/>
        </w:tabs>
        <w:suppressAutoHyphens w:val="0"/>
        <w:autoSpaceDN/>
        <w:ind w:right="424"/>
        <w:textAlignment w:val="auto"/>
        <w:rPr>
          <w:color w:val="000000"/>
          <w:szCs w:val="24"/>
          <w:lang w:eastAsia="lt-LT"/>
        </w:rPr>
      </w:pPr>
    </w:p>
    <w:p w:rsidR="00FF5386" w:rsidRPr="00FF5386" w:rsidRDefault="00FF5386" w:rsidP="00FF5386">
      <w:pPr>
        <w:tabs>
          <w:tab w:val="left" w:pos="0"/>
          <w:tab w:val="left" w:pos="426"/>
          <w:tab w:val="left" w:pos="10205"/>
        </w:tabs>
        <w:suppressAutoHyphens w:val="0"/>
        <w:autoSpaceDN/>
        <w:ind w:right="-31"/>
        <w:jc w:val="both"/>
        <w:textAlignment w:val="auto"/>
        <w:rPr>
          <w:color w:val="000000"/>
          <w:szCs w:val="24"/>
          <w:lang w:eastAsia="lt-LT"/>
        </w:rPr>
      </w:pPr>
      <w:r w:rsidRPr="00FF5386">
        <w:rPr>
          <w:color w:val="000000"/>
          <w:szCs w:val="24"/>
          <w:lang w:eastAsia="lt-LT"/>
        </w:rPr>
        <w:t xml:space="preserve">                                                                            </w:t>
      </w:r>
    </w:p>
    <w:p w:rsidR="009702EE" w:rsidRDefault="009702EE" w:rsidP="004063AD">
      <w:pPr>
        <w:tabs>
          <w:tab w:val="left" w:pos="1134"/>
          <w:tab w:val="left" w:pos="1276"/>
        </w:tabs>
        <w:jc w:val="both"/>
        <w:rPr>
          <w:szCs w:val="24"/>
        </w:rPr>
      </w:pPr>
    </w:p>
    <w:sectPr w:rsidR="009702EE" w:rsidSect="000F1F92">
      <w:headerReference w:type="default" r:id="rId7"/>
      <w:footerReference w:type="default" r:id="rId8"/>
      <w:headerReference w:type="first" r:id="rId9"/>
      <w:footerReference w:type="first" r:id="rId10"/>
      <w:pgSz w:w="16838" w:h="11906" w:orient="landscape"/>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1F" w:rsidRDefault="002F3A1F">
      <w:r>
        <w:separator/>
      </w:r>
    </w:p>
  </w:endnote>
  <w:endnote w:type="continuationSeparator" w:id="0">
    <w:p w:rsidR="002F3A1F" w:rsidRDefault="002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AB" w:rsidRPr="00E343AB" w:rsidRDefault="00E343AB" w:rsidP="00E343AB">
    <w:pPr>
      <w:tabs>
        <w:tab w:val="center" w:pos="4819"/>
        <w:tab w:val="right" w:pos="9638"/>
      </w:tabs>
      <w:suppressAutoHyphens w:val="0"/>
      <w:autoSpaceDN/>
      <w:textAlignment w:val="auto"/>
    </w:pPr>
    <w:r w:rsidRPr="00E343AB">
      <w:rPr>
        <w:szCs w:val="24"/>
      </w:rPr>
      <w:t>J. Kulingauskaitė, tel. 266 1484, el. p. joana.kulingauskaite@sam.lt</w:t>
    </w:r>
  </w:p>
  <w:p w:rsidR="00E14EF7" w:rsidRPr="00E14EF7" w:rsidRDefault="00E14EF7" w:rsidP="00E14EF7">
    <w:pPr>
      <w:tabs>
        <w:tab w:val="center" w:pos="4153"/>
        <w:tab w:val="right" w:pos="830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2F3A1F">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1F" w:rsidRDefault="002F3A1F">
      <w:r>
        <w:rPr>
          <w:color w:val="000000"/>
        </w:rPr>
        <w:separator/>
      </w:r>
    </w:p>
  </w:footnote>
  <w:footnote w:type="continuationSeparator" w:id="0">
    <w:p w:rsidR="002F3A1F" w:rsidRDefault="002F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A27908">
          <w:rPr>
            <w:noProof/>
          </w:rPr>
          <w:t>2</w:t>
        </w:r>
        <w:r>
          <w:fldChar w:fldCharType="end"/>
        </w:r>
      </w:p>
    </w:sdtContent>
  </w:sdt>
  <w:p w:rsidR="006E369D" w:rsidRDefault="002F3A1F">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2F3A1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C6822F6"/>
    <w:multiLevelType w:val="multilevel"/>
    <w:tmpl w:val="59DA8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3" w15:restartNumberingAfterBreak="0">
    <w:nsid w:val="362B6073"/>
    <w:multiLevelType w:val="multilevel"/>
    <w:tmpl w:val="B680D2FA"/>
    <w:lvl w:ilvl="0">
      <w:start w:val="1"/>
      <w:numFmt w:val="decimal"/>
      <w:lvlText w:val="%1."/>
      <w:lvlJc w:val="left"/>
      <w:pPr>
        <w:ind w:left="540" w:hanging="540"/>
      </w:pPr>
      <w:rPr>
        <w:rFonts w:eastAsia="Calibri" w:hint="default"/>
      </w:rPr>
    </w:lvl>
    <w:lvl w:ilvl="1">
      <w:start w:val="3"/>
      <w:numFmt w:val="decimal"/>
      <w:lvlText w:val="%1.%2."/>
      <w:lvlJc w:val="left"/>
      <w:pPr>
        <w:ind w:left="1052" w:hanging="540"/>
      </w:pPr>
      <w:rPr>
        <w:rFonts w:eastAsia="Calibri" w:hint="default"/>
      </w:rPr>
    </w:lvl>
    <w:lvl w:ilvl="2">
      <w:start w:val="5"/>
      <w:numFmt w:val="decimal"/>
      <w:lvlText w:val="%1.%2.%3."/>
      <w:lvlJc w:val="left"/>
      <w:pPr>
        <w:ind w:left="1744" w:hanging="720"/>
      </w:pPr>
      <w:rPr>
        <w:rFonts w:ascii="Times New Roman" w:eastAsia="Calibri" w:hAnsi="Times New Roman" w:cs="Times New Roman" w:hint="default"/>
        <w:sz w:val="24"/>
        <w:szCs w:val="24"/>
      </w:rPr>
    </w:lvl>
    <w:lvl w:ilvl="3">
      <w:start w:val="1"/>
      <w:numFmt w:val="decimal"/>
      <w:lvlText w:val="%1.%2.%3.%4."/>
      <w:lvlJc w:val="left"/>
      <w:pPr>
        <w:ind w:left="2256" w:hanging="720"/>
      </w:pPr>
      <w:rPr>
        <w:rFonts w:eastAsia="Calibri" w:hint="default"/>
      </w:rPr>
    </w:lvl>
    <w:lvl w:ilvl="4">
      <w:start w:val="1"/>
      <w:numFmt w:val="decimal"/>
      <w:lvlText w:val="%1.%2.%3.%4.%5."/>
      <w:lvlJc w:val="left"/>
      <w:pPr>
        <w:ind w:left="3128" w:hanging="1080"/>
      </w:pPr>
      <w:rPr>
        <w:rFonts w:eastAsia="Calibri" w:hint="default"/>
      </w:rPr>
    </w:lvl>
    <w:lvl w:ilvl="5">
      <w:start w:val="1"/>
      <w:numFmt w:val="decimal"/>
      <w:lvlText w:val="%1.%2.%3.%4.%5.%6."/>
      <w:lvlJc w:val="left"/>
      <w:pPr>
        <w:ind w:left="3640" w:hanging="1080"/>
      </w:pPr>
      <w:rPr>
        <w:rFonts w:eastAsia="Calibri" w:hint="default"/>
      </w:rPr>
    </w:lvl>
    <w:lvl w:ilvl="6">
      <w:start w:val="1"/>
      <w:numFmt w:val="decimal"/>
      <w:lvlText w:val="%1.%2.%3.%4.%5.%6.%7."/>
      <w:lvlJc w:val="left"/>
      <w:pPr>
        <w:ind w:left="4512" w:hanging="1440"/>
      </w:pPr>
      <w:rPr>
        <w:rFonts w:eastAsia="Calibri" w:hint="default"/>
      </w:rPr>
    </w:lvl>
    <w:lvl w:ilvl="7">
      <w:start w:val="1"/>
      <w:numFmt w:val="decimal"/>
      <w:lvlText w:val="%1.%2.%3.%4.%5.%6.%7.%8."/>
      <w:lvlJc w:val="left"/>
      <w:pPr>
        <w:ind w:left="5024" w:hanging="1440"/>
      </w:pPr>
      <w:rPr>
        <w:rFonts w:eastAsia="Calibri" w:hint="default"/>
      </w:rPr>
    </w:lvl>
    <w:lvl w:ilvl="8">
      <w:start w:val="1"/>
      <w:numFmt w:val="decimal"/>
      <w:lvlText w:val="%1.%2.%3.%4.%5.%6.%7.%8.%9."/>
      <w:lvlJc w:val="left"/>
      <w:pPr>
        <w:ind w:left="5896" w:hanging="1800"/>
      </w:pPr>
      <w:rPr>
        <w:rFonts w:eastAsia="Calibri" w:hint="default"/>
      </w:rPr>
    </w:lvl>
  </w:abstractNum>
  <w:abstractNum w:abstractNumId="4"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5" w15:restartNumberingAfterBreak="0">
    <w:nsid w:val="53D97EDF"/>
    <w:multiLevelType w:val="multilevel"/>
    <w:tmpl w:val="26D87B46"/>
    <w:lvl w:ilvl="0">
      <w:start w:val="1"/>
      <w:numFmt w:val="decimal"/>
      <w:lvlText w:val="%1."/>
      <w:lvlJc w:val="left"/>
      <w:pPr>
        <w:ind w:left="720" w:hanging="360"/>
      </w:pPr>
      <w:rPr>
        <w:rFonts w:hint="default"/>
      </w:rPr>
    </w:lvl>
    <w:lvl w:ilvl="1">
      <w:numFmt w:val="decimal"/>
      <w:isLgl/>
      <w:lvlText w:val="%1.%2."/>
      <w:lvlJc w:val="left"/>
      <w:pPr>
        <w:ind w:left="1494" w:hanging="360"/>
      </w:pPr>
      <w:rPr>
        <w:rFonts w:hint="default"/>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444" w:hanging="144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8352" w:hanging="1800"/>
      </w:pPr>
      <w:rPr>
        <w:rFonts w:hint="default"/>
        <w:sz w:val="24"/>
      </w:r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5A595B31"/>
    <w:multiLevelType w:val="multilevel"/>
    <w:tmpl w:val="65C21EF0"/>
    <w:lvl w:ilvl="0">
      <w:start w:val="1"/>
      <w:numFmt w:val="decimal"/>
      <w:lvlText w:val="%1."/>
      <w:lvlJc w:val="left"/>
      <w:pPr>
        <w:ind w:left="540" w:hanging="540"/>
      </w:pPr>
      <w:rPr>
        <w:rFonts w:hint="default"/>
      </w:rPr>
    </w:lvl>
    <w:lvl w:ilvl="1">
      <w:start w:val="4"/>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8" w15:restartNumberingAfterBreak="0">
    <w:nsid w:val="68F12791"/>
    <w:multiLevelType w:val="multilevel"/>
    <w:tmpl w:val="D652BE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6"/>
  </w:num>
  <w:num w:numId="2">
    <w:abstractNumId w:val="4"/>
  </w:num>
  <w:num w:numId="3">
    <w:abstractNumId w:val="2"/>
  </w:num>
  <w:num w:numId="4">
    <w:abstractNumId w:val="9"/>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FD"/>
    <w:rsid w:val="00013C41"/>
    <w:rsid w:val="00040291"/>
    <w:rsid w:val="00061604"/>
    <w:rsid w:val="00075014"/>
    <w:rsid w:val="000871D3"/>
    <w:rsid w:val="000E4C3D"/>
    <w:rsid w:val="000F1F92"/>
    <w:rsid w:val="00103BC9"/>
    <w:rsid w:val="00122C10"/>
    <w:rsid w:val="001261C9"/>
    <w:rsid w:val="0014701E"/>
    <w:rsid w:val="0016244D"/>
    <w:rsid w:val="001651FE"/>
    <w:rsid w:val="00176712"/>
    <w:rsid w:val="001A6DC5"/>
    <w:rsid w:val="001C3250"/>
    <w:rsid w:val="001D4F4F"/>
    <w:rsid w:val="002213F3"/>
    <w:rsid w:val="00270E48"/>
    <w:rsid w:val="00273FDF"/>
    <w:rsid w:val="00294B52"/>
    <w:rsid w:val="002F2FE2"/>
    <w:rsid w:val="002F3A1F"/>
    <w:rsid w:val="0030733A"/>
    <w:rsid w:val="00315861"/>
    <w:rsid w:val="003230CE"/>
    <w:rsid w:val="003A4A6D"/>
    <w:rsid w:val="003B2469"/>
    <w:rsid w:val="003F0C04"/>
    <w:rsid w:val="003F3AAE"/>
    <w:rsid w:val="003F4453"/>
    <w:rsid w:val="00405C4C"/>
    <w:rsid w:val="004063AD"/>
    <w:rsid w:val="004145F6"/>
    <w:rsid w:val="00416147"/>
    <w:rsid w:val="00442954"/>
    <w:rsid w:val="00452DB8"/>
    <w:rsid w:val="00463449"/>
    <w:rsid w:val="00463C65"/>
    <w:rsid w:val="00464D5C"/>
    <w:rsid w:val="004D4B26"/>
    <w:rsid w:val="004F20ED"/>
    <w:rsid w:val="004F26CE"/>
    <w:rsid w:val="0051102E"/>
    <w:rsid w:val="0054100E"/>
    <w:rsid w:val="0056330A"/>
    <w:rsid w:val="005729C7"/>
    <w:rsid w:val="005A6172"/>
    <w:rsid w:val="005C605B"/>
    <w:rsid w:val="005D2BD7"/>
    <w:rsid w:val="005F45E7"/>
    <w:rsid w:val="005F7446"/>
    <w:rsid w:val="006203FE"/>
    <w:rsid w:val="006564A8"/>
    <w:rsid w:val="00656880"/>
    <w:rsid w:val="006619BE"/>
    <w:rsid w:val="0068347A"/>
    <w:rsid w:val="00692623"/>
    <w:rsid w:val="006C4CC8"/>
    <w:rsid w:val="006D550B"/>
    <w:rsid w:val="006E7E8A"/>
    <w:rsid w:val="006F270D"/>
    <w:rsid w:val="00713F5E"/>
    <w:rsid w:val="00720332"/>
    <w:rsid w:val="00732F00"/>
    <w:rsid w:val="007366C6"/>
    <w:rsid w:val="00742F0B"/>
    <w:rsid w:val="00744EC8"/>
    <w:rsid w:val="007516EF"/>
    <w:rsid w:val="00753EF3"/>
    <w:rsid w:val="00792A67"/>
    <w:rsid w:val="007A7708"/>
    <w:rsid w:val="007B6234"/>
    <w:rsid w:val="007C5A1F"/>
    <w:rsid w:val="007C7C21"/>
    <w:rsid w:val="007D3920"/>
    <w:rsid w:val="007D6F30"/>
    <w:rsid w:val="007F1078"/>
    <w:rsid w:val="00804043"/>
    <w:rsid w:val="00852A26"/>
    <w:rsid w:val="00860AEA"/>
    <w:rsid w:val="00865B42"/>
    <w:rsid w:val="00883DEB"/>
    <w:rsid w:val="00885123"/>
    <w:rsid w:val="009150FC"/>
    <w:rsid w:val="00916418"/>
    <w:rsid w:val="00931383"/>
    <w:rsid w:val="009342F7"/>
    <w:rsid w:val="009358B6"/>
    <w:rsid w:val="00944CB5"/>
    <w:rsid w:val="0095485A"/>
    <w:rsid w:val="009702EE"/>
    <w:rsid w:val="009717B2"/>
    <w:rsid w:val="009B0FAB"/>
    <w:rsid w:val="009C72F4"/>
    <w:rsid w:val="009F2D8D"/>
    <w:rsid w:val="00A021F9"/>
    <w:rsid w:val="00A21BAF"/>
    <w:rsid w:val="00A242B1"/>
    <w:rsid w:val="00A24CEF"/>
    <w:rsid w:val="00A27908"/>
    <w:rsid w:val="00A513AE"/>
    <w:rsid w:val="00A53804"/>
    <w:rsid w:val="00A6642A"/>
    <w:rsid w:val="00A71E58"/>
    <w:rsid w:val="00A838EB"/>
    <w:rsid w:val="00A8427E"/>
    <w:rsid w:val="00AB511A"/>
    <w:rsid w:val="00AC106F"/>
    <w:rsid w:val="00B05948"/>
    <w:rsid w:val="00B142D2"/>
    <w:rsid w:val="00B4022A"/>
    <w:rsid w:val="00B44A65"/>
    <w:rsid w:val="00B91CA3"/>
    <w:rsid w:val="00B922FD"/>
    <w:rsid w:val="00B9269E"/>
    <w:rsid w:val="00BB246A"/>
    <w:rsid w:val="00BC4050"/>
    <w:rsid w:val="00BF0AD7"/>
    <w:rsid w:val="00C3712A"/>
    <w:rsid w:val="00C727F6"/>
    <w:rsid w:val="00C910B3"/>
    <w:rsid w:val="00CC4818"/>
    <w:rsid w:val="00CE32E0"/>
    <w:rsid w:val="00D0508C"/>
    <w:rsid w:val="00D130A8"/>
    <w:rsid w:val="00D563F8"/>
    <w:rsid w:val="00D6402D"/>
    <w:rsid w:val="00D67DDA"/>
    <w:rsid w:val="00DB1F1C"/>
    <w:rsid w:val="00DB5BE5"/>
    <w:rsid w:val="00DC566C"/>
    <w:rsid w:val="00DE74D5"/>
    <w:rsid w:val="00DE7C2C"/>
    <w:rsid w:val="00E14EF7"/>
    <w:rsid w:val="00E21DCD"/>
    <w:rsid w:val="00E343AB"/>
    <w:rsid w:val="00E62FCB"/>
    <w:rsid w:val="00E6433A"/>
    <w:rsid w:val="00E85BF3"/>
    <w:rsid w:val="00E979EF"/>
    <w:rsid w:val="00EA1958"/>
    <w:rsid w:val="00EA4EEE"/>
    <w:rsid w:val="00EA6F28"/>
    <w:rsid w:val="00F06871"/>
    <w:rsid w:val="00F20C6C"/>
    <w:rsid w:val="00F4299C"/>
    <w:rsid w:val="00F44322"/>
    <w:rsid w:val="00F44CAE"/>
    <w:rsid w:val="00F67AFD"/>
    <w:rsid w:val="00F773F3"/>
    <w:rsid w:val="00FA1B4E"/>
    <w:rsid w:val="00FB3BBB"/>
    <w:rsid w:val="00FB3FB2"/>
    <w:rsid w:val="00FC73F5"/>
    <w:rsid w:val="00FC7C0E"/>
    <w:rsid w:val="00FE5BC0"/>
    <w:rsid w:val="00FF5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25BCA-F085-4B45-B90A-F00DCD00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07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9581">
      <w:bodyDiv w:val="1"/>
      <w:marLeft w:val="0"/>
      <w:marRight w:val="0"/>
      <w:marTop w:val="0"/>
      <w:marBottom w:val="0"/>
      <w:divBdr>
        <w:top w:val="none" w:sz="0" w:space="0" w:color="auto"/>
        <w:left w:val="none" w:sz="0" w:space="0" w:color="auto"/>
        <w:bottom w:val="none" w:sz="0" w:space="0" w:color="auto"/>
        <w:right w:val="none" w:sz="0" w:space="0" w:color="auto"/>
      </w:divBdr>
    </w:div>
    <w:div w:id="2007126205">
      <w:bodyDiv w:val="1"/>
      <w:marLeft w:val="0"/>
      <w:marRight w:val="0"/>
      <w:marTop w:val="0"/>
      <w:marBottom w:val="0"/>
      <w:divBdr>
        <w:top w:val="none" w:sz="0" w:space="0" w:color="auto"/>
        <w:left w:val="none" w:sz="0" w:space="0" w:color="auto"/>
        <w:bottom w:val="none" w:sz="0" w:space="0" w:color="auto"/>
        <w:right w:val="none" w:sz="0" w:space="0" w:color="auto"/>
      </w:divBdr>
      <w:divsChild>
        <w:div w:id="1928539847">
          <w:marLeft w:val="0"/>
          <w:marRight w:val="0"/>
          <w:marTop w:val="0"/>
          <w:marBottom w:val="0"/>
          <w:divBdr>
            <w:top w:val="none" w:sz="0" w:space="0" w:color="auto"/>
            <w:left w:val="none" w:sz="0" w:space="0" w:color="auto"/>
            <w:bottom w:val="none" w:sz="0" w:space="0" w:color="auto"/>
            <w:right w:val="none" w:sz="0" w:space="0" w:color="auto"/>
          </w:divBdr>
        </w:div>
        <w:div w:id="177235805">
          <w:marLeft w:val="0"/>
          <w:marRight w:val="0"/>
          <w:marTop w:val="0"/>
          <w:marBottom w:val="0"/>
          <w:divBdr>
            <w:top w:val="none" w:sz="0" w:space="0" w:color="auto"/>
            <w:left w:val="none" w:sz="0" w:space="0" w:color="auto"/>
            <w:bottom w:val="none" w:sz="0" w:space="0" w:color="auto"/>
            <w:right w:val="none" w:sz="0" w:space="0" w:color="auto"/>
          </w:divBdr>
          <w:divsChild>
            <w:div w:id="1736312853">
              <w:marLeft w:val="0"/>
              <w:marRight w:val="0"/>
              <w:marTop w:val="0"/>
              <w:marBottom w:val="0"/>
              <w:divBdr>
                <w:top w:val="none" w:sz="0" w:space="0" w:color="auto"/>
                <w:left w:val="none" w:sz="0" w:space="0" w:color="auto"/>
                <w:bottom w:val="none" w:sz="0" w:space="0" w:color="auto"/>
                <w:right w:val="none" w:sz="0" w:space="0" w:color="auto"/>
              </w:divBdr>
              <w:divsChild>
                <w:div w:id="6492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3666</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2</cp:revision>
  <cp:lastPrinted>2018-02-13T12:51:00Z</cp:lastPrinted>
  <dcterms:created xsi:type="dcterms:W3CDTF">2018-03-07T13:32:00Z</dcterms:created>
  <dcterms:modified xsi:type="dcterms:W3CDTF">2018-03-07T13:32:00Z</dcterms:modified>
</cp:coreProperties>
</file>