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42A52" w14:textId="7F0E2FFB" w:rsidR="00127200" w:rsidRPr="00F02EE5" w:rsidRDefault="007C4093" w:rsidP="00127200">
      <w:pPr>
        <w:jc w:val="center"/>
        <w:rPr>
          <w:rFonts w:ascii="Times New Roman" w:hAnsi="Times New Roman" w:cs="Times New Roman"/>
          <w:b/>
        </w:rPr>
      </w:pPr>
      <w:r w:rsidRPr="00F02EE5">
        <w:rPr>
          <w:rFonts w:ascii="Times New Roman" w:hAnsi="Times New Roman" w:cs="Times New Roman"/>
          <w:b/>
          <w:kern w:val="16"/>
        </w:rPr>
        <w:t xml:space="preserve"> 2014–2020 metų Europos Sąjungos fondų investicijų veiksmų programos 9 prioriteto Visuomenės švietimas ir žmogiškųjų išteklių potencialo didinimas“ 09.3.1-ESFA-</w:t>
      </w:r>
      <w:r w:rsidR="00E41E44" w:rsidRPr="00F02EE5">
        <w:rPr>
          <w:rFonts w:ascii="Times New Roman" w:hAnsi="Times New Roman" w:cs="Times New Roman"/>
          <w:b/>
          <w:kern w:val="16"/>
        </w:rPr>
        <w:t>V -738</w:t>
      </w:r>
      <w:r w:rsidRPr="00F02EE5">
        <w:rPr>
          <w:rFonts w:ascii="Times New Roman" w:hAnsi="Times New Roman" w:cs="Times New Roman"/>
          <w:b/>
          <w:kern w:val="16"/>
        </w:rPr>
        <w:t xml:space="preserve"> priemonės „</w:t>
      </w:r>
      <w:r w:rsidR="00E41E44" w:rsidRPr="00F02EE5">
        <w:rPr>
          <w:rFonts w:ascii="Times New Roman" w:hAnsi="Times New Roman" w:cs="Times New Roman"/>
          <w:b/>
          <w:kern w:val="16"/>
        </w:rPr>
        <w:t>aukštųjų mokyklų tinklo tobulinimas</w:t>
      </w:r>
      <w:r w:rsidRPr="00F02EE5">
        <w:rPr>
          <w:rFonts w:ascii="Times New Roman" w:hAnsi="Times New Roman" w:cs="Times New Roman"/>
          <w:b/>
          <w:kern w:val="16"/>
        </w:rPr>
        <w:t xml:space="preserve">“ </w:t>
      </w:r>
      <w:r w:rsidR="00127200" w:rsidRPr="00F02EE5">
        <w:rPr>
          <w:rFonts w:ascii="Times New Roman" w:hAnsi="Times New Roman" w:cs="Times New Roman"/>
          <w:b/>
          <w:kern w:val="16"/>
        </w:rPr>
        <w:t xml:space="preserve">projektų finansavimo sąlygų aprašo </w:t>
      </w:r>
      <w:r w:rsidRPr="00F02EE5">
        <w:rPr>
          <w:rFonts w:ascii="Times New Roman" w:hAnsi="Times New Roman" w:cs="Times New Roman"/>
          <w:b/>
          <w:kern w:val="16"/>
        </w:rPr>
        <w:t>Nr. 1</w:t>
      </w:r>
      <w:r w:rsidR="00127200" w:rsidRPr="00F02EE5">
        <w:rPr>
          <w:rFonts w:ascii="Times New Roman" w:hAnsi="Times New Roman" w:cs="Times New Roman"/>
          <w:b/>
        </w:rPr>
        <w:t xml:space="preserve"> (toliau – PFSA) projekto pastabų derinimo lentelė</w:t>
      </w:r>
    </w:p>
    <w:p w14:paraId="68D8CEA6" w14:textId="77777777" w:rsidR="008F1A2E" w:rsidRPr="00F02EE5" w:rsidRDefault="008F1A2E" w:rsidP="00127200">
      <w:pPr>
        <w:jc w:val="center"/>
        <w:rPr>
          <w:rFonts w:ascii="Times New Roman" w:hAnsi="Times New Roman" w:cs="Times New Roman"/>
          <w:b/>
        </w:rPr>
      </w:pPr>
    </w:p>
    <w:tbl>
      <w:tblPr>
        <w:tblStyle w:val="Lentelstinklelis"/>
        <w:tblW w:w="15168" w:type="dxa"/>
        <w:tblInd w:w="-34" w:type="dxa"/>
        <w:tblLayout w:type="fixed"/>
        <w:tblLook w:val="04A0" w:firstRow="1" w:lastRow="0" w:firstColumn="1" w:lastColumn="0" w:noHBand="0" w:noVBand="1"/>
      </w:tblPr>
      <w:tblGrid>
        <w:gridCol w:w="1560"/>
        <w:gridCol w:w="567"/>
        <w:gridCol w:w="6662"/>
        <w:gridCol w:w="1276"/>
        <w:gridCol w:w="5103"/>
      </w:tblGrid>
      <w:tr w:rsidR="007112E9" w:rsidRPr="00F02EE5" w14:paraId="1C166BCB" w14:textId="77777777" w:rsidTr="00E16292">
        <w:tc>
          <w:tcPr>
            <w:tcW w:w="1560" w:type="dxa"/>
          </w:tcPr>
          <w:p w14:paraId="03F8596B" w14:textId="77777777" w:rsidR="007112E9" w:rsidRPr="00F02EE5" w:rsidRDefault="007112E9" w:rsidP="00093321">
            <w:pPr>
              <w:rPr>
                <w:rFonts w:ascii="Times New Roman" w:hAnsi="Times New Roman" w:cs="Times New Roman"/>
                <w:b/>
              </w:rPr>
            </w:pPr>
            <w:r w:rsidRPr="00F02EE5">
              <w:rPr>
                <w:rFonts w:ascii="Times New Roman" w:hAnsi="Times New Roman" w:cs="Times New Roman"/>
                <w:b/>
              </w:rPr>
              <w:t>Pastabos teikėjas</w:t>
            </w:r>
          </w:p>
        </w:tc>
        <w:tc>
          <w:tcPr>
            <w:tcW w:w="567" w:type="dxa"/>
          </w:tcPr>
          <w:p w14:paraId="698B183D" w14:textId="77777777" w:rsidR="007112E9" w:rsidRPr="00F02EE5" w:rsidRDefault="007112E9" w:rsidP="00093321">
            <w:pPr>
              <w:rPr>
                <w:rFonts w:ascii="Times New Roman" w:hAnsi="Times New Roman" w:cs="Times New Roman"/>
                <w:b/>
              </w:rPr>
            </w:pPr>
            <w:r w:rsidRPr="00F02EE5">
              <w:rPr>
                <w:rFonts w:ascii="Times New Roman" w:hAnsi="Times New Roman" w:cs="Times New Roman"/>
                <w:b/>
              </w:rPr>
              <w:t>Eil. Nr.</w:t>
            </w:r>
          </w:p>
        </w:tc>
        <w:tc>
          <w:tcPr>
            <w:tcW w:w="6662" w:type="dxa"/>
          </w:tcPr>
          <w:p w14:paraId="2F88EEB2" w14:textId="77777777" w:rsidR="007112E9" w:rsidRPr="00F02EE5" w:rsidRDefault="007112E9" w:rsidP="00093321">
            <w:pPr>
              <w:rPr>
                <w:rFonts w:ascii="Times New Roman" w:hAnsi="Times New Roman" w:cs="Times New Roman"/>
                <w:b/>
              </w:rPr>
            </w:pPr>
            <w:r w:rsidRPr="00F02EE5">
              <w:rPr>
                <w:rFonts w:ascii="Times New Roman" w:hAnsi="Times New Roman" w:cs="Times New Roman"/>
                <w:b/>
              </w:rPr>
              <w:t>Komentarai/pasiūlymai</w:t>
            </w:r>
          </w:p>
        </w:tc>
        <w:tc>
          <w:tcPr>
            <w:tcW w:w="1276" w:type="dxa"/>
          </w:tcPr>
          <w:p w14:paraId="3339ECFE" w14:textId="77777777" w:rsidR="007112E9" w:rsidRPr="00F02EE5" w:rsidRDefault="007112E9" w:rsidP="00093321">
            <w:pPr>
              <w:rPr>
                <w:rFonts w:ascii="Times New Roman" w:hAnsi="Times New Roman" w:cs="Times New Roman"/>
                <w:b/>
              </w:rPr>
            </w:pPr>
            <w:r w:rsidRPr="00F02EE5">
              <w:rPr>
                <w:rFonts w:ascii="Times New Roman" w:hAnsi="Times New Roman" w:cs="Times New Roman"/>
                <w:b/>
              </w:rPr>
              <w:t>ŠMM pozicija</w:t>
            </w:r>
          </w:p>
        </w:tc>
        <w:tc>
          <w:tcPr>
            <w:tcW w:w="5103" w:type="dxa"/>
          </w:tcPr>
          <w:p w14:paraId="5045AD4E" w14:textId="77777777" w:rsidR="007112E9" w:rsidRPr="00F02EE5" w:rsidRDefault="007112E9" w:rsidP="00093321">
            <w:pPr>
              <w:rPr>
                <w:rFonts w:ascii="Times New Roman" w:hAnsi="Times New Roman" w:cs="Times New Roman"/>
                <w:b/>
              </w:rPr>
            </w:pPr>
            <w:r w:rsidRPr="00F02EE5">
              <w:rPr>
                <w:rFonts w:ascii="Times New Roman" w:hAnsi="Times New Roman" w:cs="Times New Roman"/>
                <w:b/>
              </w:rPr>
              <w:t>ŠMM argumentai</w:t>
            </w:r>
          </w:p>
        </w:tc>
      </w:tr>
      <w:tr w:rsidR="00B7208E" w:rsidRPr="00F02EE5" w14:paraId="33588B7D" w14:textId="77777777" w:rsidTr="00E16292">
        <w:trPr>
          <w:trHeight w:val="698"/>
        </w:trPr>
        <w:tc>
          <w:tcPr>
            <w:tcW w:w="1560" w:type="dxa"/>
            <w:vMerge w:val="restart"/>
          </w:tcPr>
          <w:p w14:paraId="466DB6C1" w14:textId="77777777" w:rsidR="00B7208E" w:rsidRPr="00F02EE5" w:rsidRDefault="00B7208E" w:rsidP="00E52CAE">
            <w:pPr>
              <w:rPr>
                <w:rFonts w:ascii="Times New Roman" w:eastAsia="Times New Roman" w:hAnsi="Times New Roman" w:cs="Times New Roman"/>
                <w:color w:val="000000"/>
              </w:rPr>
            </w:pPr>
            <w:r w:rsidRPr="00F02EE5">
              <w:rPr>
                <w:rFonts w:ascii="Times New Roman" w:eastAsia="Times New Roman" w:hAnsi="Times New Roman" w:cs="Times New Roman"/>
                <w:color w:val="000000"/>
              </w:rPr>
              <w:t xml:space="preserve">Mykolo Riomerio universitetas </w:t>
            </w:r>
          </w:p>
          <w:p w14:paraId="449E5937" w14:textId="7A08DA5C" w:rsidR="00B7208E" w:rsidRPr="00F02EE5" w:rsidRDefault="00B7208E" w:rsidP="00E52CAE">
            <w:pPr>
              <w:rPr>
                <w:rFonts w:ascii="Times New Roman" w:eastAsia="Times New Roman" w:hAnsi="Times New Roman" w:cs="Times New Roman"/>
                <w:color w:val="000000"/>
              </w:rPr>
            </w:pPr>
            <w:r w:rsidRPr="00F02EE5">
              <w:rPr>
                <w:rFonts w:ascii="Times New Roman" w:eastAsia="Times New Roman" w:hAnsi="Times New Roman" w:cs="Times New Roman"/>
                <w:color w:val="000000"/>
              </w:rPr>
              <w:t>ir</w:t>
            </w:r>
          </w:p>
          <w:p w14:paraId="23321826" w14:textId="6AF1B998" w:rsidR="00B7208E" w:rsidRPr="00F02EE5" w:rsidRDefault="00B7208E" w:rsidP="00E52CAE">
            <w:pPr>
              <w:rPr>
                <w:rFonts w:ascii="Times New Roman" w:eastAsia="Times New Roman" w:hAnsi="Times New Roman" w:cs="Times New Roman"/>
                <w:color w:val="000000"/>
              </w:rPr>
            </w:pPr>
            <w:r w:rsidRPr="00F02EE5">
              <w:rPr>
                <w:rFonts w:ascii="Times New Roman" w:eastAsia="Times New Roman" w:hAnsi="Times New Roman" w:cs="Times New Roman"/>
                <w:color w:val="000000"/>
              </w:rPr>
              <w:t>Vilniaus Gedimino ir technikos universitetas</w:t>
            </w:r>
          </w:p>
        </w:tc>
        <w:tc>
          <w:tcPr>
            <w:tcW w:w="567" w:type="dxa"/>
          </w:tcPr>
          <w:p w14:paraId="53D535A2" w14:textId="77777777" w:rsidR="00B7208E" w:rsidRPr="00F02EE5" w:rsidRDefault="00B7208E" w:rsidP="00093321">
            <w:pPr>
              <w:rPr>
                <w:rFonts w:ascii="Times New Roman" w:hAnsi="Times New Roman" w:cs="Times New Roman"/>
              </w:rPr>
            </w:pPr>
            <w:r w:rsidRPr="00F02EE5">
              <w:rPr>
                <w:rFonts w:ascii="Times New Roman" w:hAnsi="Times New Roman" w:cs="Times New Roman"/>
              </w:rPr>
              <w:t>1.</w:t>
            </w:r>
          </w:p>
        </w:tc>
        <w:tc>
          <w:tcPr>
            <w:tcW w:w="6662" w:type="dxa"/>
          </w:tcPr>
          <w:p w14:paraId="6CB2F757" w14:textId="36365C27" w:rsidR="00B7208E" w:rsidRPr="00F02EE5" w:rsidRDefault="00B7208E" w:rsidP="00C30A80">
            <w:pPr>
              <w:rPr>
                <w:rFonts w:ascii="Times New Roman" w:hAnsi="Times New Roman" w:cs="Times New Roman"/>
              </w:rPr>
            </w:pPr>
            <w:r w:rsidRPr="00F02EE5">
              <w:rPr>
                <w:rFonts w:ascii="Times New Roman" w:hAnsi="Times New Roman" w:cs="Times New Roman"/>
              </w:rPr>
              <w:t>Visos su pedagoginių studijų modernizavimu susijusios veiklos turi būti koncentruotos 9.4. punkte, įskaitant šiuo metu 9.1 punkte numatytą pedagogikos krypties studijų dėstytojų, kurie vadovauja pedagoginei praktikai, kvalifikacijos tobulinimą ir 9.2 punkte numatytą pedagogų rengimo programų konsolidavimą ir kandidatų į pedagogines studijas atrankos instrumentų kūrimą.</w:t>
            </w:r>
          </w:p>
        </w:tc>
        <w:tc>
          <w:tcPr>
            <w:tcW w:w="1276" w:type="dxa"/>
          </w:tcPr>
          <w:p w14:paraId="28C7A45E" w14:textId="498D79C1" w:rsidR="00B7208E" w:rsidRPr="00F02EE5" w:rsidRDefault="002C57DE" w:rsidP="00093321">
            <w:pPr>
              <w:rPr>
                <w:rFonts w:ascii="Times New Roman" w:hAnsi="Times New Roman" w:cs="Times New Roman"/>
              </w:rPr>
            </w:pPr>
            <w:r>
              <w:rPr>
                <w:rFonts w:ascii="Times New Roman" w:hAnsi="Times New Roman" w:cs="Times New Roman"/>
              </w:rPr>
              <w:t>Neatsižvelgta</w:t>
            </w:r>
          </w:p>
        </w:tc>
        <w:tc>
          <w:tcPr>
            <w:tcW w:w="5103" w:type="dxa"/>
          </w:tcPr>
          <w:p w14:paraId="57148E26" w14:textId="2F7FEE28" w:rsidR="00B7208E" w:rsidRPr="00B660B7" w:rsidRDefault="00B7208E" w:rsidP="001D1711">
            <w:pPr>
              <w:pStyle w:val="Default"/>
              <w:spacing w:after="160"/>
              <w:jc w:val="both"/>
              <w:rPr>
                <w:sz w:val="22"/>
                <w:szCs w:val="22"/>
              </w:rPr>
            </w:pPr>
            <w:r w:rsidRPr="00B660B7">
              <w:rPr>
                <w:sz w:val="22"/>
                <w:szCs w:val="22"/>
              </w:rPr>
              <w:t>Lėšos yra numatytos visai priemonei, lėšos nėra susietos su konkrečia veikla</w:t>
            </w:r>
            <w:r>
              <w:rPr>
                <w:sz w:val="22"/>
                <w:szCs w:val="22"/>
              </w:rPr>
              <w:t>, todėl nėra tikslin</w:t>
            </w:r>
            <w:r w:rsidRPr="00B660B7">
              <w:rPr>
                <w:sz w:val="22"/>
                <w:szCs w:val="22"/>
              </w:rPr>
              <w:t>gumo veiklų</w:t>
            </w:r>
            <w:r>
              <w:rPr>
                <w:sz w:val="22"/>
                <w:szCs w:val="22"/>
              </w:rPr>
              <w:t xml:space="preserve"> susijusių su</w:t>
            </w:r>
            <w:r w:rsidRPr="00B660B7">
              <w:rPr>
                <w:sz w:val="22"/>
                <w:szCs w:val="22"/>
              </w:rPr>
              <w:t xml:space="preserve"> pedagogų koncentruoti tik PFSA  9.4. veikloje. </w:t>
            </w:r>
          </w:p>
          <w:p w14:paraId="0DF96306" w14:textId="58582B99" w:rsidR="00B7208E" w:rsidRPr="00F02EE5" w:rsidRDefault="00B7208E" w:rsidP="001D1711">
            <w:pPr>
              <w:pStyle w:val="Default"/>
              <w:spacing w:after="160"/>
              <w:jc w:val="both"/>
              <w:rPr>
                <w:sz w:val="22"/>
                <w:szCs w:val="22"/>
              </w:rPr>
            </w:pPr>
            <w:r w:rsidRPr="00B660B7">
              <w:rPr>
                <w:sz w:val="22"/>
                <w:szCs w:val="22"/>
              </w:rPr>
              <w:t xml:space="preserve">PFSA 9.1 ir 9.2 yra skirtos visiems dėstytojams ir visoms studijų programos, tik pažymėta, kad šios veiklos tinka ir </w:t>
            </w:r>
            <w:r w:rsidRPr="00B660B7">
              <w:rPr>
                <w:rFonts w:eastAsia="Calibri"/>
                <w:sz w:val="22"/>
                <w:szCs w:val="22"/>
              </w:rPr>
              <w:t>pedagogikos krypties studijų dėstytojų kvalifikacija</w:t>
            </w:r>
            <w:r w:rsidRPr="00B660B7">
              <w:rPr>
                <w:rFonts w:eastAsia="Calibri"/>
                <w:sz w:val="22"/>
                <w:szCs w:val="22"/>
              </w:rPr>
              <w:t xml:space="preserve">i kelti bei </w:t>
            </w:r>
            <w:r w:rsidRPr="00B660B7">
              <w:rPr>
                <w:sz w:val="22"/>
                <w:szCs w:val="22"/>
              </w:rPr>
              <w:t>pedagog</w:t>
            </w:r>
            <w:r w:rsidRPr="00B660B7">
              <w:rPr>
                <w:sz w:val="22"/>
                <w:szCs w:val="22"/>
              </w:rPr>
              <w:t>ų rengimo programų konsolidavimui.</w:t>
            </w:r>
          </w:p>
        </w:tc>
      </w:tr>
      <w:tr w:rsidR="00B7208E" w:rsidRPr="00F02EE5" w14:paraId="659E477E" w14:textId="77777777" w:rsidTr="00E16292">
        <w:trPr>
          <w:trHeight w:val="415"/>
        </w:trPr>
        <w:tc>
          <w:tcPr>
            <w:tcW w:w="1560" w:type="dxa"/>
            <w:vMerge/>
          </w:tcPr>
          <w:p w14:paraId="66EBF7A0" w14:textId="4A9E1BE0" w:rsidR="00B7208E" w:rsidRPr="00F02EE5" w:rsidRDefault="00B7208E" w:rsidP="00093321">
            <w:pPr>
              <w:rPr>
                <w:rFonts w:ascii="Times New Roman" w:eastAsia="Times New Roman" w:hAnsi="Times New Roman" w:cs="Times New Roman"/>
                <w:color w:val="000000"/>
              </w:rPr>
            </w:pPr>
          </w:p>
        </w:tc>
        <w:tc>
          <w:tcPr>
            <w:tcW w:w="567" w:type="dxa"/>
          </w:tcPr>
          <w:p w14:paraId="05879E54" w14:textId="77777777" w:rsidR="00B7208E" w:rsidRPr="00F02EE5" w:rsidRDefault="00B7208E" w:rsidP="00093321">
            <w:pPr>
              <w:rPr>
                <w:rFonts w:ascii="Times New Roman" w:hAnsi="Times New Roman" w:cs="Times New Roman"/>
              </w:rPr>
            </w:pPr>
            <w:r w:rsidRPr="00F02EE5">
              <w:rPr>
                <w:rFonts w:ascii="Times New Roman" w:hAnsi="Times New Roman" w:cs="Times New Roman"/>
              </w:rPr>
              <w:t xml:space="preserve">2. </w:t>
            </w:r>
          </w:p>
        </w:tc>
        <w:tc>
          <w:tcPr>
            <w:tcW w:w="6662" w:type="dxa"/>
          </w:tcPr>
          <w:p w14:paraId="0D7BF366" w14:textId="4A1707F9" w:rsidR="00B7208E" w:rsidRPr="00F02EE5" w:rsidRDefault="00B7208E" w:rsidP="00D04662">
            <w:pPr>
              <w:rPr>
                <w:rFonts w:ascii="Times New Roman" w:hAnsi="Times New Roman" w:cs="Times New Roman"/>
              </w:rPr>
            </w:pPr>
            <w:r w:rsidRPr="00F02EE5">
              <w:rPr>
                <w:rFonts w:ascii="Times New Roman" w:hAnsi="Times New Roman" w:cs="Times New Roman"/>
              </w:rPr>
              <w:t>16.1 punkte atsisakyti nuostatos, kad pareiškėjas turi „projekto metu įsteigti arba plėtoti dėstytojų kompetencijos centrą, kuris atlieptų visos Lietuvos ar regiono dėstytojų pedagoginių kompetencijų poreikius“, vietoje jos numatant, kad pareiškėjas projekto metu turi įsteigti arba plėtoti dėstytojų kompetencijos centrą, kuris atlieptų valstybinių universitetų tinklo optimizavimo plano priemonėse numatytų aukštųjų mokyklų pedagoginių kompetencijų poreikius</w:t>
            </w:r>
          </w:p>
        </w:tc>
        <w:tc>
          <w:tcPr>
            <w:tcW w:w="1276" w:type="dxa"/>
          </w:tcPr>
          <w:p w14:paraId="673537FD" w14:textId="7E70703A" w:rsidR="00B7208E" w:rsidRPr="00F02EE5" w:rsidRDefault="0005279C" w:rsidP="00093321">
            <w:pPr>
              <w:rPr>
                <w:rFonts w:ascii="Times New Roman" w:hAnsi="Times New Roman" w:cs="Times New Roman"/>
              </w:rPr>
            </w:pPr>
            <w:r>
              <w:rPr>
                <w:rFonts w:ascii="Times New Roman" w:hAnsi="Times New Roman" w:cs="Times New Roman"/>
              </w:rPr>
              <w:t>Atsižvelgta iš dalies</w:t>
            </w:r>
          </w:p>
        </w:tc>
        <w:tc>
          <w:tcPr>
            <w:tcW w:w="5103" w:type="dxa"/>
          </w:tcPr>
          <w:p w14:paraId="7FB1DDFE" w14:textId="2899BF99" w:rsidR="00B7208E" w:rsidRPr="00F02EE5" w:rsidRDefault="0005279C" w:rsidP="0005279C">
            <w:pPr>
              <w:jc w:val="both"/>
              <w:rPr>
                <w:rFonts w:ascii="Times New Roman" w:hAnsi="Times New Roman" w:cs="Times New Roman"/>
              </w:rPr>
            </w:pPr>
            <w:r w:rsidRPr="0005279C">
              <w:rPr>
                <w:rFonts w:ascii="Times New Roman" w:hAnsi="Times New Roman" w:cs="Times New Roman"/>
              </w:rPr>
              <w:t xml:space="preserve">PFSA 16.1. punktas pakoreguotas taip „16.1. </w:t>
            </w:r>
            <w:r w:rsidRPr="0005279C">
              <w:rPr>
                <w:rFonts w:ascii="Times New Roman" w:eastAsia="Calibri" w:hAnsi="Times New Roman"/>
              </w:rPr>
              <w:t>užtikrinti, kad studijų ir dėstymo paramos centras ar atitinkamas padalinys bus atviras kitų aukštųjų mokyklų dėstytojams, tobulinantiems ped</w:t>
            </w:r>
            <w:r w:rsidRPr="0005279C">
              <w:rPr>
                <w:rFonts w:ascii="Times New Roman" w:eastAsia="Calibri" w:hAnsi="Times New Roman"/>
              </w:rPr>
              <w:t>agogines ir kitas kompetencijas“</w:t>
            </w:r>
          </w:p>
        </w:tc>
      </w:tr>
      <w:tr w:rsidR="00B7208E" w:rsidRPr="00F02EE5" w14:paraId="5195D2CF" w14:textId="77777777" w:rsidTr="00E16292">
        <w:trPr>
          <w:trHeight w:val="1313"/>
        </w:trPr>
        <w:tc>
          <w:tcPr>
            <w:tcW w:w="1560" w:type="dxa"/>
            <w:vMerge/>
          </w:tcPr>
          <w:p w14:paraId="16EB096D" w14:textId="77777777" w:rsidR="00B7208E" w:rsidRPr="00F02EE5" w:rsidRDefault="00B7208E" w:rsidP="00093321">
            <w:pPr>
              <w:rPr>
                <w:rFonts w:ascii="Times New Roman" w:eastAsia="Times New Roman" w:hAnsi="Times New Roman" w:cs="Times New Roman"/>
                <w:color w:val="000000"/>
              </w:rPr>
            </w:pPr>
          </w:p>
        </w:tc>
        <w:tc>
          <w:tcPr>
            <w:tcW w:w="567" w:type="dxa"/>
            <w:tcBorders>
              <w:bottom w:val="single" w:sz="4" w:space="0" w:color="auto"/>
            </w:tcBorders>
          </w:tcPr>
          <w:p w14:paraId="51D55544" w14:textId="7BC520B8" w:rsidR="00B7208E" w:rsidRPr="00F02EE5" w:rsidRDefault="00B7208E" w:rsidP="00093321">
            <w:pPr>
              <w:rPr>
                <w:rFonts w:ascii="Times New Roman" w:hAnsi="Times New Roman" w:cs="Times New Roman"/>
              </w:rPr>
            </w:pPr>
            <w:r w:rsidRPr="00F02EE5">
              <w:rPr>
                <w:rFonts w:ascii="Times New Roman" w:hAnsi="Times New Roman" w:cs="Times New Roman"/>
              </w:rPr>
              <w:t>3.</w:t>
            </w:r>
          </w:p>
        </w:tc>
        <w:tc>
          <w:tcPr>
            <w:tcW w:w="6662" w:type="dxa"/>
          </w:tcPr>
          <w:p w14:paraId="3E031B79" w14:textId="5FD65ECE" w:rsidR="00B7208E" w:rsidRPr="00F02EE5" w:rsidRDefault="00B7208E" w:rsidP="007112E9">
            <w:pPr>
              <w:jc w:val="both"/>
              <w:rPr>
                <w:rFonts w:ascii="Times New Roman" w:hAnsi="Times New Roman" w:cs="Times New Roman"/>
                <w:color w:val="1F497D"/>
              </w:rPr>
            </w:pPr>
            <w:r w:rsidRPr="00F02EE5">
              <w:rPr>
                <w:rFonts w:ascii="Times New Roman" w:hAnsi="Times New Roman" w:cs="Times New Roman"/>
              </w:rPr>
              <w:t xml:space="preserve">18 punkte </w:t>
            </w:r>
            <w:r w:rsidRPr="00F02EE5">
              <w:rPr>
                <w:rFonts w:ascii="Times New Roman" w:hAnsi="Times New Roman" w:cs="Times New Roman"/>
              </w:rPr>
              <w:t>atsisakyti nuostatos, kad studijų programos turi atliepti pedagogų paklausos poreikius, numatant, kad studijų programos turi atliepti darbo rinkos poreikius.</w:t>
            </w:r>
          </w:p>
          <w:p w14:paraId="0A87964D" w14:textId="77777777" w:rsidR="00B7208E" w:rsidRPr="00F02EE5" w:rsidRDefault="00B7208E" w:rsidP="00D04662">
            <w:pPr>
              <w:rPr>
                <w:rFonts w:ascii="Times New Roman" w:hAnsi="Times New Roman" w:cs="Times New Roman"/>
              </w:rPr>
            </w:pPr>
          </w:p>
        </w:tc>
        <w:tc>
          <w:tcPr>
            <w:tcW w:w="1276" w:type="dxa"/>
          </w:tcPr>
          <w:p w14:paraId="0E9DAD71" w14:textId="05839BAC" w:rsidR="00B7208E" w:rsidRPr="00F02EE5" w:rsidRDefault="002C57DE" w:rsidP="00093321">
            <w:pPr>
              <w:rPr>
                <w:rFonts w:ascii="Times New Roman" w:hAnsi="Times New Roman" w:cs="Times New Roman"/>
              </w:rPr>
            </w:pPr>
            <w:r>
              <w:rPr>
                <w:rFonts w:ascii="Times New Roman" w:hAnsi="Times New Roman" w:cs="Times New Roman"/>
              </w:rPr>
              <w:t>Atsižvelgta</w:t>
            </w:r>
          </w:p>
        </w:tc>
        <w:tc>
          <w:tcPr>
            <w:tcW w:w="5103" w:type="dxa"/>
          </w:tcPr>
          <w:p w14:paraId="52138302" w14:textId="594C1F43" w:rsidR="00B7208E" w:rsidRPr="002C57DE" w:rsidRDefault="002C57DE" w:rsidP="002C57DE">
            <w:pPr>
              <w:jc w:val="both"/>
              <w:rPr>
                <w:rFonts w:ascii="Times New Roman" w:eastAsia="Calibri" w:hAnsi="Times New Roman" w:cs="Times New Roman"/>
              </w:rPr>
            </w:pPr>
            <w:r w:rsidRPr="002C57DE">
              <w:rPr>
                <w:rFonts w:ascii="Times New Roman" w:hAnsi="Times New Roman" w:cs="Times New Roman"/>
                <w:color w:val="000000"/>
              </w:rPr>
              <w:t>PFSA 18 punktas pakoreguotas taip: „</w:t>
            </w:r>
            <w:r w:rsidRPr="002C57DE">
              <w:rPr>
                <w:rFonts w:ascii="Times New Roman" w:eastAsia="Calibri" w:hAnsi="Times New Roman" w:cs="Times New Roman"/>
              </w:rPr>
              <w:t>Pagal Aprašo 9.2. papunktyje įvardintą remiamą veiklą turi būti konsultuojamasi su socialiniais partneriais, o pertvarkant studijų programas turi būti pagrindžiamas jos poreikis darbo rinkoje.</w:t>
            </w:r>
            <w:r w:rsidRPr="002C57DE">
              <w:rPr>
                <w:rFonts w:ascii="Times New Roman" w:eastAsia="Calibri" w:hAnsi="Times New Roman" w:cs="Times New Roman"/>
              </w:rPr>
              <w:t>“</w:t>
            </w:r>
            <w:r w:rsidRPr="002C57DE">
              <w:rPr>
                <w:rFonts w:ascii="Times New Roman" w:eastAsia="Calibri" w:hAnsi="Times New Roman" w:cs="Times New Roman"/>
              </w:rPr>
              <w:t xml:space="preserve"> </w:t>
            </w:r>
          </w:p>
        </w:tc>
      </w:tr>
      <w:tr w:rsidR="00B7208E" w:rsidRPr="00F02EE5" w14:paraId="118DC6D3" w14:textId="77777777" w:rsidTr="00E16292">
        <w:trPr>
          <w:trHeight w:val="415"/>
        </w:trPr>
        <w:tc>
          <w:tcPr>
            <w:tcW w:w="1560" w:type="dxa"/>
            <w:vMerge/>
          </w:tcPr>
          <w:p w14:paraId="14E6BF0D" w14:textId="77777777" w:rsidR="00B7208E" w:rsidRPr="00F02EE5" w:rsidRDefault="00B7208E" w:rsidP="00093321">
            <w:pPr>
              <w:rPr>
                <w:rFonts w:ascii="Times New Roman" w:eastAsia="Times New Roman" w:hAnsi="Times New Roman" w:cs="Times New Roman"/>
                <w:color w:val="000000"/>
              </w:rPr>
            </w:pPr>
          </w:p>
        </w:tc>
        <w:tc>
          <w:tcPr>
            <w:tcW w:w="567" w:type="dxa"/>
          </w:tcPr>
          <w:p w14:paraId="733C2512" w14:textId="0711466D" w:rsidR="00B7208E" w:rsidRPr="00F02EE5" w:rsidRDefault="00B7208E" w:rsidP="00093321">
            <w:pPr>
              <w:rPr>
                <w:rFonts w:ascii="Times New Roman" w:hAnsi="Times New Roman" w:cs="Times New Roman"/>
              </w:rPr>
            </w:pPr>
            <w:r w:rsidRPr="00F02EE5">
              <w:rPr>
                <w:rFonts w:ascii="Times New Roman" w:hAnsi="Times New Roman" w:cs="Times New Roman"/>
              </w:rPr>
              <w:t>4.</w:t>
            </w:r>
          </w:p>
        </w:tc>
        <w:tc>
          <w:tcPr>
            <w:tcW w:w="6662" w:type="dxa"/>
          </w:tcPr>
          <w:p w14:paraId="3D214C65" w14:textId="2CDB4AD0" w:rsidR="00B7208E" w:rsidRPr="00F02EE5" w:rsidRDefault="00B7208E" w:rsidP="00E41E44">
            <w:pPr>
              <w:jc w:val="both"/>
              <w:rPr>
                <w:rFonts w:ascii="Times New Roman" w:hAnsi="Times New Roman" w:cs="Times New Roman"/>
              </w:rPr>
            </w:pPr>
            <w:r>
              <w:rPr>
                <w:rFonts w:ascii="Times New Roman" w:hAnsi="Times New Roman" w:cs="Times New Roman"/>
              </w:rPr>
              <w:t>A</w:t>
            </w:r>
            <w:r w:rsidRPr="00F02EE5">
              <w:rPr>
                <w:rFonts w:ascii="Times New Roman" w:hAnsi="Times New Roman" w:cs="Times New Roman"/>
              </w:rPr>
              <w:t>tsisakyti Aprašo projekte numatytos nuostatos, kad projekte dalyvaujančių universitetų studijų programos turi nesidubliuoti. Išankstinė nuostata dėl projekte dalyvaujančių universitetų studijų programų nesidubliavimo negali būti taikoma, nes programų dubliavimosi eliminavimas, įgyvendinant valstybinių universitetų tinklo optimizavimo planą, turi būti projekto rezultatas, o ne išankstinė sąlyga.</w:t>
            </w:r>
          </w:p>
        </w:tc>
        <w:tc>
          <w:tcPr>
            <w:tcW w:w="1276" w:type="dxa"/>
          </w:tcPr>
          <w:p w14:paraId="417C8CC4" w14:textId="2BBDC390" w:rsidR="00B7208E" w:rsidRPr="00F02EE5" w:rsidRDefault="00765C98" w:rsidP="00093321">
            <w:pPr>
              <w:rPr>
                <w:rFonts w:ascii="Times New Roman" w:hAnsi="Times New Roman" w:cs="Times New Roman"/>
              </w:rPr>
            </w:pPr>
            <w:r>
              <w:rPr>
                <w:rFonts w:ascii="Times New Roman" w:hAnsi="Times New Roman" w:cs="Times New Roman"/>
              </w:rPr>
              <w:t xml:space="preserve">Atsižvelgta </w:t>
            </w:r>
          </w:p>
        </w:tc>
        <w:tc>
          <w:tcPr>
            <w:tcW w:w="5103" w:type="dxa"/>
          </w:tcPr>
          <w:p w14:paraId="45FCCD37" w14:textId="77777777" w:rsidR="00765C98" w:rsidRDefault="00765C98" w:rsidP="00765C98">
            <w:pPr>
              <w:jc w:val="both"/>
              <w:rPr>
                <w:rFonts w:ascii="Times New Roman" w:eastAsia="Calibri" w:hAnsi="Times New Roman" w:cs="Times New Roman"/>
                <w:sz w:val="24"/>
                <w:szCs w:val="24"/>
              </w:rPr>
            </w:pPr>
            <w:r>
              <w:rPr>
                <w:rFonts w:ascii="Times New Roman" w:eastAsia="Calibri" w:hAnsi="Times New Roman" w:cs="Times New Roman"/>
                <w:sz w:val="24"/>
                <w:szCs w:val="24"/>
              </w:rPr>
              <w:t>PFSA punktas pakoreguotas taip:</w:t>
            </w:r>
          </w:p>
          <w:p w14:paraId="2CC95C9F" w14:textId="77777777" w:rsidR="00765C98" w:rsidRPr="00765C98" w:rsidRDefault="00765C98" w:rsidP="00765C98">
            <w:pPr>
              <w:jc w:val="both"/>
              <w:rPr>
                <w:rFonts w:ascii="Times New Roman" w:eastAsia="Calibri" w:hAnsi="Times New Roman" w:cs="Times New Roman"/>
                <w:sz w:val="24"/>
                <w:szCs w:val="24"/>
              </w:rPr>
            </w:pPr>
            <w:r w:rsidRPr="00765C98">
              <w:rPr>
                <w:rFonts w:ascii="Times New Roman" w:eastAsia="Calibri" w:hAnsi="Times New Roman" w:cs="Times New Roman"/>
                <w:sz w:val="24"/>
                <w:szCs w:val="24"/>
              </w:rPr>
              <w:t>17. Pagal Aprašo 9.2. papunktyje įvardintą remiamą veiklą gali būti numatytos veiklos siekiant optimizuoti studijas:</w:t>
            </w:r>
          </w:p>
          <w:p w14:paraId="43F3061F" w14:textId="77777777" w:rsidR="00765C98" w:rsidRPr="00765C98" w:rsidRDefault="00765C98" w:rsidP="00765C98">
            <w:pPr>
              <w:jc w:val="both"/>
              <w:rPr>
                <w:rFonts w:ascii="Times New Roman" w:eastAsia="Calibri" w:hAnsi="Times New Roman" w:cs="Times New Roman"/>
                <w:sz w:val="24"/>
                <w:szCs w:val="24"/>
              </w:rPr>
            </w:pPr>
            <w:r w:rsidRPr="00765C98">
              <w:rPr>
                <w:rFonts w:ascii="Times New Roman" w:eastAsia="Calibri" w:hAnsi="Times New Roman" w:cs="Times New Roman"/>
                <w:sz w:val="24"/>
                <w:szCs w:val="24"/>
              </w:rPr>
              <w:t xml:space="preserve">17.1. konsoliduoti besijungiančių universitetų studijų programas jų nedubliuojant tarp partnerių;  </w:t>
            </w:r>
          </w:p>
          <w:p w14:paraId="5D3E9C3E" w14:textId="77777777" w:rsidR="00765C98" w:rsidRPr="00765C98" w:rsidRDefault="00765C98" w:rsidP="00765C98">
            <w:pPr>
              <w:jc w:val="both"/>
              <w:rPr>
                <w:rFonts w:ascii="Times New Roman" w:eastAsia="Calibri" w:hAnsi="Times New Roman" w:cs="Times New Roman"/>
                <w:sz w:val="24"/>
                <w:szCs w:val="24"/>
              </w:rPr>
            </w:pPr>
            <w:r w:rsidRPr="00765C98">
              <w:rPr>
                <w:rFonts w:ascii="Times New Roman" w:eastAsia="Calibri" w:hAnsi="Times New Roman" w:cs="Times New Roman"/>
                <w:sz w:val="24"/>
                <w:szCs w:val="24"/>
              </w:rPr>
              <w:t>17.2. mažinti vykdomų studijų programų skaičių jas stambinant arba trumpinant studijų apimtį;</w:t>
            </w:r>
          </w:p>
          <w:p w14:paraId="62311F61" w14:textId="77777777" w:rsidR="00B7208E" w:rsidRPr="00F02EE5" w:rsidRDefault="00B7208E" w:rsidP="00510BBF">
            <w:pPr>
              <w:pStyle w:val="Default"/>
              <w:spacing w:after="160"/>
              <w:jc w:val="both"/>
              <w:rPr>
                <w:sz w:val="22"/>
                <w:szCs w:val="22"/>
              </w:rPr>
            </w:pPr>
          </w:p>
        </w:tc>
      </w:tr>
      <w:tr w:rsidR="00B7208E" w:rsidRPr="00F02EE5" w14:paraId="7D33547C" w14:textId="77777777" w:rsidTr="00E16292">
        <w:trPr>
          <w:trHeight w:val="415"/>
        </w:trPr>
        <w:tc>
          <w:tcPr>
            <w:tcW w:w="1560" w:type="dxa"/>
            <w:vMerge/>
          </w:tcPr>
          <w:p w14:paraId="36384E41" w14:textId="0E5996E4" w:rsidR="00B7208E" w:rsidRPr="00F02EE5" w:rsidRDefault="00B7208E" w:rsidP="00093321">
            <w:pPr>
              <w:rPr>
                <w:rFonts w:ascii="Times New Roman" w:eastAsia="Times New Roman" w:hAnsi="Times New Roman" w:cs="Times New Roman"/>
                <w:color w:val="000000"/>
              </w:rPr>
            </w:pPr>
          </w:p>
        </w:tc>
        <w:tc>
          <w:tcPr>
            <w:tcW w:w="567" w:type="dxa"/>
            <w:tcBorders>
              <w:bottom w:val="single" w:sz="4" w:space="0" w:color="auto"/>
            </w:tcBorders>
          </w:tcPr>
          <w:p w14:paraId="291ED3C1" w14:textId="353D0399" w:rsidR="00B7208E" w:rsidRPr="00F02EE5" w:rsidRDefault="00B7208E" w:rsidP="00093321">
            <w:pPr>
              <w:rPr>
                <w:rFonts w:ascii="Times New Roman" w:hAnsi="Times New Roman" w:cs="Times New Roman"/>
              </w:rPr>
            </w:pPr>
            <w:r w:rsidRPr="00F02EE5">
              <w:rPr>
                <w:rFonts w:ascii="Times New Roman" w:hAnsi="Times New Roman" w:cs="Times New Roman"/>
              </w:rPr>
              <w:t>5.</w:t>
            </w:r>
          </w:p>
        </w:tc>
        <w:tc>
          <w:tcPr>
            <w:tcW w:w="6662" w:type="dxa"/>
          </w:tcPr>
          <w:p w14:paraId="219FC075" w14:textId="11C22FDB" w:rsidR="00B7208E" w:rsidRPr="00F02EE5" w:rsidRDefault="00B7208E" w:rsidP="00E41E44">
            <w:pPr>
              <w:jc w:val="both"/>
              <w:rPr>
                <w:rFonts w:ascii="Times New Roman" w:hAnsi="Times New Roman" w:cs="Times New Roman"/>
              </w:rPr>
            </w:pPr>
            <w:r w:rsidRPr="00F02EE5">
              <w:rPr>
                <w:rFonts w:ascii="Times New Roman" w:hAnsi="Times New Roman" w:cs="Times New Roman"/>
              </w:rPr>
              <w:t>A</w:t>
            </w:r>
            <w:r w:rsidRPr="00F02EE5">
              <w:rPr>
                <w:rFonts w:ascii="Times New Roman" w:hAnsi="Times New Roman" w:cs="Times New Roman"/>
              </w:rPr>
              <w:t xml:space="preserve">tsisakyti Aprašo projekte numatytos nuostatos, kad studijos negali dubliuotis regione, nes Lietuva yra laikoma vienu regionu pagal NUTS </w:t>
            </w:r>
            <w:r w:rsidRPr="00F02EE5">
              <w:rPr>
                <w:rFonts w:ascii="Times New Roman" w:hAnsi="Times New Roman" w:cs="Times New Roman"/>
              </w:rPr>
              <w:lastRenderedPageBreak/>
              <w:t>2, tad studijų programų nesidubliavimas regione pablogintų studijų prieinamumą, o tai neatitinka 2014–2020 metų Europos Sąjungos fondų investicijų veiksmų programos 9.3.1 konkretaus uždavinio.</w:t>
            </w:r>
          </w:p>
        </w:tc>
        <w:tc>
          <w:tcPr>
            <w:tcW w:w="1276" w:type="dxa"/>
          </w:tcPr>
          <w:p w14:paraId="08A70952" w14:textId="6B1EDB61" w:rsidR="00B7208E" w:rsidRPr="00F02EE5" w:rsidRDefault="00B7208E" w:rsidP="00093321">
            <w:pPr>
              <w:rPr>
                <w:rFonts w:ascii="Times New Roman" w:hAnsi="Times New Roman" w:cs="Times New Roman"/>
              </w:rPr>
            </w:pPr>
            <w:r w:rsidRPr="00F02EE5">
              <w:rPr>
                <w:rFonts w:ascii="Times New Roman" w:hAnsi="Times New Roman" w:cs="Times New Roman"/>
              </w:rPr>
              <w:lastRenderedPageBreak/>
              <w:t xml:space="preserve">Atsižvelgta </w:t>
            </w:r>
          </w:p>
        </w:tc>
        <w:tc>
          <w:tcPr>
            <w:tcW w:w="5103" w:type="dxa"/>
          </w:tcPr>
          <w:p w14:paraId="0B1D46D7" w14:textId="0EDF70A5" w:rsidR="00B7208E" w:rsidRPr="00F02EE5" w:rsidRDefault="00E16292" w:rsidP="00510BBF">
            <w:pPr>
              <w:pStyle w:val="Default"/>
              <w:spacing w:after="160"/>
              <w:jc w:val="both"/>
              <w:rPr>
                <w:sz w:val="22"/>
                <w:szCs w:val="22"/>
              </w:rPr>
            </w:pPr>
            <w:r>
              <w:rPr>
                <w:sz w:val="22"/>
                <w:szCs w:val="22"/>
              </w:rPr>
              <w:t>PFSA</w:t>
            </w:r>
            <w:r w:rsidR="00B7208E" w:rsidRPr="00F02EE5">
              <w:rPr>
                <w:sz w:val="22"/>
                <w:szCs w:val="22"/>
              </w:rPr>
              <w:t xml:space="preserve"> nebus numatyta, kad studijų programos negali </w:t>
            </w:r>
            <w:r w:rsidR="00B7208E" w:rsidRPr="00F02EE5">
              <w:rPr>
                <w:sz w:val="22"/>
                <w:szCs w:val="22"/>
              </w:rPr>
              <w:lastRenderedPageBreak/>
              <w:t>dubliuoti regione.</w:t>
            </w:r>
          </w:p>
        </w:tc>
      </w:tr>
      <w:tr w:rsidR="00B7208E" w:rsidRPr="00F02EE5" w14:paraId="0D91F00E" w14:textId="77777777" w:rsidTr="00E16292">
        <w:trPr>
          <w:trHeight w:val="415"/>
        </w:trPr>
        <w:tc>
          <w:tcPr>
            <w:tcW w:w="1560" w:type="dxa"/>
            <w:vMerge/>
          </w:tcPr>
          <w:p w14:paraId="710CDC09" w14:textId="77777777" w:rsidR="00B7208E" w:rsidRPr="00F02EE5" w:rsidRDefault="00B7208E" w:rsidP="00093321">
            <w:pPr>
              <w:rPr>
                <w:rFonts w:ascii="Times New Roman" w:eastAsia="Times New Roman" w:hAnsi="Times New Roman" w:cs="Times New Roman"/>
                <w:color w:val="000000"/>
              </w:rPr>
            </w:pPr>
          </w:p>
        </w:tc>
        <w:tc>
          <w:tcPr>
            <w:tcW w:w="567" w:type="dxa"/>
            <w:tcBorders>
              <w:top w:val="single" w:sz="4" w:space="0" w:color="auto"/>
            </w:tcBorders>
          </w:tcPr>
          <w:p w14:paraId="15624660" w14:textId="32B3063B" w:rsidR="00B7208E" w:rsidRPr="00F02EE5" w:rsidRDefault="00B7208E" w:rsidP="00093321">
            <w:pPr>
              <w:rPr>
                <w:rFonts w:ascii="Times New Roman" w:hAnsi="Times New Roman" w:cs="Times New Roman"/>
              </w:rPr>
            </w:pPr>
            <w:r w:rsidRPr="00F02EE5">
              <w:rPr>
                <w:rFonts w:ascii="Times New Roman" w:hAnsi="Times New Roman" w:cs="Times New Roman"/>
              </w:rPr>
              <w:t>6.</w:t>
            </w:r>
          </w:p>
        </w:tc>
        <w:tc>
          <w:tcPr>
            <w:tcW w:w="6662" w:type="dxa"/>
          </w:tcPr>
          <w:p w14:paraId="0ADE4471" w14:textId="0FFDC999" w:rsidR="00B7208E" w:rsidRPr="00F02EE5" w:rsidRDefault="00B7208E" w:rsidP="00E41E44">
            <w:pPr>
              <w:jc w:val="both"/>
              <w:rPr>
                <w:rFonts w:ascii="Times New Roman" w:hAnsi="Times New Roman" w:cs="Times New Roman"/>
              </w:rPr>
            </w:pPr>
            <w:r w:rsidRPr="00F02EE5">
              <w:rPr>
                <w:rFonts w:ascii="Times New Roman" w:hAnsi="Times New Roman" w:cs="Times New Roman"/>
              </w:rPr>
              <w:t>Prašome užtikrinti, kad visiems, projektus pagal minėtą priemonę rengiantiems pareiškėjams, būtų taikomos vienodos sąlygos ir atsisakyti Aprašo 25.2 ir 25.3 nustatytų išskirtinių sąlygų vienam iš universitetų</w:t>
            </w:r>
            <w:r w:rsidRPr="00F02EE5">
              <w:rPr>
                <w:rFonts w:ascii="Times New Roman" w:hAnsi="Times New Roman" w:cs="Times New Roman"/>
              </w:rPr>
              <w:t>.</w:t>
            </w:r>
          </w:p>
        </w:tc>
        <w:tc>
          <w:tcPr>
            <w:tcW w:w="1276" w:type="dxa"/>
          </w:tcPr>
          <w:p w14:paraId="0BF44B71" w14:textId="1DD406E5" w:rsidR="00B7208E" w:rsidRPr="00F02EE5" w:rsidRDefault="00B7208E" w:rsidP="00093321">
            <w:pPr>
              <w:rPr>
                <w:rFonts w:ascii="Times New Roman" w:hAnsi="Times New Roman" w:cs="Times New Roman"/>
              </w:rPr>
            </w:pPr>
            <w:r w:rsidRPr="00F02EE5">
              <w:rPr>
                <w:rFonts w:ascii="Times New Roman" w:hAnsi="Times New Roman" w:cs="Times New Roman"/>
              </w:rPr>
              <w:t>Atsižvelgta</w:t>
            </w:r>
          </w:p>
        </w:tc>
        <w:tc>
          <w:tcPr>
            <w:tcW w:w="5103" w:type="dxa"/>
          </w:tcPr>
          <w:p w14:paraId="35FEDDDB" w14:textId="1798B1A9" w:rsidR="00B7208E" w:rsidRPr="00F02EE5" w:rsidRDefault="00B7208E" w:rsidP="00510BBF">
            <w:pPr>
              <w:pStyle w:val="Default"/>
              <w:spacing w:after="160"/>
              <w:jc w:val="both"/>
              <w:rPr>
                <w:sz w:val="22"/>
                <w:szCs w:val="22"/>
              </w:rPr>
            </w:pPr>
            <w:r w:rsidRPr="00F02EE5">
              <w:rPr>
                <w:sz w:val="22"/>
                <w:szCs w:val="22"/>
              </w:rPr>
              <w:t xml:space="preserve">Pakoreguota, Apraše bus numatomi bendri minimalūs rodikliai. </w:t>
            </w:r>
          </w:p>
        </w:tc>
      </w:tr>
      <w:tr w:rsidR="00B7208E" w:rsidRPr="00F02EE5" w14:paraId="12A3645D" w14:textId="77777777" w:rsidTr="00E16292">
        <w:trPr>
          <w:trHeight w:val="563"/>
        </w:trPr>
        <w:tc>
          <w:tcPr>
            <w:tcW w:w="1560" w:type="dxa"/>
            <w:vMerge/>
            <w:tcBorders>
              <w:bottom w:val="nil"/>
            </w:tcBorders>
          </w:tcPr>
          <w:p w14:paraId="29D8A5B5" w14:textId="77777777" w:rsidR="00B7208E" w:rsidRPr="00F02EE5" w:rsidRDefault="00B7208E" w:rsidP="00093321">
            <w:pPr>
              <w:rPr>
                <w:rFonts w:ascii="Times New Roman" w:eastAsia="Times New Roman" w:hAnsi="Times New Roman" w:cs="Times New Roman"/>
                <w:color w:val="000000"/>
              </w:rPr>
            </w:pPr>
          </w:p>
        </w:tc>
        <w:tc>
          <w:tcPr>
            <w:tcW w:w="567" w:type="dxa"/>
          </w:tcPr>
          <w:p w14:paraId="7759E3FF" w14:textId="214E123D" w:rsidR="00B7208E" w:rsidRPr="00F02EE5" w:rsidRDefault="00B7208E" w:rsidP="00093321">
            <w:pPr>
              <w:rPr>
                <w:rFonts w:ascii="Times New Roman" w:hAnsi="Times New Roman" w:cs="Times New Roman"/>
              </w:rPr>
            </w:pPr>
            <w:r w:rsidRPr="00F02EE5">
              <w:rPr>
                <w:rFonts w:ascii="Times New Roman" w:hAnsi="Times New Roman" w:cs="Times New Roman"/>
              </w:rPr>
              <w:t>7.</w:t>
            </w:r>
          </w:p>
        </w:tc>
        <w:tc>
          <w:tcPr>
            <w:tcW w:w="6662" w:type="dxa"/>
          </w:tcPr>
          <w:p w14:paraId="04D38FFE" w14:textId="2CF12E6D" w:rsidR="00B7208E" w:rsidRPr="00F02EE5" w:rsidRDefault="00B7208E" w:rsidP="00E16292">
            <w:pPr>
              <w:spacing w:line="252" w:lineRule="auto"/>
              <w:rPr>
                <w:rFonts w:ascii="Times New Roman" w:hAnsi="Times New Roman" w:cs="Times New Roman"/>
              </w:rPr>
            </w:pPr>
            <w:r w:rsidRPr="00F02EE5">
              <w:rPr>
                <w:rFonts w:ascii="Times New Roman" w:hAnsi="Times New Roman" w:cs="Times New Roman"/>
              </w:rPr>
              <w:t>Taip pat atkreipiame dėmesį, kad Aprašo pavadinime nurodytas netikslus priemonės numeris.</w:t>
            </w:r>
          </w:p>
        </w:tc>
        <w:tc>
          <w:tcPr>
            <w:tcW w:w="1276" w:type="dxa"/>
          </w:tcPr>
          <w:p w14:paraId="4347BE78" w14:textId="0765CB49" w:rsidR="00B7208E" w:rsidRPr="00F02EE5" w:rsidRDefault="00B7208E" w:rsidP="00093321">
            <w:pPr>
              <w:rPr>
                <w:rFonts w:ascii="Times New Roman" w:hAnsi="Times New Roman" w:cs="Times New Roman"/>
              </w:rPr>
            </w:pPr>
            <w:r w:rsidRPr="00F02EE5">
              <w:rPr>
                <w:rFonts w:ascii="Times New Roman" w:hAnsi="Times New Roman" w:cs="Times New Roman"/>
              </w:rPr>
              <w:t xml:space="preserve">Atsižvelgta </w:t>
            </w:r>
          </w:p>
        </w:tc>
        <w:tc>
          <w:tcPr>
            <w:tcW w:w="5103" w:type="dxa"/>
          </w:tcPr>
          <w:p w14:paraId="3262C81A" w14:textId="5B50259F" w:rsidR="00B7208E" w:rsidRPr="00F02EE5" w:rsidRDefault="00B7208E" w:rsidP="00510BBF">
            <w:pPr>
              <w:pStyle w:val="Default"/>
              <w:spacing w:after="160"/>
              <w:jc w:val="both"/>
              <w:rPr>
                <w:sz w:val="22"/>
                <w:szCs w:val="22"/>
              </w:rPr>
            </w:pPr>
            <w:r w:rsidRPr="00F02EE5">
              <w:rPr>
                <w:sz w:val="22"/>
                <w:szCs w:val="22"/>
              </w:rPr>
              <w:t>Tai techninė klaida, pakoreguota.</w:t>
            </w:r>
          </w:p>
        </w:tc>
      </w:tr>
      <w:tr w:rsidR="00B7208E" w:rsidRPr="00F02EE5" w14:paraId="195984DE" w14:textId="77777777" w:rsidTr="00E16292">
        <w:trPr>
          <w:trHeight w:val="563"/>
        </w:trPr>
        <w:tc>
          <w:tcPr>
            <w:tcW w:w="1560" w:type="dxa"/>
            <w:tcBorders>
              <w:bottom w:val="nil"/>
            </w:tcBorders>
          </w:tcPr>
          <w:p w14:paraId="539A40E1" w14:textId="77777777" w:rsidR="00B7208E" w:rsidRDefault="00B7208E" w:rsidP="00B7208E">
            <w:pPr>
              <w:rPr>
                <w:rFonts w:ascii="Times New Roman" w:eastAsia="Times New Roman" w:hAnsi="Times New Roman" w:cs="Times New Roman"/>
                <w:color w:val="000000"/>
              </w:rPr>
            </w:pPr>
            <w:r>
              <w:rPr>
                <w:rFonts w:ascii="Times New Roman" w:eastAsia="Times New Roman" w:hAnsi="Times New Roman" w:cs="Times New Roman"/>
                <w:color w:val="000000"/>
              </w:rPr>
              <w:t>L</w:t>
            </w:r>
            <w:r w:rsidRPr="00F02EE5">
              <w:rPr>
                <w:rFonts w:ascii="Times New Roman" w:eastAsia="Times New Roman" w:hAnsi="Times New Roman" w:cs="Times New Roman"/>
                <w:color w:val="000000"/>
              </w:rPr>
              <w:t>ietuvos sveikatos universitetas</w:t>
            </w:r>
          </w:p>
          <w:p w14:paraId="7758D2E0" w14:textId="77777777" w:rsidR="00B7208E" w:rsidRPr="00F02EE5" w:rsidRDefault="00B7208E" w:rsidP="00B7208E">
            <w:pPr>
              <w:rPr>
                <w:rFonts w:ascii="Times New Roman" w:eastAsia="Times New Roman" w:hAnsi="Times New Roman" w:cs="Times New Roman"/>
                <w:color w:val="000000"/>
              </w:rPr>
            </w:pPr>
          </w:p>
        </w:tc>
        <w:tc>
          <w:tcPr>
            <w:tcW w:w="567" w:type="dxa"/>
          </w:tcPr>
          <w:p w14:paraId="259EC507" w14:textId="0675149E" w:rsidR="00B7208E" w:rsidRPr="00F02EE5" w:rsidRDefault="00B7208E" w:rsidP="00B7208E">
            <w:pPr>
              <w:rPr>
                <w:rFonts w:ascii="Times New Roman" w:hAnsi="Times New Roman" w:cs="Times New Roman"/>
              </w:rPr>
            </w:pPr>
            <w:r w:rsidRPr="00F02EE5">
              <w:rPr>
                <w:rFonts w:ascii="Times New Roman" w:hAnsi="Times New Roman" w:cs="Times New Roman"/>
              </w:rPr>
              <w:t>1.</w:t>
            </w:r>
          </w:p>
        </w:tc>
        <w:tc>
          <w:tcPr>
            <w:tcW w:w="6662" w:type="dxa"/>
          </w:tcPr>
          <w:p w14:paraId="54A4B3A2" w14:textId="77777777" w:rsidR="00B7208E" w:rsidRPr="00F02EE5" w:rsidRDefault="00B7208E" w:rsidP="00B7208E">
            <w:pPr>
              <w:rPr>
                <w:rFonts w:ascii="Times New Roman" w:hAnsi="Times New Roman" w:cs="Times New Roman"/>
                <w:lang w:val="en-US"/>
              </w:rPr>
            </w:pPr>
            <w:r w:rsidRPr="00F02EE5">
              <w:rPr>
                <w:rFonts w:ascii="Times New Roman" w:hAnsi="Times New Roman" w:cs="Times New Roman"/>
                <w:lang w:val="en-US"/>
              </w:rPr>
              <w:t xml:space="preserve">9.1 p. – </w:t>
            </w:r>
            <w:proofErr w:type="spellStart"/>
            <w:r w:rsidRPr="00F02EE5">
              <w:rPr>
                <w:rFonts w:ascii="Times New Roman" w:hAnsi="Times New Roman" w:cs="Times New Roman"/>
                <w:lang w:val="en-US"/>
              </w:rPr>
              <w:t>skaitome</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šį</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punktą</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skirtingai</w:t>
            </w:r>
            <w:proofErr w:type="spellEnd"/>
            <w:r w:rsidRPr="00F02EE5">
              <w:rPr>
                <w:rFonts w:ascii="Times New Roman" w:hAnsi="Times New Roman" w:cs="Times New Roman"/>
                <w:lang w:val="en-US"/>
              </w:rPr>
              <w:t xml:space="preserve"> – </w:t>
            </w:r>
            <w:proofErr w:type="spellStart"/>
            <w:r w:rsidRPr="00F02EE5">
              <w:rPr>
                <w:rFonts w:ascii="Times New Roman" w:hAnsi="Times New Roman" w:cs="Times New Roman"/>
                <w:lang w:val="en-US"/>
              </w:rPr>
              <w:t>ar</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ši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veiklą</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skirti</w:t>
            </w:r>
            <w:proofErr w:type="spellEnd"/>
            <w:r w:rsidRPr="00F02EE5">
              <w:rPr>
                <w:rFonts w:ascii="Times New Roman" w:hAnsi="Times New Roman" w:cs="Times New Roman"/>
                <w:lang w:val="en-US"/>
              </w:rPr>
              <w:t xml:space="preserve"> bet </w:t>
            </w:r>
            <w:proofErr w:type="spellStart"/>
            <w:r w:rsidRPr="00F02EE5">
              <w:rPr>
                <w:rFonts w:ascii="Times New Roman" w:hAnsi="Times New Roman" w:cs="Times New Roman"/>
                <w:lang w:val="en-US"/>
              </w:rPr>
              <w:t>kokių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dėstytojų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kompetencijų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ugdymui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ar</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tik</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pedagogikos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krypties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Kas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galės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būti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pareiškėjas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šiai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veiklai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Siūloma</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kad</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nebūtų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apribojimo</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dėl</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pedagoginių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kompetencijų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nes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jie</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turi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atskirą</w:t>
            </w:r>
            <w:proofErr w:type="spellEnd"/>
            <w:r w:rsidRPr="00F02EE5">
              <w:rPr>
                <w:rFonts w:ascii="Times New Roman" w:hAnsi="Times New Roman" w:cs="Times New Roman"/>
                <w:lang w:val="en-US"/>
              </w:rPr>
              <w:t xml:space="preserve">, 9.4 </w:t>
            </w:r>
            <w:proofErr w:type="spellStart"/>
            <w:r w:rsidRPr="00F02EE5">
              <w:rPr>
                <w:rFonts w:ascii="Times New Roman" w:hAnsi="Times New Roman" w:cs="Times New Roman"/>
                <w:lang w:val="en-US"/>
              </w:rPr>
              <w:t>veiklą</w:t>
            </w:r>
            <w:proofErr w:type="spellEnd"/>
            <w:r w:rsidRPr="00F02EE5">
              <w:rPr>
                <w:rFonts w:ascii="Times New Roman" w:hAnsi="Times New Roman" w:cs="Times New Roman"/>
                <w:lang w:val="en-US"/>
              </w:rPr>
              <w:t>.</w:t>
            </w:r>
          </w:p>
          <w:p w14:paraId="56F95583" w14:textId="77777777" w:rsidR="00B7208E" w:rsidRPr="00F02EE5" w:rsidRDefault="00B7208E" w:rsidP="00B7208E">
            <w:pPr>
              <w:spacing w:line="252" w:lineRule="auto"/>
              <w:rPr>
                <w:rFonts w:ascii="Times New Roman" w:hAnsi="Times New Roman" w:cs="Times New Roman"/>
              </w:rPr>
            </w:pPr>
          </w:p>
        </w:tc>
        <w:tc>
          <w:tcPr>
            <w:tcW w:w="1276" w:type="dxa"/>
          </w:tcPr>
          <w:p w14:paraId="365276BB" w14:textId="01F45794" w:rsidR="00B7208E" w:rsidRPr="00F02EE5" w:rsidRDefault="00765C98" w:rsidP="00B7208E">
            <w:pPr>
              <w:rPr>
                <w:rFonts w:ascii="Times New Roman" w:hAnsi="Times New Roman" w:cs="Times New Roman"/>
              </w:rPr>
            </w:pPr>
            <w:r>
              <w:rPr>
                <w:rFonts w:ascii="Times New Roman" w:hAnsi="Times New Roman" w:cs="Times New Roman"/>
              </w:rPr>
              <w:t>Neatsižvelgta</w:t>
            </w:r>
            <w:bookmarkStart w:id="0" w:name="_GoBack"/>
            <w:bookmarkEnd w:id="0"/>
          </w:p>
        </w:tc>
        <w:tc>
          <w:tcPr>
            <w:tcW w:w="5103" w:type="dxa"/>
          </w:tcPr>
          <w:p w14:paraId="4D8C3D92" w14:textId="77777777" w:rsidR="00B7208E" w:rsidRDefault="00B7208E" w:rsidP="00B7208E">
            <w:pPr>
              <w:pStyle w:val="Default"/>
              <w:spacing w:after="160"/>
              <w:jc w:val="both"/>
              <w:rPr>
                <w:sz w:val="22"/>
                <w:szCs w:val="22"/>
              </w:rPr>
            </w:pPr>
            <w:r>
              <w:rPr>
                <w:sz w:val="22"/>
                <w:szCs w:val="22"/>
              </w:rPr>
              <w:t>PFSA 9.1</w:t>
            </w:r>
            <w:r w:rsidRPr="00B660B7">
              <w:rPr>
                <w:sz w:val="22"/>
                <w:szCs w:val="22"/>
              </w:rPr>
              <w:t xml:space="preserve"> yra skirtos visiems dėstytojams tik pažymėta, </w:t>
            </w:r>
            <w:r>
              <w:rPr>
                <w:sz w:val="22"/>
                <w:szCs w:val="22"/>
              </w:rPr>
              <w:t>kad ši</w:t>
            </w:r>
            <w:r w:rsidRPr="00B660B7">
              <w:rPr>
                <w:sz w:val="22"/>
                <w:szCs w:val="22"/>
              </w:rPr>
              <w:t xml:space="preserve"> veikl</w:t>
            </w:r>
            <w:r>
              <w:rPr>
                <w:sz w:val="22"/>
                <w:szCs w:val="22"/>
              </w:rPr>
              <w:t>a</w:t>
            </w:r>
            <w:r w:rsidRPr="00B660B7">
              <w:rPr>
                <w:sz w:val="22"/>
                <w:szCs w:val="22"/>
              </w:rPr>
              <w:t xml:space="preserve"> tinka ir  </w:t>
            </w:r>
            <w:r w:rsidRPr="00B660B7">
              <w:rPr>
                <w:rFonts w:eastAsia="Calibri"/>
                <w:sz w:val="22"/>
                <w:szCs w:val="22"/>
              </w:rPr>
              <w:t>pedagogikos krypties studijų dėstytojų kvalifikacija</w:t>
            </w:r>
            <w:r>
              <w:rPr>
                <w:rFonts w:eastAsia="Calibri"/>
                <w:sz w:val="22"/>
                <w:szCs w:val="22"/>
              </w:rPr>
              <w:t>i kelti.</w:t>
            </w:r>
            <w:r w:rsidRPr="00B660B7">
              <w:rPr>
                <w:sz w:val="22"/>
                <w:szCs w:val="22"/>
              </w:rPr>
              <w:t xml:space="preserve"> </w:t>
            </w:r>
          </w:p>
          <w:p w14:paraId="1822DD36" w14:textId="77777777" w:rsidR="00B7208E" w:rsidRDefault="00B7208E" w:rsidP="00B7208E">
            <w:pPr>
              <w:pStyle w:val="Default"/>
              <w:spacing w:after="160"/>
              <w:jc w:val="both"/>
              <w:rPr>
                <w:sz w:val="22"/>
                <w:szCs w:val="22"/>
              </w:rPr>
            </w:pPr>
            <w:r w:rsidRPr="00B7208E">
              <w:rPr>
                <w:rFonts w:eastAsia="Calibri"/>
                <w:sz w:val="22"/>
                <w:szCs w:val="22"/>
              </w:rPr>
              <w:t xml:space="preserve">Pareiškėjai </w:t>
            </w:r>
            <w:r>
              <w:rPr>
                <w:rFonts w:eastAsia="Calibri"/>
                <w:sz w:val="22"/>
                <w:szCs w:val="22"/>
              </w:rPr>
              <w:t xml:space="preserve">pagal PFSA 9.1. veiklą </w:t>
            </w:r>
            <w:r w:rsidRPr="00B7208E">
              <w:rPr>
                <w:rFonts w:eastAsia="Calibri"/>
                <w:sz w:val="22"/>
                <w:szCs w:val="22"/>
              </w:rPr>
              <w:t>galimi yra universitetai, kurie numatyti Valstybinių universitetų tinklo optimizavimo</w:t>
            </w:r>
            <w:r>
              <w:rPr>
                <w:rFonts w:eastAsia="Calibri"/>
                <w:sz w:val="22"/>
                <w:szCs w:val="22"/>
              </w:rPr>
              <w:t xml:space="preserve"> plano įgyvendinimo priemonėse</w:t>
            </w:r>
          </w:p>
          <w:p w14:paraId="14A1AC3E" w14:textId="0C8D2BEC" w:rsidR="00B7208E" w:rsidRPr="00F02EE5" w:rsidRDefault="00B7208E" w:rsidP="00B7208E">
            <w:pPr>
              <w:pStyle w:val="Default"/>
              <w:spacing w:after="160"/>
              <w:jc w:val="both"/>
              <w:rPr>
                <w:sz w:val="22"/>
                <w:szCs w:val="22"/>
              </w:rPr>
            </w:pPr>
            <w:r w:rsidRPr="00B660B7">
              <w:rPr>
                <w:sz w:val="22"/>
                <w:szCs w:val="22"/>
              </w:rPr>
              <w:t>Lėšos yra numatytos visai priemonei, lėšos nėra susietos su konkrečia veikla</w:t>
            </w:r>
            <w:r>
              <w:rPr>
                <w:sz w:val="22"/>
                <w:szCs w:val="22"/>
              </w:rPr>
              <w:t>, todėl nėra tikslin</w:t>
            </w:r>
            <w:r w:rsidRPr="00B660B7">
              <w:rPr>
                <w:sz w:val="22"/>
                <w:szCs w:val="22"/>
              </w:rPr>
              <w:t>gumo veiklų</w:t>
            </w:r>
            <w:r>
              <w:rPr>
                <w:sz w:val="22"/>
                <w:szCs w:val="22"/>
              </w:rPr>
              <w:t xml:space="preserve"> susijusių su</w:t>
            </w:r>
            <w:r w:rsidRPr="00B660B7">
              <w:rPr>
                <w:sz w:val="22"/>
                <w:szCs w:val="22"/>
              </w:rPr>
              <w:t xml:space="preserve"> pedagogų koncentruoti tik PFSA  9.4. veikloje</w:t>
            </w:r>
            <w:r>
              <w:rPr>
                <w:sz w:val="22"/>
                <w:szCs w:val="22"/>
              </w:rPr>
              <w:t>.</w:t>
            </w:r>
          </w:p>
        </w:tc>
      </w:tr>
      <w:tr w:rsidR="00B7208E" w:rsidRPr="00F02EE5" w14:paraId="70EFACE4" w14:textId="77777777" w:rsidTr="00E16292">
        <w:trPr>
          <w:trHeight w:val="1368"/>
        </w:trPr>
        <w:tc>
          <w:tcPr>
            <w:tcW w:w="1560" w:type="dxa"/>
            <w:vMerge w:val="restart"/>
            <w:tcBorders>
              <w:top w:val="nil"/>
            </w:tcBorders>
          </w:tcPr>
          <w:p w14:paraId="5390E534" w14:textId="77777777" w:rsidR="00B7208E" w:rsidRDefault="00B7208E" w:rsidP="00B7208E">
            <w:pPr>
              <w:rPr>
                <w:rFonts w:ascii="Times New Roman" w:eastAsia="Times New Roman" w:hAnsi="Times New Roman" w:cs="Times New Roman"/>
                <w:color w:val="000000"/>
              </w:rPr>
            </w:pPr>
          </w:p>
          <w:p w14:paraId="78B5CC6F" w14:textId="77777777" w:rsidR="00B7208E" w:rsidRDefault="00B7208E" w:rsidP="00B7208E">
            <w:pPr>
              <w:rPr>
                <w:rFonts w:ascii="Times New Roman" w:eastAsia="Times New Roman" w:hAnsi="Times New Roman" w:cs="Times New Roman"/>
                <w:color w:val="000000"/>
              </w:rPr>
            </w:pPr>
          </w:p>
          <w:p w14:paraId="04298E1C" w14:textId="48095105" w:rsidR="00B7208E" w:rsidRPr="00F02EE5" w:rsidRDefault="00B7208E" w:rsidP="00B7208E">
            <w:pPr>
              <w:rPr>
                <w:rFonts w:ascii="Times New Roman" w:eastAsia="Times New Roman" w:hAnsi="Times New Roman" w:cs="Times New Roman"/>
                <w:color w:val="000000"/>
              </w:rPr>
            </w:pPr>
          </w:p>
        </w:tc>
        <w:tc>
          <w:tcPr>
            <w:tcW w:w="567" w:type="dxa"/>
          </w:tcPr>
          <w:p w14:paraId="493D79C6" w14:textId="14C1A60D" w:rsidR="00B7208E" w:rsidRPr="00F02EE5" w:rsidRDefault="00B7208E" w:rsidP="00B7208E">
            <w:pPr>
              <w:rPr>
                <w:rFonts w:ascii="Times New Roman" w:hAnsi="Times New Roman" w:cs="Times New Roman"/>
              </w:rPr>
            </w:pPr>
            <w:r w:rsidRPr="00F02EE5">
              <w:rPr>
                <w:rFonts w:ascii="Times New Roman" w:hAnsi="Times New Roman" w:cs="Times New Roman"/>
              </w:rPr>
              <w:t>2.</w:t>
            </w:r>
          </w:p>
        </w:tc>
        <w:tc>
          <w:tcPr>
            <w:tcW w:w="6662" w:type="dxa"/>
          </w:tcPr>
          <w:p w14:paraId="640BFB8A" w14:textId="77777777" w:rsidR="00B7208E" w:rsidRPr="00F02EE5" w:rsidRDefault="00B7208E" w:rsidP="00B7208E">
            <w:pPr>
              <w:rPr>
                <w:rFonts w:ascii="Times New Roman" w:hAnsi="Times New Roman" w:cs="Times New Roman"/>
                <w:lang w:val="en-US"/>
              </w:rPr>
            </w:pPr>
            <w:r w:rsidRPr="00F02EE5">
              <w:rPr>
                <w:rFonts w:ascii="Times New Roman" w:hAnsi="Times New Roman" w:cs="Times New Roman"/>
                <w:lang w:val="en-US"/>
              </w:rPr>
              <w:t xml:space="preserve">9.2 p., 9.3 p. – </w:t>
            </w:r>
            <w:proofErr w:type="spellStart"/>
            <w:r w:rsidRPr="00F02EE5">
              <w:rPr>
                <w:rFonts w:ascii="Times New Roman" w:hAnsi="Times New Roman" w:cs="Times New Roman"/>
                <w:lang w:val="en-US"/>
              </w:rPr>
              <w:t>šios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veiklos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atitinka</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mūsų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pateiktą</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pertvarkos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planą</w:t>
            </w:r>
            <w:proofErr w:type="spellEnd"/>
            <w:r w:rsidRPr="00F02EE5">
              <w:rPr>
                <w:rFonts w:ascii="Times New Roman" w:hAnsi="Times New Roman" w:cs="Times New Roman"/>
                <w:lang w:val="en-US"/>
              </w:rPr>
              <w:t xml:space="preserve">, tad </w:t>
            </w:r>
            <w:proofErr w:type="spellStart"/>
            <w:r w:rsidRPr="00F02EE5">
              <w:rPr>
                <w:rFonts w:ascii="Times New Roman" w:hAnsi="Times New Roman" w:cs="Times New Roman"/>
                <w:lang w:val="en-US"/>
              </w:rPr>
              <w:t>norėsime</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būti</w:t>
            </w:r>
            <w:proofErr w:type="spellEnd"/>
            <w:r w:rsidRPr="00F02EE5">
              <w:rPr>
                <w:rFonts w:ascii="Times New Roman" w:hAnsi="Times New Roman" w:cs="Times New Roman"/>
                <w:lang w:val="en-US"/>
              </w:rPr>
              <w:t xml:space="preserve"> jai </w:t>
            </w:r>
            <w:proofErr w:type="spellStart"/>
            <w:r w:rsidRPr="00F02EE5">
              <w:rPr>
                <w:rFonts w:ascii="Times New Roman" w:hAnsi="Times New Roman" w:cs="Times New Roman"/>
                <w:lang w:val="en-US"/>
              </w:rPr>
              <w:t>pareiškėjai</w:t>
            </w:r>
            <w:proofErr w:type="spellEnd"/>
            <w:r w:rsidRPr="00F02EE5">
              <w:rPr>
                <w:rFonts w:ascii="Times New Roman" w:hAnsi="Times New Roman" w:cs="Times New Roman"/>
                <w:lang w:val="en-US"/>
              </w:rPr>
              <w:t>.</w:t>
            </w:r>
          </w:p>
          <w:p w14:paraId="755DD8F1" w14:textId="7F6088FE" w:rsidR="00B7208E" w:rsidRPr="00F02EE5" w:rsidRDefault="00B7208E" w:rsidP="00B7208E">
            <w:pPr>
              <w:rPr>
                <w:rFonts w:ascii="Times New Roman" w:hAnsi="Times New Roman" w:cs="Times New Roman"/>
              </w:rPr>
            </w:pPr>
          </w:p>
        </w:tc>
        <w:tc>
          <w:tcPr>
            <w:tcW w:w="1276" w:type="dxa"/>
          </w:tcPr>
          <w:p w14:paraId="2C5880C6" w14:textId="77777777" w:rsidR="00B7208E" w:rsidRPr="00F02EE5" w:rsidRDefault="00B7208E" w:rsidP="00B7208E">
            <w:pPr>
              <w:rPr>
                <w:rFonts w:ascii="Times New Roman" w:hAnsi="Times New Roman" w:cs="Times New Roman"/>
              </w:rPr>
            </w:pPr>
          </w:p>
        </w:tc>
        <w:tc>
          <w:tcPr>
            <w:tcW w:w="5103" w:type="dxa"/>
          </w:tcPr>
          <w:p w14:paraId="5A510312" w14:textId="3ABDCD87" w:rsidR="00B7208E" w:rsidRPr="00F02EE5" w:rsidRDefault="00B7208E" w:rsidP="00B7208E">
            <w:pPr>
              <w:pStyle w:val="Default"/>
              <w:spacing w:after="160"/>
              <w:jc w:val="both"/>
              <w:rPr>
                <w:sz w:val="22"/>
                <w:szCs w:val="22"/>
              </w:rPr>
            </w:pPr>
            <w:r w:rsidRPr="00B7208E">
              <w:rPr>
                <w:rFonts w:eastAsia="Calibri"/>
                <w:sz w:val="22"/>
                <w:szCs w:val="22"/>
              </w:rPr>
              <w:t>Pareiškėjai galimi yra universitetai, kurie numatyti Valstybinių universitetų tinklo optimizavimo</w:t>
            </w:r>
            <w:r>
              <w:rPr>
                <w:rFonts w:eastAsia="Calibri"/>
                <w:sz w:val="22"/>
                <w:szCs w:val="22"/>
              </w:rPr>
              <w:t xml:space="preserve"> plano įgyvendinimo priemonėse. </w:t>
            </w:r>
            <w:r w:rsidRPr="000C451F">
              <w:rPr>
                <w:rFonts w:eastAsia="Calibri"/>
                <w:sz w:val="22"/>
                <w:szCs w:val="22"/>
              </w:rPr>
              <w:t>Detalesnė informaciją pateiksime Ministerijos atsiųstame kvietime teikti projektinį pasiūlymą.</w:t>
            </w:r>
          </w:p>
        </w:tc>
      </w:tr>
      <w:tr w:rsidR="00B7208E" w:rsidRPr="00F02EE5" w14:paraId="4FB08F81" w14:textId="77777777" w:rsidTr="00E16292">
        <w:trPr>
          <w:trHeight w:val="756"/>
        </w:trPr>
        <w:tc>
          <w:tcPr>
            <w:tcW w:w="1560" w:type="dxa"/>
            <w:vMerge/>
          </w:tcPr>
          <w:p w14:paraId="35C8A17D" w14:textId="77777777" w:rsidR="00B7208E" w:rsidRPr="00F02EE5" w:rsidRDefault="00B7208E" w:rsidP="00B7208E">
            <w:pPr>
              <w:rPr>
                <w:rFonts w:ascii="Times New Roman" w:eastAsia="Times New Roman" w:hAnsi="Times New Roman" w:cs="Times New Roman"/>
                <w:color w:val="000000"/>
              </w:rPr>
            </w:pPr>
          </w:p>
        </w:tc>
        <w:tc>
          <w:tcPr>
            <w:tcW w:w="567" w:type="dxa"/>
          </w:tcPr>
          <w:p w14:paraId="6CE7F939" w14:textId="571A18CD" w:rsidR="00B7208E" w:rsidRPr="00F02EE5" w:rsidRDefault="00B7208E" w:rsidP="00B7208E">
            <w:pPr>
              <w:rPr>
                <w:rFonts w:ascii="Times New Roman" w:hAnsi="Times New Roman" w:cs="Times New Roman"/>
              </w:rPr>
            </w:pPr>
            <w:r w:rsidRPr="00F02EE5">
              <w:rPr>
                <w:rFonts w:ascii="Times New Roman" w:hAnsi="Times New Roman" w:cs="Times New Roman"/>
              </w:rPr>
              <w:t>3.</w:t>
            </w:r>
          </w:p>
        </w:tc>
        <w:tc>
          <w:tcPr>
            <w:tcW w:w="6662" w:type="dxa"/>
          </w:tcPr>
          <w:p w14:paraId="2B65F9A5" w14:textId="1F364884" w:rsidR="00B7208E" w:rsidRPr="00F02EE5" w:rsidRDefault="00B7208E" w:rsidP="00B7208E">
            <w:pPr>
              <w:rPr>
                <w:rFonts w:ascii="Times New Roman" w:hAnsi="Times New Roman" w:cs="Times New Roman"/>
              </w:rPr>
            </w:pPr>
            <w:proofErr w:type="spellStart"/>
            <w:r w:rsidRPr="00F02EE5">
              <w:rPr>
                <w:rFonts w:ascii="Times New Roman" w:hAnsi="Times New Roman" w:cs="Times New Roman"/>
                <w:lang w:val="en-US"/>
              </w:rPr>
              <w:t>Ar</w:t>
            </w:r>
            <w:proofErr w:type="spellEnd"/>
            <w:r w:rsidRPr="00F02EE5">
              <w:rPr>
                <w:rFonts w:ascii="Times New Roman" w:hAnsi="Times New Roman" w:cs="Times New Roman"/>
                <w:lang w:val="en-US"/>
              </w:rPr>
              <w:t xml:space="preserve"> </w:t>
            </w:r>
            <w:r w:rsidRPr="00F02EE5">
              <w:rPr>
                <w:rFonts w:ascii="Times New Roman" w:hAnsi="Times New Roman" w:cs="Times New Roman"/>
                <w:lang w:val="en-US"/>
              </w:rPr>
              <w:t xml:space="preserve">PFSA bus </w:t>
            </w:r>
            <w:proofErr w:type="spellStart"/>
            <w:r w:rsidRPr="00F02EE5">
              <w:rPr>
                <w:rFonts w:ascii="Times New Roman" w:hAnsi="Times New Roman" w:cs="Times New Roman"/>
                <w:lang w:val="en-US"/>
              </w:rPr>
              <w:t>nurodyti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konkretūs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pareiškėjai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atskiroms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veikloms</w:t>
            </w:r>
            <w:proofErr w:type="spellEnd"/>
            <w:r w:rsidRPr="00F02EE5">
              <w:rPr>
                <w:rFonts w:ascii="Times New Roman" w:hAnsi="Times New Roman" w:cs="Times New Roman"/>
                <w:lang w:val="en-US"/>
              </w:rPr>
              <w:t xml:space="preserve">, kai bus </w:t>
            </w:r>
            <w:proofErr w:type="spellStart"/>
            <w:r w:rsidRPr="00F02EE5">
              <w:rPr>
                <w:rFonts w:ascii="Times New Roman" w:hAnsi="Times New Roman" w:cs="Times New Roman"/>
                <w:lang w:val="en-US"/>
              </w:rPr>
              <w:t>priimti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Seimo</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sprendimai</w:t>
            </w:r>
            <w:proofErr w:type="spellEnd"/>
            <w:r w:rsidRPr="00F02EE5">
              <w:rPr>
                <w:rFonts w:ascii="Times New Roman" w:hAnsi="Times New Roman" w:cs="Times New Roman"/>
                <w:lang w:val="en-US"/>
              </w:rPr>
              <w:t>?</w:t>
            </w:r>
          </w:p>
        </w:tc>
        <w:tc>
          <w:tcPr>
            <w:tcW w:w="1276" w:type="dxa"/>
          </w:tcPr>
          <w:p w14:paraId="0226F321" w14:textId="77777777" w:rsidR="00B7208E" w:rsidRPr="00F02EE5" w:rsidRDefault="00B7208E" w:rsidP="00B7208E">
            <w:pPr>
              <w:rPr>
                <w:rFonts w:ascii="Times New Roman" w:hAnsi="Times New Roman" w:cs="Times New Roman"/>
              </w:rPr>
            </w:pPr>
          </w:p>
        </w:tc>
        <w:tc>
          <w:tcPr>
            <w:tcW w:w="5103" w:type="dxa"/>
          </w:tcPr>
          <w:p w14:paraId="2B49F7B4" w14:textId="0088B3D8" w:rsidR="00B7208E" w:rsidRPr="00F02EE5" w:rsidRDefault="00B7208E" w:rsidP="00B7208E">
            <w:pPr>
              <w:pStyle w:val="Default"/>
              <w:spacing w:after="160"/>
              <w:jc w:val="both"/>
              <w:rPr>
                <w:sz w:val="22"/>
                <w:szCs w:val="22"/>
              </w:rPr>
            </w:pPr>
            <w:r w:rsidRPr="000C451F">
              <w:rPr>
                <w:sz w:val="22"/>
                <w:szCs w:val="22"/>
              </w:rPr>
              <w:t xml:space="preserve">PFSA nebus nurodyti konkretūs pareiškėjai veikloms. Pareiškėjai galimi yra </w:t>
            </w:r>
            <w:r w:rsidRPr="000C451F">
              <w:rPr>
                <w:rFonts w:eastAsia="Calibri"/>
                <w:sz w:val="22"/>
                <w:szCs w:val="22"/>
              </w:rPr>
              <w:t>universitetai, kurie numatyti Valstybinių universitetų tinklo optimizavimo plano įgyvendinimo priemonėse</w:t>
            </w:r>
            <w:r w:rsidRPr="000C451F">
              <w:rPr>
                <w:rFonts w:eastAsia="Calibri"/>
                <w:sz w:val="22"/>
                <w:szCs w:val="22"/>
              </w:rPr>
              <w:t xml:space="preserve">. Detalesnė informaciją pateiksime </w:t>
            </w:r>
            <w:r w:rsidRPr="000C451F">
              <w:rPr>
                <w:rFonts w:eastAsia="Calibri"/>
                <w:sz w:val="22"/>
                <w:szCs w:val="22"/>
              </w:rPr>
              <w:t xml:space="preserve">Ministerijos </w:t>
            </w:r>
            <w:r w:rsidRPr="000C451F">
              <w:rPr>
                <w:rFonts w:eastAsia="Calibri"/>
                <w:sz w:val="22"/>
                <w:szCs w:val="22"/>
              </w:rPr>
              <w:t xml:space="preserve">atsiųstame </w:t>
            </w:r>
            <w:r w:rsidRPr="000C451F">
              <w:rPr>
                <w:rFonts w:eastAsia="Calibri"/>
                <w:sz w:val="22"/>
                <w:szCs w:val="22"/>
              </w:rPr>
              <w:t>kvietime teikti projektinį pasiūlymą</w:t>
            </w:r>
            <w:r w:rsidRPr="000C451F">
              <w:rPr>
                <w:rFonts w:eastAsia="Calibri"/>
                <w:sz w:val="22"/>
                <w:szCs w:val="22"/>
              </w:rPr>
              <w:t>.</w:t>
            </w:r>
          </w:p>
        </w:tc>
      </w:tr>
      <w:tr w:rsidR="00B7208E" w:rsidRPr="00F02EE5" w14:paraId="3D90A17C" w14:textId="77777777" w:rsidTr="00E16292">
        <w:trPr>
          <w:trHeight w:val="938"/>
        </w:trPr>
        <w:tc>
          <w:tcPr>
            <w:tcW w:w="1560" w:type="dxa"/>
            <w:vMerge/>
          </w:tcPr>
          <w:p w14:paraId="437E33E9" w14:textId="77777777" w:rsidR="00B7208E" w:rsidRPr="00F02EE5" w:rsidRDefault="00B7208E" w:rsidP="00B7208E">
            <w:pPr>
              <w:rPr>
                <w:rFonts w:ascii="Times New Roman" w:eastAsia="Times New Roman" w:hAnsi="Times New Roman" w:cs="Times New Roman"/>
                <w:color w:val="000000"/>
              </w:rPr>
            </w:pPr>
          </w:p>
        </w:tc>
        <w:tc>
          <w:tcPr>
            <w:tcW w:w="567" w:type="dxa"/>
          </w:tcPr>
          <w:p w14:paraId="5B9A48A3" w14:textId="6F745938" w:rsidR="00B7208E" w:rsidRPr="00F02EE5" w:rsidRDefault="00B7208E" w:rsidP="00B7208E">
            <w:pPr>
              <w:rPr>
                <w:rFonts w:ascii="Times New Roman" w:hAnsi="Times New Roman" w:cs="Times New Roman"/>
              </w:rPr>
            </w:pPr>
            <w:r w:rsidRPr="00F02EE5">
              <w:rPr>
                <w:rFonts w:ascii="Times New Roman" w:hAnsi="Times New Roman" w:cs="Times New Roman"/>
              </w:rPr>
              <w:t>4.</w:t>
            </w:r>
          </w:p>
        </w:tc>
        <w:tc>
          <w:tcPr>
            <w:tcW w:w="6662" w:type="dxa"/>
          </w:tcPr>
          <w:p w14:paraId="3509AD51" w14:textId="5D8F9EF2" w:rsidR="00B7208E" w:rsidRPr="00F02EE5" w:rsidRDefault="00B7208E" w:rsidP="00B7208E">
            <w:pPr>
              <w:rPr>
                <w:rFonts w:ascii="Times New Roman" w:hAnsi="Times New Roman" w:cs="Times New Roman"/>
              </w:rPr>
            </w:pPr>
            <w:r w:rsidRPr="00F02EE5">
              <w:rPr>
                <w:rFonts w:ascii="Times New Roman" w:hAnsi="Times New Roman" w:cs="Times New Roman"/>
                <w:lang w:val="en-US"/>
              </w:rPr>
              <w:t>S</w:t>
            </w:r>
            <w:r w:rsidRPr="00F02EE5">
              <w:rPr>
                <w:rFonts w:ascii="Times New Roman" w:hAnsi="Times New Roman" w:cs="Times New Roman"/>
                <w:lang w:val="en-US"/>
              </w:rPr>
              <w:t xml:space="preserve">IŪLYMAS PFSA </w:t>
            </w:r>
            <w:proofErr w:type="spellStart"/>
            <w:r w:rsidRPr="00F02EE5">
              <w:rPr>
                <w:rFonts w:ascii="Times New Roman" w:hAnsi="Times New Roman" w:cs="Times New Roman"/>
                <w:lang w:val="en-US"/>
              </w:rPr>
              <w:t>keitimui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visiškai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nepagrįstas</w:t>
            </w:r>
            <w:proofErr w:type="spellEnd"/>
            <w:r w:rsidRPr="00F02EE5">
              <w:rPr>
                <w:rFonts w:ascii="Times New Roman" w:hAnsi="Times New Roman" w:cs="Times New Roman"/>
                <w:lang w:val="en-US"/>
              </w:rPr>
              <w:t xml:space="preserve"> 25.2 ir 25.3 p. – </w:t>
            </w:r>
            <w:proofErr w:type="spellStart"/>
            <w:r w:rsidRPr="00F02EE5">
              <w:rPr>
                <w:rFonts w:ascii="Times New Roman" w:hAnsi="Times New Roman" w:cs="Times New Roman"/>
                <w:lang w:val="en-US"/>
              </w:rPr>
              <w:t>kodėl</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išskiriamas</w:t>
            </w:r>
            <w:proofErr w:type="spellEnd"/>
            <w:r w:rsidRPr="00F02EE5">
              <w:rPr>
                <w:rFonts w:ascii="Times New Roman" w:hAnsi="Times New Roman" w:cs="Times New Roman"/>
                <w:lang w:val="en-US"/>
              </w:rPr>
              <w:t xml:space="preserve"> KTU </w:t>
            </w:r>
            <w:proofErr w:type="spellStart"/>
            <w:r w:rsidRPr="00F02EE5">
              <w:rPr>
                <w:rFonts w:ascii="Times New Roman" w:hAnsi="Times New Roman" w:cs="Times New Roman"/>
                <w:lang w:val="en-US"/>
              </w:rPr>
              <w:t>iš</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visų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aukštųjų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mokyklų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Prašome</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priimti</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kompromisą</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dėl</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rodiklių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reikšmės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kurios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tiktų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visiems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pareiškėjams</w:t>
            </w:r>
            <w:proofErr w:type="spellEnd"/>
            <w:r w:rsidRPr="00F02EE5">
              <w:rPr>
                <w:rFonts w:ascii="Times New Roman" w:hAnsi="Times New Roman" w:cs="Times New Roman"/>
                <w:lang w:val="en-US"/>
              </w:rPr>
              <w:t>/</w:t>
            </w:r>
            <w:proofErr w:type="spellStart"/>
            <w:r w:rsidRPr="00F02EE5">
              <w:rPr>
                <w:rFonts w:ascii="Times New Roman" w:hAnsi="Times New Roman" w:cs="Times New Roman"/>
                <w:lang w:val="en-US"/>
              </w:rPr>
              <w:t>partneriams</w:t>
            </w:r>
            <w:proofErr w:type="spellEnd"/>
            <w:r w:rsidRPr="00F02EE5">
              <w:rPr>
                <w:rFonts w:ascii="Times New Roman" w:hAnsi="Times New Roman" w:cs="Times New Roman"/>
                <w:lang w:val="en-US"/>
              </w:rPr>
              <w:t>.</w:t>
            </w:r>
          </w:p>
        </w:tc>
        <w:tc>
          <w:tcPr>
            <w:tcW w:w="1276" w:type="dxa"/>
          </w:tcPr>
          <w:p w14:paraId="4F4ADAE9" w14:textId="69D18F71" w:rsidR="00B7208E" w:rsidRPr="00F02EE5" w:rsidRDefault="00B7208E" w:rsidP="00B7208E">
            <w:pPr>
              <w:rPr>
                <w:rFonts w:ascii="Times New Roman" w:hAnsi="Times New Roman" w:cs="Times New Roman"/>
              </w:rPr>
            </w:pPr>
            <w:r>
              <w:rPr>
                <w:rFonts w:ascii="Times New Roman" w:hAnsi="Times New Roman" w:cs="Times New Roman"/>
              </w:rPr>
              <w:t>Atsižvelgta</w:t>
            </w:r>
          </w:p>
        </w:tc>
        <w:tc>
          <w:tcPr>
            <w:tcW w:w="5103" w:type="dxa"/>
          </w:tcPr>
          <w:p w14:paraId="05BCF85C" w14:textId="2778C09D" w:rsidR="00B7208E" w:rsidRPr="000C451F" w:rsidRDefault="00B7208E" w:rsidP="00B7208E">
            <w:pPr>
              <w:pStyle w:val="Default"/>
              <w:spacing w:after="160"/>
              <w:jc w:val="both"/>
              <w:rPr>
                <w:sz w:val="22"/>
                <w:szCs w:val="22"/>
              </w:rPr>
            </w:pPr>
            <w:r w:rsidRPr="00F02EE5">
              <w:rPr>
                <w:sz w:val="22"/>
                <w:szCs w:val="22"/>
              </w:rPr>
              <w:t>Pakoreguota, Apraše bus numatomi bendri minimalūs rodikliai.</w:t>
            </w:r>
          </w:p>
        </w:tc>
      </w:tr>
      <w:tr w:rsidR="00B7208E" w:rsidRPr="00F02EE5" w14:paraId="17F04E57" w14:textId="77777777" w:rsidTr="00E16292">
        <w:trPr>
          <w:trHeight w:val="406"/>
        </w:trPr>
        <w:tc>
          <w:tcPr>
            <w:tcW w:w="1560" w:type="dxa"/>
            <w:vMerge/>
          </w:tcPr>
          <w:p w14:paraId="38ED5F34" w14:textId="77777777" w:rsidR="00B7208E" w:rsidRPr="00F02EE5" w:rsidRDefault="00B7208E" w:rsidP="00B7208E">
            <w:pPr>
              <w:rPr>
                <w:rFonts w:ascii="Times New Roman" w:eastAsia="Times New Roman" w:hAnsi="Times New Roman" w:cs="Times New Roman"/>
                <w:color w:val="000000"/>
              </w:rPr>
            </w:pPr>
          </w:p>
        </w:tc>
        <w:tc>
          <w:tcPr>
            <w:tcW w:w="567" w:type="dxa"/>
          </w:tcPr>
          <w:p w14:paraId="056A245D" w14:textId="7001D4EB" w:rsidR="00B7208E" w:rsidRPr="00F02EE5" w:rsidRDefault="00B7208E" w:rsidP="00B7208E">
            <w:pPr>
              <w:rPr>
                <w:rFonts w:ascii="Times New Roman" w:hAnsi="Times New Roman" w:cs="Times New Roman"/>
              </w:rPr>
            </w:pPr>
            <w:r w:rsidRPr="00F02EE5">
              <w:rPr>
                <w:rFonts w:ascii="Times New Roman" w:hAnsi="Times New Roman" w:cs="Times New Roman"/>
              </w:rPr>
              <w:t xml:space="preserve">5. </w:t>
            </w:r>
          </w:p>
        </w:tc>
        <w:tc>
          <w:tcPr>
            <w:tcW w:w="6662" w:type="dxa"/>
          </w:tcPr>
          <w:p w14:paraId="5EA7309E" w14:textId="1152397B" w:rsidR="00B7208E" w:rsidRPr="00F02EE5" w:rsidRDefault="00B7208E" w:rsidP="00B7208E">
            <w:pPr>
              <w:rPr>
                <w:rFonts w:ascii="Times New Roman" w:hAnsi="Times New Roman" w:cs="Times New Roman"/>
                <w:lang w:val="en-US"/>
              </w:rPr>
            </w:pPr>
            <w:r w:rsidRPr="00F02EE5">
              <w:rPr>
                <w:rFonts w:ascii="Times New Roman" w:hAnsi="Times New Roman" w:cs="Times New Roman"/>
                <w:lang w:val="en-US"/>
              </w:rPr>
              <w:t xml:space="preserve">SIŪLYMAS PFSA </w:t>
            </w:r>
            <w:proofErr w:type="spellStart"/>
            <w:r w:rsidRPr="00F02EE5">
              <w:rPr>
                <w:rFonts w:ascii="Times New Roman" w:hAnsi="Times New Roman" w:cs="Times New Roman"/>
                <w:lang w:val="en-US"/>
              </w:rPr>
              <w:t>keitimui</w:t>
            </w:r>
            <w:proofErr w:type="spellEnd"/>
            <w:r w:rsidRPr="00F02EE5">
              <w:rPr>
                <w:rFonts w:ascii="Times New Roman" w:hAnsi="Times New Roman" w:cs="Times New Roman"/>
                <w:lang w:val="en-US"/>
              </w:rPr>
              <w:t xml:space="preserve">: 35 p. </w:t>
            </w:r>
            <w:proofErr w:type="spellStart"/>
            <w:r w:rsidRPr="00F02EE5">
              <w:rPr>
                <w:rFonts w:ascii="Times New Roman" w:hAnsi="Times New Roman" w:cs="Times New Roman"/>
                <w:lang w:val="en-US"/>
              </w:rPr>
              <w:t>prašome</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įtraukti</w:t>
            </w:r>
            <w:proofErr w:type="spellEnd"/>
            <w:r w:rsidRPr="00F02EE5">
              <w:rPr>
                <w:rFonts w:ascii="Times New Roman" w:hAnsi="Times New Roman" w:cs="Times New Roman"/>
                <w:lang w:val="en-US"/>
              </w:rPr>
              <w:t xml:space="preserve">, jog </w:t>
            </w:r>
            <w:proofErr w:type="spellStart"/>
            <w:r w:rsidRPr="00F02EE5">
              <w:rPr>
                <w:rFonts w:ascii="Times New Roman" w:hAnsi="Times New Roman" w:cs="Times New Roman"/>
                <w:lang w:val="en-US"/>
              </w:rPr>
              <w:t>būtų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tinkamos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paslaugų</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įsigijimo</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išlaidos</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projekto</w:t>
            </w:r>
            <w:proofErr w:type="spellEnd"/>
            <w:r w:rsidRPr="00F02EE5">
              <w:rPr>
                <w:rFonts w:ascii="Times New Roman" w:hAnsi="Times New Roman" w:cs="Times New Roman"/>
                <w:lang w:val="en-US"/>
              </w:rPr>
              <w:t xml:space="preserve"> </w:t>
            </w:r>
            <w:proofErr w:type="spellStart"/>
            <w:r w:rsidRPr="00F02EE5">
              <w:rPr>
                <w:rFonts w:ascii="Times New Roman" w:hAnsi="Times New Roman" w:cs="Times New Roman"/>
                <w:lang w:val="en-US"/>
              </w:rPr>
              <w:t>vykdymui</w:t>
            </w:r>
            <w:proofErr w:type="spellEnd"/>
            <w:r w:rsidRPr="00F02EE5">
              <w:rPr>
                <w:rFonts w:ascii="Times New Roman" w:hAnsi="Times New Roman" w:cs="Times New Roman"/>
                <w:lang w:val="en-US"/>
              </w:rPr>
              <w:t xml:space="preserve">. </w:t>
            </w:r>
          </w:p>
        </w:tc>
        <w:tc>
          <w:tcPr>
            <w:tcW w:w="1276" w:type="dxa"/>
          </w:tcPr>
          <w:p w14:paraId="4F010121" w14:textId="0F8490C8" w:rsidR="00B7208E" w:rsidRPr="00F02EE5" w:rsidRDefault="00B7208E" w:rsidP="00B7208E">
            <w:pPr>
              <w:rPr>
                <w:rFonts w:ascii="Times New Roman" w:hAnsi="Times New Roman" w:cs="Times New Roman"/>
              </w:rPr>
            </w:pPr>
          </w:p>
        </w:tc>
        <w:tc>
          <w:tcPr>
            <w:tcW w:w="5103" w:type="dxa"/>
          </w:tcPr>
          <w:p w14:paraId="74951FC2" w14:textId="1A73CBC6" w:rsidR="00B7208E" w:rsidRPr="00F02EE5" w:rsidRDefault="00B7208E" w:rsidP="00B7208E">
            <w:pPr>
              <w:pStyle w:val="Default"/>
              <w:spacing w:after="160"/>
              <w:jc w:val="both"/>
              <w:rPr>
                <w:sz w:val="22"/>
                <w:szCs w:val="22"/>
              </w:rPr>
            </w:pPr>
            <w:r>
              <w:rPr>
                <w:sz w:val="22"/>
                <w:szCs w:val="22"/>
              </w:rPr>
              <w:t>Pagal 35 p. paslaugos yra tinkamos išlaidos, nėra nurodyta apribojimų.</w:t>
            </w:r>
          </w:p>
        </w:tc>
      </w:tr>
    </w:tbl>
    <w:p w14:paraId="32B33A71" w14:textId="75E7B370" w:rsidR="00F96951" w:rsidRPr="00F02EE5" w:rsidRDefault="00F96951" w:rsidP="00827D17">
      <w:pPr>
        <w:jc w:val="center"/>
        <w:rPr>
          <w:rFonts w:ascii="Times New Roman" w:hAnsi="Times New Roman" w:cs="Times New Roman"/>
        </w:rPr>
      </w:pPr>
    </w:p>
    <w:sectPr w:rsidR="00F96951" w:rsidRPr="00F02EE5" w:rsidSect="00B7208E">
      <w:pgSz w:w="16838" w:h="11906" w:orient="landscape"/>
      <w:pgMar w:top="709"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05C0"/>
    <w:multiLevelType w:val="hybridMultilevel"/>
    <w:tmpl w:val="DCF67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C229C"/>
    <w:multiLevelType w:val="hybridMultilevel"/>
    <w:tmpl w:val="E3143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75C6C"/>
    <w:multiLevelType w:val="hybridMultilevel"/>
    <w:tmpl w:val="3AB45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4021FF"/>
    <w:multiLevelType w:val="hybridMultilevel"/>
    <w:tmpl w:val="EB5A72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DB7E61"/>
    <w:multiLevelType w:val="hybridMultilevel"/>
    <w:tmpl w:val="4B78C516"/>
    <w:lvl w:ilvl="0" w:tplc="179AB564">
      <w:start w:val="18"/>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71DE2"/>
    <w:multiLevelType w:val="hybridMultilevel"/>
    <w:tmpl w:val="1D2214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D2C56BB"/>
    <w:multiLevelType w:val="hybridMultilevel"/>
    <w:tmpl w:val="7D6068F6"/>
    <w:lvl w:ilvl="0" w:tplc="94F2B48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9E38E5"/>
    <w:multiLevelType w:val="hybridMultilevel"/>
    <w:tmpl w:val="A33E05F4"/>
    <w:lvl w:ilvl="0" w:tplc="04429864">
      <w:start w:val="1"/>
      <w:numFmt w:val="decimal"/>
      <w:lvlText w:val="%1."/>
      <w:lvlJc w:val="left"/>
      <w:pPr>
        <w:ind w:left="735" w:hanging="375"/>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A642FA"/>
    <w:multiLevelType w:val="hybridMultilevel"/>
    <w:tmpl w:val="ADE232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7D22D4"/>
    <w:multiLevelType w:val="hybridMultilevel"/>
    <w:tmpl w:val="A39E6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6D5280"/>
    <w:multiLevelType w:val="hybridMultilevel"/>
    <w:tmpl w:val="1A64C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982FBB"/>
    <w:multiLevelType w:val="hybridMultilevel"/>
    <w:tmpl w:val="5874E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7D558D"/>
    <w:multiLevelType w:val="hybridMultilevel"/>
    <w:tmpl w:val="DD86E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1C4AC6"/>
    <w:multiLevelType w:val="hybridMultilevel"/>
    <w:tmpl w:val="017C6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4B48C7"/>
    <w:multiLevelType w:val="hybridMultilevel"/>
    <w:tmpl w:val="3384B91A"/>
    <w:lvl w:ilvl="0" w:tplc="C892FD1E">
      <w:start w:val="18"/>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A14184"/>
    <w:multiLevelType w:val="hybridMultilevel"/>
    <w:tmpl w:val="6AE41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F61759"/>
    <w:multiLevelType w:val="hybridMultilevel"/>
    <w:tmpl w:val="82FC8F26"/>
    <w:lvl w:ilvl="0" w:tplc="22C085C0">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03355E"/>
    <w:multiLevelType w:val="hybridMultilevel"/>
    <w:tmpl w:val="EECA6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BA0598"/>
    <w:multiLevelType w:val="hybridMultilevel"/>
    <w:tmpl w:val="FD38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A25B26"/>
    <w:multiLevelType w:val="hybridMultilevel"/>
    <w:tmpl w:val="34BC6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0"/>
  </w:num>
  <w:num w:numId="3">
    <w:abstractNumId w:val="1"/>
  </w:num>
  <w:num w:numId="4">
    <w:abstractNumId w:val="13"/>
  </w:num>
  <w:num w:numId="5">
    <w:abstractNumId w:val="18"/>
  </w:num>
  <w:num w:numId="6">
    <w:abstractNumId w:val="6"/>
  </w:num>
  <w:num w:numId="7">
    <w:abstractNumId w:val="2"/>
  </w:num>
  <w:num w:numId="8">
    <w:abstractNumId w:val="15"/>
  </w:num>
  <w:num w:numId="9">
    <w:abstractNumId w:val="12"/>
  </w:num>
  <w:num w:numId="10">
    <w:abstractNumId w:val="17"/>
  </w:num>
  <w:num w:numId="11">
    <w:abstractNumId w:val="7"/>
  </w:num>
  <w:num w:numId="12">
    <w:abstractNumId w:val="11"/>
  </w:num>
  <w:num w:numId="13">
    <w:abstractNumId w:val="16"/>
  </w:num>
  <w:num w:numId="14">
    <w:abstractNumId w:val="9"/>
  </w:num>
  <w:num w:numId="15">
    <w:abstractNumId w:val="3"/>
  </w:num>
  <w:num w:numId="16">
    <w:abstractNumId w:val="5"/>
    <w:lvlOverride w:ilvl="0"/>
    <w:lvlOverride w:ilvl="1"/>
    <w:lvlOverride w:ilvl="2"/>
    <w:lvlOverride w:ilvl="3"/>
    <w:lvlOverride w:ilvl="4"/>
    <w:lvlOverride w:ilvl="5"/>
    <w:lvlOverride w:ilvl="6"/>
    <w:lvlOverride w:ilvl="7"/>
    <w:lvlOverride w:ilvl="8"/>
  </w:num>
  <w:num w:numId="17">
    <w:abstractNumId w:val="4"/>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00"/>
    <w:rsid w:val="000065AF"/>
    <w:rsid w:val="000109F0"/>
    <w:rsid w:val="00014389"/>
    <w:rsid w:val="0005279C"/>
    <w:rsid w:val="00056D4A"/>
    <w:rsid w:val="0007631F"/>
    <w:rsid w:val="0007698A"/>
    <w:rsid w:val="0007717B"/>
    <w:rsid w:val="0008004E"/>
    <w:rsid w:val="00081A89"/>
    <w:rsid w:val="00083467"/>
    <w:rsid w:val="000848B9"/>
    <w:rsid w:val="00086800"/>
    <w:rsid w:val="00093321"/>
    <w:rsid w:val="0009402E"/>
    <w:rsid w:val="000B39DB"/>
    <w:rsid w:val="000C451F"/>
    <w:rsid w:val="000C7614"/>
    <w:rsid w:val="000D4605"/>
    <w:rsid w:val="000E3740"/>
    <w:rsid w:val="000E5D6A"/>
    <w:rsid w:val="000F3F87"/>
    <w:rsid w:val="00113475"/>
    <w:rsid w:val="00113F30"/>
    <w:rsid w:val="00120700"/>
    <w:rsid w:val="00126ABF"/>
    <w:rsid w:val="00127200"/>
    <w:rsid w:val="001440F4"/>
    <w:rsid w:val="00144D79"/>
    <w:rsid w:val="001526AF"/>
    <w:rsid w:val="00153C00"/>
    <w:rsid w:val="00154549"/>
    <w:rsid w:val="00160B86"/>
    <w:rsid w:val="001B46B1"/>
    <w:rsid w:val="001C326B"/>
    <w:rsid w:val="001D024A"/>
    <w:rsid w:val="001D1711"/>
    <w:rsid w:val="001E1276"/>
    <w:rsid w:val="0020624B"/>
    <w:rsid w:val="002066AE"/>
    <w:rsid w:val="00211AA9"/>
    <w:rsid w:val="00223477"/>
    <w:rsid w:val="00224722"/>
    <w:rsid w:val="00224753"/>
    <w:rsid w:val="00224D79"/>
    <w:rsid w:val="00233012"/>
    <w:rsid w:val="00233667"/>
    <w:rsid w:val="00243E90"/>
    <w:rsid w:val="00245136"/>
    <w:rsid w:val="00251BDC"/>
    <w:rsid w:val="002644E7"/>
    <w:rsid w:val="002731C3"/>
    <w:rsid w:val="00276A2F"/>
    <w:rsid w:val="002829AA"/>
    <w:rsid w:val="00285B82"/>
    <w:rsid w:val="002A3400"/>
    <w:rsid w:val="002A633C"/>
    <w:rsid w:val="002A6B29"/>
    <w:rsid w:val="002A6EA7"/>
    <w:rsid w:val="002A7378"/>
    <w:rsid w:val="002B4B71"/>
    <w:rsid w:val="002B71C0"/>
    <w:rsid w:val="002C29D0"/>
    <w:rsid w:val="002C57DE"/>
    <w:rsid w:val="002C5B45"/>
    <w:rsid w:val="002C66D3"/>
    <w:rsid w:val="002D0C28"/>
    <w:rsid w:val="002D3F58"/>
    <w:rsid w:val="002D4749"/>
    <w:rsid w:val="002D794D"/>
    <w:rsid w:val="002E3674"/>
    <w:rsid w:val="002E4206"/>
    <w:rsid w:val="002E71C1"/>
    <w:rsid w:val="002E74C1"/>
    <w:rsid w:val="003021DB"/>
    <w:rsid w:val="0031539D"/>
    <w:rsid w:val="00332881"/>
    <w:rsid w:val="003408CB"/>
    <w:rsid w:val="003420EF"/>
    <w:rsid w:val="0034363A"/>
    <w:rsid w:val="0034734F"/>
    <w:rsid w:val="0035050A"/>
    <w:rsid w:val="00354433"/>
    <w:rsid w:val="00361717"/>
    <w:rsid w:val="00362EBA"/>
    <w:rsid w:val="00365A26"/>
    <w:rsid w:val="00367E29"/>
    <w:rsid w:val="003801D0"/>
    <w:rsid w:val="0038185C"/>
    <w:rsid w:val="00387D60"/>
    <w:rsid w:val="003A3F39"/>
    <w:rsid w:val="003B3DA8"/>
    <w:rsid w:val="003B47CB"/>
    <w:rsid w:val="003C5969"/>
    <w:rsid w:val="003C7D13"/>
    <w:rsid w:val="003D3B6C"/>
    <w:rsid w:val="003D7598"/>
    <w:rsid w:val="003D7B0E"/>
    <w:rsid w:val="003E20B7"/>
    <w:rsid w:val="003E35F5"/>
    <w:rsid w:val="003F0C7B"/>
    <w:rsid w:val="003F57BF"/>
    <w:rsid w:val="0040143F"/>
    <w:rsid w:val="00403372"/>
    <w:rsid w:val="00407354"/>
    <w:rsid w:val="00416A82"/>
    <w:rsid w:val="00422452"/>
    <w:rsid w:val="00424A9B"/>
    <w:rsid w:val="00432DBE"/>
    <w:rsid w:val="00450384"/>
    <w:rsid w:val="00466286"/>
    <w:rsid w:val="004703EE"/>
    <w:rsid w:val="00493379"/>
    <w:rsid w:val="00493F85"/>
    <w:rsid w:val="004A09F6"/>
    <w:rsid w:val="004A27BD"/>
    <w:rsid w:val="004B4767"/>
    <w:rsid w:val="004B638E"/>
    <w:rsid w:val="004D71FD"/>
    <w:rsid w:val="004D726C"/>
    <w:rsid w:val="004E6672"/>
    <w:rsid w:val="004F3A52"/>
    <w:rsid w:val="004F6A13"/>
    <w:rsid w:val="00506FE4"/>
    <w:rsid w:val="00510BBF"/>
    <w:rsid w:val="00525661"/>
    <w:rsid w:val="00525D91"/>
    <w:rsid w:val="005319A3"/>
    <w:rsid w:val="00531F74"/>
    <w:rsid w:val="0053598E"/>
    <w:rsid w:val="00540532"/>
    <w:rsid w:val="00543690"/>
    <w:rsid w:val="005461F2"/>
    <w:rsid w:val="005560E4"/>
    <w:rsid w:val="005612DD"/>
    <w:rsid w:val="00575F17"/>
    <w:rsid w:val="005823C0"/>
    <w:rsid w:val="005835E0"/>
    <w:rsid w:val="005905AF"/>
    <w:rsid w:val="005905B9"/>
    <w:rsid w:val="00591879"/>
    <w:rsid w:val="00594E88"/>
    <w:rsid w:val="005A6D23"/>
    <w:rsid w:val="005C2456"/>
    <w:rsid w:val="005C2E05"/>
    <w:rsid w:val="005C3D60"/>
    <w:rsid w:val="005D433C"/>
    <w:rsid w:val="005D659B"/>
    <w:rsid w:val="005E6649"/>
    <w:rsid w:val="005F3B98"/>
    <w:rsid w:val="00603593"/>
    <w:rsid w:val="0060387B"/>
    <w:rsid w:val="00610351"/>
    <w:rsid w:val="006118A5"/>
    <w:rsid w:val="00617B68"/>
    <w:rsid w:val="006234D6"/>
    <w:rsid w:val="006316B3"/>
    <w:rsid w:val="006476B3"/>
    <w:rsid w:val="00650CCA"/>
    <w:rsid w:val="00652721"/>
    <w:rsid w:val="00660867"/>
    <w:rsid w:val="00691D3B"/>
    <w:rsid w:val="006B11F4"/>
    <w:rsid w:val="006B192B"/>
    <w:rsid w:val="006C23E7"/>
    <w:rsid w:val="006D40EB"/>
    <w:rsid w:val="006E2413"/>
    <w:rsid w:val="007112E9"/>
    <w:rsid w:val="00721B21"/>
    <w:rsid w:val="0073036A"/>
    <w:rsid w:val="00731B72"/>
    <w:rsid w:val="007635E3"/>
    <w:rsid w:val="00765C98"/>
    <w:rsid w:val="00766CC1"/>
    <w:rsid w:val="007725D9"/>
    <w:rsid w:val="00775B8D"/>
    <w:rsid w:val="00785894"/>
    <w:rsid w:val="007A1ADE"/>
    <w:rsid w:val="007A538E"/>
    <w:rsid w:val="007B3CBA"/>
    <w:rsid w:val="007B7AE7"/>
    <w:rsid w:val="007C4093"/>
    <w:rsid w:val="007C4A60"/>
    <w:rsid w:val="007D111B"/>
    <w:rsid w:val="007E7085"/>
    <w:rsid w:val="007E7C28"/>
    <w:rsid w:val="007F747B"/>
    <w:rsid w:val="00814E74"/>
    <w:rsid w:val="00821CB9"/>
    <w:rsid w:val="00821CD1"/>
    <w:rsid w:val="00827D17"/>
    <w:rsid w:val="00837F69"/>
    <w:rsid w:val="008614F9"/>
    <w:rsid w:val="00873C96"/>
    <w:rsid w:val="00876092"/>
    <w:rsid w:val="008824C0"/>
    <w:rsid w:val="008834A9"/>
    <w:rsid w:val="008870F5"/>
    <w:rsid w:val="008931DC"/>
    <w:rsid w:val="00896874"/>
    <w:rsid w:val="008969FF"/>
    <w:rsid w:val="00897518"/>
    <w:rsid w:val="008A3F76"/>
    <w:rsid w:val="008A51E7"/>
    <w:rsid w:val="008B7A9A"/>
    <w:rsid w:val="008C0C06"/>
    <w:rsid w:val="008C1ACD"/>
    <w:rsid w:val="008C372D"/>
    <w:rsid w:val="008C562F"/>
    <w:rsid w:val="008D6290"/>
    <w:rsid w:val="008E1AD8"/>
    <w:rsid w:val="008F1A2E"/>
    <w:rsid w:val="008F1A56"/>
    <w:rsid w:val="008F6250"/>
    <w:rsid w:val="009010EE"/>
    <w:rsid w:val="00903730"/>
    <w:rsid w:val="0090550E"/>
    <w:rsid w:val="00913A3A"/>
    <w:rsid w:val="009418D6"/>
    <w:rsid w:val="00967248"/>
    <w:rsid w:val="00970C59"/>
    <w:rsid w:val="00977601"/>
    <w:rsid w:val="009852BB"/>
    <w:rsid w:val="0098725E"/>
    <w:rsid w:val="00996CDD"/>
    <w:rsid w:val="009A37BF"/>
    <w:rsid w:val="009A5083"/>
    <w:rsid w:val="009A6ABC"/>
    <w:rsid w:val="009A7B2C"/>
    <w:rsid w:val="009B535C"/>
    <w:rsid w:val="009C4594"/>
    <w:rsid w:val="009C7396"/>
    <w:rsid w:val="009C7ADE"/>
    <w:rsid w:val="009D2CF5"/>
    <w:rsid w:val="009D79C0"/>
    <w:rsid w:val="009E39D7"/>
    <w:rsid w:val="009F62A2"/>
    <w:rsid w:val="009F65B4"/>
    <w:rsid w:val="00A00B28"/>
    <w:rsid w:val="00A211A3"/>
    <w:rsid w:val="00A36F02"/>
    <w:rsid w:val="00A422FA"/>
    <w:rsid w:val="00A46B17"/>
    <w:rsid w:val="00A636AD"/>
    <w:rsid w:val="00A72DC8"/>
    <w:rsid w:val="00A91511"/>
    <w:rsid w:val="00A932BD"/>
    <w:rsid w:val="00A97139"/>
    <w:rsid w:val="00AC1BA4"/>
    <w:rsid w:val="00AE77CE"/>
    <w:rsid w:val="00AF1E98"/>
    <w:rsid w:val="00B302AB"/>
    <w:rsid w:val="00B50218"/>
    <w:rsid w:val="00B64290"/>
    <w:rsid w:val="00B660B7"/>
    <w:rsid w:val="00B7208E"/>
    <w:rsid w:val="00B7778D"/>
    <w:rsid w:val="00B85711"/>
    <w:rsid w:val="00B876AA"/>
    <w:rsid w:val="00BA3A4A"/>
    <w:rsid w:val="00BA5531"/>
    <w:rsid w:val="00BA6AE9"/>
    <w:rsid w:val="00BB4206"/>
    <w:rsid w:val="00BB7E55"/>
    <w:rsid w:val="00BD12B0"/>
    <w:rsid w:val="00BD7AE2"/>
    <w:rsid w:val="00BE4C7D"/>
    <w:rsid w:val="00BF4173"/>
    <w:rsid w:val="00BF470D"/>
    <w:rsid w:val="00C12F33"/>
    <w:rsid w:val="00C2784E"/>
    <w:rsid w:val="00C30A80"/>
    <w:rsid w:val="00C35B31"/>
    <w:rsid w:val="00C5560F"/>
    <w:rsid w:val="00C57A03"/>
    <w:rsid w:val="00CA0FD4"/>
    <w:rsid w:val="00CA44EF"/>
    <w:rsid w:val="00CA489E"/>
    <w:rsid w:val="00CB1985"/>
    <w:rsid w:val="00CB30CD"/>
    <w:rsid w:val="00CB3DE9"/>
    <w:rsid w:val="00CC3F57"/>
    <w:rsid w:val="00CC5831"/>
    <w:rsid w:val="00CD47B5"/>
    <w:rsid w:val="00CD4F28"/>
    <w:rsid w:val="00CE093F"/>
    <w:rsid w:val="00CE30B9"/>
    <w:rsid w:val="00CE5983"/>
    <w:rsid w:val="00CF5C74"/>
    <w:rsid w:val="00CF718D"/>
    <w:rsid w:val="00D01C43"/>
    <w:rsid w:val="00D03C6D"/>
    <w:rsid w:val="00D04662"/>
    <w:rsid w:val="00D07A1C"/>
    <w:rsid w:val="00D07FB3"/>
    <w:rsid w:val="00D130AC"/>
    <w:rsid w:val="00D30C71"/>
    <w:rsid w:val="00D358E3"/>
    <w:rsid w:val="00D35C3A"/>
    <w:rsid w:val="00D651A9"/>
    <w:rsid w:val="00D74867"/>
    <w:rsid w:val="00D75F01"/>
    <w:rsid w:val="00D81780"/>
    <w:rsid w:val="00D977B3"/>
    <w:rsid w:val="00DA5D78"/>
    <w:rsid w:val="00DA6F19"/>
    <w:rsid w:val="00DB4367"/>
    <w:rsid w:val="00DB6A5B"/>
    <w:rsid w:val="00DC7A54"/>
    <w:rsid w:val="00DE37F0"/>
    <w:rsid w:val="00DE3C74"/>
    <w:rsid w:val="00DE7F4C"/>
    <w:rsid w:val="00DF23AD"/>
    <w:rsid w:val="00E01CCB"/>
    <w:rsid w:val="00E04F9C"/>
    <w:rsid w:val="00E13E53"/>
    <w:rsid w:val="00E16292"/>
    <w:rsid w:val="00E258C2"/>
    <w:rsid w:val="00E41E44"/>
    <w:rsid w:val="00E4391F"/>
    <w:rsid w:val="00E46BFB"/>
    <w:rsid w:val="00E515D2"/>
    <w:rsid w:val="00E52CAE"/>
    <w:rsid w:val="00E54B5C"/>
    <w:rsid w:val="00E54B75"/>
    <w:rsid w:val="00E62CBB"/>
    <w:rsid w:val="00E95B58"/>
    <w:rsid w:val="00E96951"/>
    <w:rsid w:val="00E97700"/>
    <w:rsid w:val="00EA7609"/>
    <w:rsid w:val="00EA7DCB"/>
    <w:rsid w:val="00ED0619"/>
    <w:rsid w:val="00ED6F47"/>
    <w:rsid w:val="00EE5B7D"/>
    <w:rsid w:val="00EE6F9C"/>
    <w:rsid w:val="00F00ED2"/>
    <w:rsid w:val="00F02B96"/>
    <w:rsid w:val="00F02EE5"/>
    <w:rsid w:val="00F13792"/>
    <w:rsid w:val="00F15943"/>
    <w:rsid w:val="00F2115D"/>
    <w:rsid w:val="00F2353D"/>
    <w:rsid w:val="00F645F7"/>
    <w:rsid w:val="00F6693E"/>
    <w:rsid w:val="00F72136"/>
    <w:rsid w:val="00F75352"/>
    <w:rsid w:val="00F96951"/>
    <w:rsid w:val="00FA33E3"/>
    <w:rsid w:val="00FA6837"/>
    <w:rsid w:val="00FD3771"/>
    <w:rsid w:val="00FD669F"/>
    <w:rsid w:val="00FF4AA1"/>
    <w:rsid w:val="00FF54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0811"/>
  <w15:docId w15:val="{A8CF28B5-8247-4C1D-815B-8278B608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20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1272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127200"/>
  </w:style>
  <w:style w:type="paragraph" w:styleId="Sraopastraipa">
    <w:name w:val="List Paragraph"/>
    <w:basedOn w:val="prastasis"/>
    <w:uiPriority w:val="34"/>
    <w:qFormat/>
    <w:rsid w:val="00407354"/>
    <w:pPr>
      <w:ind w:left="720"/>
      <w:contextualSpacing/>
    </w:pPr>
  </w:style>
  <w:style w:type="character" w:styleId="Komentaronuoroda">
    <w:name w:val="annotation reference"/>
    <w:basedOn w:val="Numatytasispastraiposriftas"/>
    <w:uiPriority w:val="99"/>
    <w:semiHidden/>
    <w:unhideWhenUsed/>
    <w:rsid w:val="003F0C7B"/>
    <w:rPr>
      <w:sz w:val="16"/>
      <w:szCs w:val="16"/>
    </w:rPr>
  </w:style>
  <w:style w:type="paragraph" w:styleId="Komentarotekstas">
    <w:name w:val="annotation text"/>
    <w:basedOn w:val="prastasis"/>
    <w:link w:val="KomentarotekstasDiagrama"/>
    <w:uiPriority w:val="99"/>
    <w:semiHidden/>
    <w:unhideWhenUsed/>
    <w:rsid w:val="003F0C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0C7B"/>
    <w:rPr>
      <w:sz w:val="20"/>
      <w:szCs w:val="20"/>
    </w:rPr>
  </w:style>
  <w:style w:type="paragraph" w:styleId="Komentarotema">
    <w:name w:val="annotation subject"/>
    <w:basedOn w:val="Komentarotekstas"/>
    <w:next w:val="Komentarotekstas"/>
    <w:link w:val="KomentarotemaDiagrama"/>
    <w:uiPriority w:val="99"/>
    <w:semiHidden/>
    <w:unhideWhenUsed/>
    <w:rsid w:val="003F0C7B"/>
    <w:rPr>
      <w:b/>
      <w:bCs/>
    </w:rPr>
  </w:style>
  <w:style w:type="character" w:customStyle="1" w:styleId="KomentarotemaDiagrama">
    <w:name w:val="Komentaro tema Diagrama"/>
    <w:basedOn w:val="KomentarotekstasDiagrama"/>
    <w:link w:val="Komentarotema"/>
    <w:uiPriority w:val="99"/>
    <w:semiHidden/>
    <w:rsid w:val="003F0C7B"/>
    <w:rPr>
      <w:b/>
      <w:bCs/>
      <w:sz w:val="20"/>
      <w:szCs w:val="20"/>
    </w:rPr>
  </w:style>
  <w:style w:type="paragraph" w:styleId="Debesliotekstas">
    <w:name w:val="Balloon Text"/>
    <w:basedOn w:val="prastasis"/>
    <w:link w:val="DebesliotekstasDiagrama"/>
    <w:uiPriority w:val="99"/>
    <w:semiHidden/>
    <w:unhideWhenUsed/>
    <w:rsid w:val="003F0C7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C7B"/>
    <w:rPr>
      <w:rFonts w:ascii="Tahoma" w:hAnsi="Tahoma" w:cs="Tahoma"/>
      <w:sz w:val="16"/>
      <w:szCs w:val="16"/>
    </w:rPr>
  </w:style>
  <w:style w:type="character" w:customStyle="1" w:styleId="apple-converted-space">
    <w:name w:val="apple-converted-space"/>
    <w:basedOn w:val="Numatytasispastraiposriftas"/>
    <w:rsid w:val="00FD3771"/>
  </w:style>
  <w:style w:type="paragraph" w:styleId="Citata">
    <w:name w:val="Quote"/>
    <w:basedOn w:val="prastasis"/>
    <w:next w:val="prastasis"/>
    <w:link w:val="CitataDiagrama"/>
    <w:uiPriority w:val="29"/>
    <w:qFormat/>
    <w:rsid w:val="0007631F"/>
    <w:rPr>
      <w:i/>
      <w:iCs/>
      <w:color w:val="000000" w:themeColor="text1"/>
    </w:rPr>
  </w:style>
  <w:style w:type="character" w:customStyle="1" w:styleId="CitataDiagrama">
    <w:name w:val="Citata Diagrama"/>
    <w:basedOn w:val="Numatytasispastraiposriftas"/>
    <w:link w:val="Citata"/>
    <w:uiPriority w:val="29"/>
    <w:rsid w:val="0007631F"/>
    <w:rPr>
      <w:i/>
      <w:iCs/>
      <w:color w:val="000000" w:themeColor="text1"/>
    </w:rPr>
  </w:style>
  <w:style w:type="character" w:styleId="Hipersaitas">
    <w:name w:val="Hyperlink"/>
    <w:basedOn w:val="Numatytasispastraiposriftas"/>
    <w:uiPriority w:val="99"/>
    <w:unhideWhenUsed/>
    <w:rsid w:val="002247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102983">
      <w:bodyDiv w:val="1"/>
      <w:marLeft w:val="0"/>
      <w:marRight w:val="0"/>
      <w:marTop w:val="0"/>
      <w:marBottom w:val="0"/>
      <w:divBdr>
        <w:top w:val="none" w:sz="0" w:space="0" w:color="auto"/>
        <w:left w:val="none" w:sz="0" w:space="0" w:color="auto"/>
        <w:bottom w:val="none" w:sz="0" w:space="0" w:color="auto"/>
        <w:right w:val="none" w:sz="0" w:space="0" w:color="auto"/>
      </w:divBdr>
    </w:div>
    <w:div w:id="675570407">
      <w:bodyDiv w:val="1"/>
      <w:marLeft w:val="0"/>
      <w:marRight w:val="0"/>
      <w:marTop w:val="0"/>
      <w:marBottom w:val="0"/>
      <w:divBdr>
        <w:top w:val="none" w:sz="0" w:space="0" w:color="auto"/>
        <w:left w:val="none" w:sz="0" w:space="0" w:color="auto"/>
        <w:bottom w:val="none" w:sz="0" w:space="0" w:color="auto"/>
        <w:right w:val="none" w:sz="0" w:space="0" w:color="auto"/>
      </w:divBdr>
    </w:div>
    <w:div w:id="747580998">
      <w:bodyDiv w:val="1"/>
      <w:marLeft w:val="0"/>
      <w:marRight w:val="0"/>
      <w:marTop w:val="0"/>
      <w:marBottom w:val="0"/>
      <w:divBdr>
        <w:top w:val="none" w:sz="0" w:space="0" w:color="auto"/>
        <w:left w:val="none" w:sz="0" w:space="0" w:color="auto"/>
        <w:bottom w:val="none" w:sz="0" w:space="0" w:color="auto"/>
        <w:right w:val="none" w:sz="0" w:space="0" w:color="auto"/>
      </w:divBdr>
    </w:div>
    <w:div w:id="781340835">
      <w:bodyDiv w:val="1"/>
      <w:marLeft w:val="0"/>
      <w:marRight w:val="0"/>
      <w:marTop w:val="0"/>
      <w:marBottom w:val="0"/>
      <w:divBdr>
        <w:top w:val="none" w:sz="0" w:space="0" w:color="auto"/>
        <w:left w:val="none" w:sz="0" w:space="0" w:color="auto"/>
        <w:bottom w:val="none" w:sz="0" w:space="0" w:color="auto"/>
        <w:right w:val="none" w:sz="0" w:space="0" w:color="auto"/>
      </w:divBdr>
    </w:div>
    <w:div w:id="824009679">
      <w:bodyDiv w:val="1"/>
      <w:marLeft w:val="0"/>
      <w:marRight w:val="0"/>
      <w:marTop w:val="0"/>
      <w:marBottom w:val="0"/>
      <w:divBdr>
        <w:top w:val="none" w:sz="0" w:space="0" w:color="auto"/>
        <w:left w:val="none" w:sz="0" w:space="0" w:color="auto"/>
        <w:bottom w:val="none" w:sz="0" w:space="0" w:color="auto"/>
        <w:right w:val="none" w:sz="0" w:space="0" w:color="auto"/>
      </w:divBdr>
    </w:div>
    <w:div w:id="852838293">
      <w:bodyDiv w:val="1"/>
      <w:marLeft w:val="0"/>
      <w:marRight w:val="0"/>
      <w:marTop w:val="0"/>
      <w:marBottom w:val="0"/>
      <w:divBdr>
        <w:top w:val="none" w:sz="0" w:space="0" w:color="auto"/>
        <w:left w:val="none" w:sz="0" w:space="0" w:color="auto"/>
        <w:bottom w:val="none" w:sz="0" w:space="0" w:color="auto"/>
        <w:right w:val="none" w:sz="0" w:space="0" w:color="auto"/>
      </w:divBdr>
    </w:div>
    <w:div w:id="1103184423">
      <w:bodyDiv w:val="1"/>
      <w:marLeft w:val="0"/>
      <w:marRight w:val="0"/>
      <w:marTop w:val="0"/>
      <w:marBottom w:val="0"/>
      <w:divBdr>
        <w:top w:val="none" w:sz="0" w:space="0" w:color="auto"/>
        <w:left w:val="none" w:sz="0" w:space="0" w:color="auto"/>
        <w:bottom w:val="none" w:sz="0" w:space="0" w:color="auto"/>
        <w:right w:val="none" w:sz="0" w:space="0" w:color="auto"/>
      </w:divBdr>
    </w:div>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 w:id="1134905216">
      <w:bodyDiv w:val="1"/>
      <w:marLeft w:val="0"/>
      <w:marRight w:val="0"/>
      <w:marTop w:val="0"/>
      <w:marBottom w:val="0"/>
      <w:divBdr>
        <w:top w:val="none" w:sz="0" w:space="0" w:color="auto"/>
        <w:left w:val="none" w:sz="0" w:space="0" w:color="auto"/>
        <w:bottom w:val="none" w:sz="0" w:space="0" w:color="auto"/>
        <w:right w:val="none" w:sz="0" w:space="0" w:color="auto"/>
      </w:divBdr>
    </w:div>
    <w:div w:id="1144421624">
      <w:bodyDiv w:val="1"/>
      <w:marLeft w:val="0"/>
      <w:marRight w:val="0"/>
      <w:marTop w:val="0"/>
      <w:marBottom w:val="0"/>
      <w:divBdr>
        <w:top w:val="none" w:sz="0" w:space="0" w:color="auto"/>
        <w:left w:val="none" w:sz="0" w:space="0" w:color="auto"/>
        <w:bottom w:val="none" w:sz="0" w:space="0" w:color="auto"/>
        <w:right w:val="none" w:sz="0" w:space="0" w:color="auto"/>
      </w:divBdr>
    </w:div>
    <w:div w:id="1230307800">
      <w:bodyDiv w:val="1"/>
      <w:marLeft w:val="0"/>
      <w:marRight w:val="0"/>
      <w:marTop w:val="0"/>
      <w:marBottom w:val="0"/>
      <w:divBdr>
        <w:top w:val="none" w:sz="0" w:space="0" w:color="auto"/>
        <w:left w:val="none" w:sz="0" w:space="0" w:color="auto"/>
        <w:bottom w:val="none" w:sz="0" w:space="0" w:color="auto"/>
        <w:right w:val="none" w:sz="0" w:space="0" w:color="auto"/>
      </w:divBdr>
    </w:div>
    <w:div w:id="1249852552">
      <w:bodyDiv w:val="1"/>
      <w:marLeft w:val="0"/>
      <w:marRight w:val="0"/>
      <w:marTop w:val="0"/>
      <w:marBottom w:val="0"/>
      <w:divBdr>
        <w:top w:val="none" w:sz="0" w:space="0" w:color="auto"/>
        <w:left w:val="none" w:sz="0" w:space="0" w:color="auto"/>
        <w:bottom w:val="none" w:sz="0" w:space="0" w:color="auto"/>
        <w:right w:val="none" w:sz="0" w:space="0" w:color="auto"/>
      </w:divBdr>
    </w:div>
    <w:div w:id="1705861884">
      <w:bodyDiv w:val="1"/>
      <w:marLeft w:val="0"/>
      <w:marRight w:val="0"/>
      <w:marTop w:val="0"/>
      <w:marBottom w:val="0"/>
      <w:divBdr>
        <w:top w:val="none" w:sz="0" w:space="0" w:color="auto"/>
        <w:left w:val="none" w:sz="0" w:space="0" w:color="auto"/>
        <w:bottom w:val="none" w:sz="0" w:space="0" w:color="auto"/>
        <w:right w:val="none" w:sz="0" w:space="0" w:color="auto"/>
      </w:divBdr>
    </w:div>
    <w:div w:id="1724677858">
      <w:bodyDiv w:val="1"/>
      <w:marLeft w:val="0"/>
      <w:marRight w:val="0"/>
      <w:marTop w:val="0"/>
      <w:marBottom w:val="0"/>
      <w:divBdr>
        <w:top w:val="none" w:sz="0" w:space="0" w:color="auto"/>
        <w:left w:val="none" w:sz="0" w:space="0" w:color="auto"/>
        <w:bottom w:val="none" w:sz="0" w:space="0" w:color="auto"/>
        <w:right w:val="none" w:sz="0" w:space="0" w:color="auto"/>
      </w:divBdr>
    </w:div>
    <w:div w:id="1771659672">
      <w:bodyDiv w:val="1"/>
      <w:marLeft w:val="0"/>
      <w:marRight w:val="0"/>
      <w:marTop w:val="0"/>
      <w:marBottom w:val="0"/>
      <w:divBdr>
        <w:top w:val="none" w:sz="0" w:space="0" w:color="auto"/>
        <w:left w:val="none" w:sz="0" w:space="0" w:color="auto"/>
        <w:bottom w:val="none" w:sz="0" w:space="0" w:color="auto"/>
        <w:right w:val="none" w:sz="0" w:space="0" w:color="auto"/>
      </w:divBdr>
    </w:div>
    <w:div w:id="1912036404">
      <w:bodyDiv w:val="1"/>
      <w:marLeft w:val="0"/>
      <w:marRight w:val="0"/>
      <w:marTop w:val="0"/>
      <w:marBottom w:val="0"/>
      <w:divBdr>
        <w:top w:val="none" w:sz="0" w:space="0" w:color="auto"/>
        <w:left w:val="none" w:sz="0" w:space="0" w:color="auto"/>
        <w:bottom w:val="none" w:sz="0" w:space="0" w:color="auto"/>
        <w:right w:val="none" w:sz="0" w:space="0" w:color="auto"/>
      </w:divBdr>
    </w:div>
    <w:div w:id="19437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9C72-BBB0-4F46-AFEB-CB733320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Pages>
  <Words>3794</Words>
  <Characters>2163</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Ulkienė Rita</dc:creator>
  <cp:lastModifiedBy>Abdulskytė Jūratė</cp:lastModifiedBy>
  <cp:revision>38</cp:revision>
  <cp:lastPrinted>2017-04-03T09:32:00Z</cp:lastPrinted>
  <dcterms:created xsi:type="dcterms:W3CDTF">2017-04-03T11:10:00Z</dcterms:created>
  <dcterms:modified xsi:type="dcterms:W3CDTF">2018-03-08T12:49:00Z</dcterms:modified>
</cp:coreProperties>
</file>