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41F" w:rsidRPr="004A1B88" w:rsidRDefault="0018441F" w:rsidP="00B95BD5">
      <w:pPr>
        <w:pStyle w:val="BodyText"/>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 xml:space="preserve">2014–2020 M. EUROPOS SĄJUNGOS FONDŲ INVESTICIJŲ VEIKSMŲ PROGRAMOS </w:t>
      </w:r>
      <w:r w:rsidR="00CA7D46" w:rsidRPr="004A1B88">
        <w:rPr>
          <w:rFonts w:ascii="Times New Roman" w:hAnsi="Times New Roman"/>
          <w:b/>
          <w:sz w:val="24"/>
          <w:szCs w:val="24"/>
        </w:rPr>
        <w:t>5</w:t>
      </w:r>
      <w:r w:rsidR="00EE247F" w:rsidRPr="004A1B88">
        <w:rPr>
          <w:rFonts w:ascii="Times New Roman" w:hAnsi="Times New Roman"/>
          <w:b/>
          <w:sz w:val="24"/>
          <w:szCs w:val="24"/>
        </w:rPr>
        <w:t xml:space="preserve"> </w:t>
      </w:r>
      <w:r w:rsidRPr="004A1B88">
        <w:rPr>
          <w:rFonts w:ascii="Times New Roman" w:hAnsi="Times New Roman"/>
          <w:b/>
          <w:sz w:val="24"/>
          <w:szCs w:val="24"/>
        </w:rPr>
        <w:t>PRIORITETO „</w:t>
      </w:r>
      <w:r w:rsidR="00435CBB" w:rsidRPr="004A1B88">
        <w:rPr>
          <w:rFonts w:ascii="Times New Roman" w:hAnsi="Times New Roman"/>
          <w:b/>
          <w:sz w:val="24"/>
          <w:szCs w:val="24"/>
        </w:rPr>
        <w:t>APLINKOSAUGA, GAMTOS IŠTEKLIŲ DARNUS NAUDOJIMAS IR PRISITAIKYMAS PRIE KLIMATO KAITOS</w:t>
      </w:r>
      <w:r w:rsidRPr="004A1B88">
        <w:rPr>
          <w:rFonts w:ascii="Times New Roman" w:hAnsi="Times New Roman"/>
          <w:b/>
          <w:sz w:val="24"/>
          <w:szCs w:val="24"/>
        </w:rPr>
        <w:t>“</w:t>
      </w:r>
    </w:p>
    <w:p w:rsidR="00CE2867" w:rsidRDefault="00D142E1" w:rsidP="00CE2867">
      <w:pPr>
        <w:pStyle w:val="BodyText"/>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0</w:t>
      </w:r>
      <w:r w:rsidR="00435CBB" w:rsidRPr="004A1B88">
        <w:rPr>
          <w:rFonts w:ascii="Times New Roman" w:hAnsi="Times New Roman"/>
          <w:b/>
          <w:sz w:val="24"/>
          <w:szCs w:val="24"/>
        </w:rPr>
        <w:t>5</w:t>
      </w:r>
      <w:r w:rsidRPr="004A1B88">
        <w:rPr>
          <w:rFonts w:ascii="Times New Roman" w:hAnsi="Times New Roman"/>
          <w:b/>
          <w:sz w:val="24"/>
          <w:szCs w:val="24"/>
        </w:rPr>
        <w:t>.</w:t>
      </w:r>
      <w:r w:rsidR="00435CBB" w:rsidRPr="004A1B88">
        <w:rPr>
          <w:rFonts w:ascii="Times New Roman" w:hAnsi="Times New Roman"/>
          <w:b/>
          <w:sz w:val="24"/>
          <w:szCs w:val="24"/>
        </w:rPr>
        <w:t>4.1-CPVA-</w:t>
      </w:r>
      <w:r w:rsidR="00740079" w:rsidRPr="004A1B88">
        <w:rPr>
          <w:rFonts w:ascii="Times New Roman" w:hAnsi="Times New Roman"/>
          <w:b/>
          <w:sz w:val="24"/>
          <w:szCs w:val="24"/>
        </w:rPr>
        <w:t>K</w:t>
      </w:r>
      <w:r w:rsidR="00435CBB" w:rsidRPr="004A1B88">
        <w:rPr>
          <w:rFonts w:ascii="Times New Roman" w:hAnsi="Times New Roman"/>
          <w:b/>
          <w:sz w:val="24"/>
          <w:szCs w:val="24"/>
        </w:rPr>
        <w:t>-30</w:t>
      </w:r>
      <w:r w:rsidR="00740079" w:rsidRPr="004A1B88">
        <w:rPr>
          <w:rFonts w:ascii="Times New Roman" w:hAnsi="Times New Roman"/>
          <w:b/>
          <w:sz w:val="24"/>
          <w:szCs w:val="24"/>
        </w:rPr>
        <w:t>3</w:t>
      </w:r>
      <w:r w:rsidR="00DE5F65" w:rsidRPr="004A1B88">
        <w:rPr>
          <w:rFonts w:ascii="Times New Roman" w:hAnsi="Times New Roman"/>
          <w:b/>
          <w:sz w:val="24"/>
          <w:szCs w:val="24"/>
        </w:rPr>
        <w:t xml:space="preserve"> </w:t>
      </w:r>
      <w:r w:rsidR="00EA21CA" w:rsidRPr="004A1B88">
        <w:rPr>
          <w:rFonts w:ascii="Times New Roman" w:hAnsi="Times New Roman"/>
          <w:b/>
          <w:sz w:val="24"/>
          <w:szCs w:val="24"/>
        </w:rPr>
        <w:t>PRIEMONĖS „</w:t>
      </w:r>
      <w:r w:rsidR="006A7873" w:rsidRPr="004A1B88">
        <w:rPr>
          <w:rFonts w:ascii="Times New Roman" w:hAnsi="Times New Roman"/>
          <w:b/>
          <w:sz w:val="24"/>
          <w:szCs w:val="24"/>
        </w:rPr>
        <w:t xml:space="preserve">AKTUALIZUOTI </w:t>
      </w:r>
      <w:r w:rsidR="00740079" w:rsidRPr="004A1B88">
        <w:rPr>
          <w:rFonts w:ascii="Times New Roman" w:hAnsi="Times New Roman"/>
          <w:b/>
          <w:sz w:val="24"/>
          <w:szCs w:val="24"/>
        </w:rPr>
        <w:t xml:space="preserve">VIEŠĄJĮ IR PRIVATŲ </w:t>
      </w:r>
      <w:r w:rsidR="006A7873" w:rsidRPr="004A1B88">
        <w:rPr>
          <w:rFonts w:ascii="Times New Roman" w:hAnsi="Times New Roman"/>
          <w:b/>
          <w:sz w:val="24"/>
          <w:szCs w:val="24"/>
        </w:rPr>
        <w:t>KULTŪROS PAVELD</w:t>
      </w:r>
      <w:r w:rsidR="00740079" w:rsidRPr="004A1B88">
        <w:rPr>
          <w:rFonts w:ascii="Times New Roman" w:hAnsi="Times New Roman"/>
          <w:b/>
          <w:sz w:val="24"/>
          <w:szCs w:val="24"/>
        </w:rPr>
        <w:t>Ą</w:t>
      </w:r>
      <w:r w:rsidR="00EA21CA" w:rsidRPr="004A1B88">
        <w:rPr>
          <w:rFonts w:ascii="Times New Roman" w:hAnsi="Times New Roman"/>
          <w:b/>
          <w:sz w:val="24"/>
          <w:szCs w:val="24"/>
        </w:rPr>
        <w:t xml:space="preserve">“ </w:t>
      </w:r>
      <w:r w:rsidR="00331537" w:rsidRPr="004A1B88">
        <w:rPr>
          <w:rFonts w:ascii="Times New Roman" w:hAnsi="Times New Roman"/>
          <w:b/>
          <w:sz w:val="24"/>
          <w:szCs w:val="24"/>
        </w:rPr>
        <w:t>PROJEKTŲ FINANSAVIMO SĄLYGŲ APRAŠO</w:t>
      </w:r>
      <w:r w:rsidR="00CB7A52" w:rsidRPr="004A1B88">
        <w:rPr>
          <w:rFonts w:ascii="Times New Roman" w:hAnsi="Times New Roman"/>
          <w:b/>
          <w:sz w:val="24"/>
          <w:szCs w:val="24"/>
        </w:rPr>
        <w:t xml:space="preserve"> </w:t>
      </w:r>
      <w:r w:rsidR="00600E9B">
        <w:rPr>
          <w:rFonts w:ascii="Times New Roman" w:hAnsi="Times New Roman"/>
          <w:b/>
          <w:sz w:val="24"/>
          <w:szCs w:val="24"/>
        </w:rPr>
        <w:t xml:space="preserve">KEITIMO PROJEKTO </w:t>
      </w:r>
      <w:r w:rsidR="00CB7A52" w:rsidRPr="004A1B88">
        <w:rPr>
          <w:rFonts w:ascii="Times New Roman" w:hAnsi="Times New Roman"/>
          <w:b/>
          <w:sz w:val="24"/>
          <w:szCs w:val="24"/>
        </w:rPr>
        <w:t>(</w:t>
      </w:r>
      <w:r w:rsidR="000E4D84" w:rsidRPr="004A1B88">
        <w:rPr>
          <w:rFonts w:ascii="Times New Roman" w:hAnsi="Times New Roman"/>
          <w:b/>
          <w:sz w:val="24"/>
          <w:szCs w:val="24"/>
        </w:rPr>
        <w:t xml:space="preserve">TOLIAU </w:t>
      </w:r>
      <w:r w:rsidR="00740079" w:rsidRPr="004A1B88">
        <w:rPr>
          <w:rFonts w:ascii="Times New Roman" w:hAnsi="Times New Roman"/>
          <w:b/>
          <w:sz w:val="24"/>
          <w:szCs w:val="24"/>
        </w:rPr>
        <w:t>–</w:t>
      </w:r>
      <w:r w:rsidR="000E4D84" w:rsidRPr="004A1B88">
        <w:rPr>
          <w:rFonts w:ascii="Times New Roman" w:hAnsi="Times New Roman"/>
          <w:b/>
          <w:sz w:val="24"/>
          <w:szCs w:val="24"/>
        </w:rPr>
        <w:t xml:space="preserve"> </w:t>
      </w:r>
      <w:r w:rsidR="00331537" w:rsidRPr="004A1B88">
        <w:rPr>
          <w:rFonts w:ascii="Times New Roman" w:hAnsi="Times New Roman"/>
          <w:b/>
          <w:sz w:val="24"/>
          <w:szCs w:val="24"/>
        </w:rPr>
        <w:t>A</w:t>
      </w:r>
      <w:r w:rsidR="000E4D84" w:rsidRPr="004A1B88">
        <w:rPr>
          <w:rFonts w:ascii="Times New Roman" w:hAnsi="Times New Roman"/>
          <w:b/>
          <w:sz w:val="24"/>
          <w:szCs w:val="24"/>
        </w:rPr>
        <w:t>PRAŠAS</w:t>
      </w:r>
      <w:r w:rsidR="00CB7A52" w:rsidRPr="004A1B88">
        <w:rPr>
          <w:rFonts w:ascii="Times New Roman" w:hAnsi="Times New Roman"/>
          <w:b/>
          <w:sz w:val="24"/>
          <w:szCs w:val="24"/>
        </w:rPr>
        <w:t xml:space="preserve">) </w:t>
      </w:r>
      <w:r w:rsidR="00EA21CA" w:rsidRPr="004A1B88">
        <w:rPr>
          <w:rFonts w:ascii="Times New Roman" w:hAnsi="Times New Roman"/>
          <w:b/>
          <w:sz w:val="24"/>
          <w:szCs w:val="24"/>
        </w:rPr>
        <w:t xml:space="preserve">DERINIMO PAŽYMA NR. </w:t>
      </w:r>
      <w:r w:rsidR="00B209BA">
        <w:rPr>
          <w:rFonts w:ascii="Times New Roman" w:hAnsi="Times New Roman"/>
          <w:b/>
          <w:sz w:val="24"/>
          <w:szCs w:val="24"/>
        </w:rPr>
        <w:t>3</w:t>
      </w:r>
    </w:p>
    <w:tbl>
      <w:tblPr>
        <w:tblpPr w:leftFromText="180" w:rightFromText="180" w:vertAnchor="text" w:horzAnchor="margin" w:tblpX="-164" w:tblpY="530"/>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7229"/>
        <w:gridCol w:w="5880"/>
      </w:tblGrid>
      <w:tr w:rsidR="00CE2867" w:rsidRPr="004A1B88" w:rsidTr="00E110AD">
        <w:tc>
          <w:tcPr>
            <w:tcW w:w="2235" w:type="dxa"/>
            <w:shd w:val="clear" w:color="auto" w:fill="FFFFFF" w:themeFill="background1"/>
            <w:vAlign w:val="center"/>
          </w:tcPr>
          <w:p w:rsidR="008E1855" w:rsidRPr="004A1B88" w:rsidRDefault="008E1855" w:rsidP="00CE2867">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Institucijos pavadinimas, rašto data ir numeris</w:t>
            </w:r>
          </w:p>
        </w:tc>
        <w:tc>
          <w:tcPr>
            <w:tcW w:w="7229" w:type="dxa"/>
            <w:vAlign w:val="center"/>
          </w:tcPr>
          <w:p w:rsidR="008E1855" w:rsidRPr="004A1B88" w:rsidRDefault="008E1855" w:rsidP="00CE2867">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Pastabos ir pasiūlymai</w:t>
            </w:r>
          </w:p>
        </w:tc>
        <w:tc>
          <w:tcPr>
            <w:tcW w:w="5880" w:type="dxa"/>
            <w:vAlign w:val="center"/>
          </w:tcPr>
          <w:p w:rsidR="008E1855" w:rsidRPr="004A1B88" w:rsidRDefault="008E1855" w:rsidP="00CE2867">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Žyma apie priimtas ir nepriimtas (nurodyti motyvus) pastabas ir pasiūlymus</w:t>
            </w:r>
          </w:p>
        </w:tc>
      </w:tr>
      <w:tr w:rsidR="00CE2867" w:rsidRPr="004A1B88" w:rsidTr="00E110AD">
        <w:tc>
          <w:tcPr>
            <w:tcW w:w="2235" w:type="dxa"/>
            <w:tcBorders>
              <w:bottom w:val="single" w:sz="4" w:space="0" w:color="auto"/>
            </w:tcBorders>
            <w:shd w:val="clear" w:color="auto" w:fill="FFFFFF" w:themeFill="background1"/>
          </w:tcPr>
          <w:p w:rsidR="00070468" w:rsidRPr="0015164B" w:rsidRDefault="00A9166A" w:rsidP="00B1418F">
            <w:pPr>
              <w:pStyle w:val="ListParagraph"/>
              <w:numPr>
                <w:ilvl w:val="0"/>
                <w:numId w:val="28"/>
              </w:numPr>
              <w:shd w:val="clear" w:color="auto" w:fill="FFFFFF" w:themeFill="background1"/>
              <w:tabs>
                <w:tab w:val="left" w:pos="284"/>
              </w:tabs>
              <w:spacing w:after="0" w:line="240" w:lineRule="auto"/>
              <w:ind w:left="0" w:firstLine="0"/>
              <w:rPr>
                <w:rFonts w:ascii="Times New Roman" w:hAnsi="Times New Roman"/>
                <w:b/>
                <w:sz w:val="24"/>
                <w:szCs w:val="24"/>
              </w:rPr>
            </w:pPr>
            <w:r w:rsidRPr="00A9166A">
              <w:rPr>
                <w:rFonts w:ascii="Times New Roman" w:hAnsi="Times New Roman"/>
                <w:b/>
                <w:sz w:val="24"/>
                <w:szCs w:val="24"/>
              </w:rPr>
              <w:t>Labdaros ir paramos fond</w:t>
            </w:r>
            <w:r>
              <w:rPr>
                <w:rFonts w:ascii="Times New Roman" w:hAnsi="Times New Roman"/>
                <w:b/>
                <w:sz w:val="24"/>
                <w:szCs w:val="24"/>
              </w:rPr>
              <w:t xml:space="preserve">o </w:t>
            </w:r>
            <w:r w:rsidRPr="00A9166A">
              <w:rPr>
                <w:rFonts w:ascii="Times New Roman" w:hAnsi="Times New Roman"/>
                <w:b/>
                <w:sz w:val="24"/>
                <w:szCs w:val="24"/>
              </w:rPr>
              <w:t>“In corpore LT”</w:t>
            </w:r>
          </w:p>
          <w:p w:rsidR="00615474" w:rsidRPr="00615474" w:rsidRDefault="003330C2" w:rsidP="00B1418F">
            <w:pPr>
              <w:shd w:val="clear" w:color="auto" w:fill="FFFFFF" w:themeFill="background1"/>
              <w:tabs>
                <w:tab w:val="left" w:pos="284"/>
              </w:tabs>
              <w:spacing w:after="0" w:line="240" w:lineRule="auto"/>
              <w:rPr>
                <w:rFonts w:ascii="Times New Roman" w:hAnsi="Times New Roman"/>
                <w:b/>
                <w:sz w:val="24"/>
                <w:szCs w:val="24"/>
              </w:rPr>
            </w:pPr>
            <w:r w:rsidRPr="003330C2">
              <w:rPr>
                <w:rFonts w:ascii="Times New Roman" w:hAnsi="Times New Roman"/>
                <w:b/>
                <w:sz w:val="24"/>
                <w:szCs w:val="24"/>
              </w:rPr>
              <w:t>201</w:t>
            </w:r>
            <w:r w:rsidR="00A9166A">
              <w:rPr>
                <w:rFonts w:ascii="Times New Roman" w:hAnsi="Times New Roman"/>
                <w:b/>
                <w:sz w:val="24"/>
                <w:szCs w:val="24"/>
              </w:rPr>
              <w:t>8</w:t>
            </w:r>
            <w:r w:rsidRPr="003330C2">
              <w:rPr>
                <w:rFonts w:ascii="Times New Roman" w:hAnsi="Times New Roman"/>
                <w:b/>
                <w:sz w:val="24"/>
                <w:szCs w:val="24"/>
              </w:rPr>
              <w:t>-</w:t>
            </w:r>
            <w:r w:rsidR="00341A62">
              <w:rPr>
                <w:rFonts w:ascii="Times New Roman" w:hAnsi="Times New Roman"/>
                <w:b/>
                <w:sz w:val="24"/>
                <w:szCs w:val="24"/>
              </w:rPr>
              <w:t>0</w:t>
            </w:r>
            <w:r w:rsidR="00A9166A">
              <w:rPr>
                <w:rFonts w:ascii="Times New Roman" w:hAnsi="Times New Roman"/>
                <w:b/>
                <w:sz w:val="24"/>
                <w:szCs w:val="24"/>
              </w:rPr>
              <w:t>1</w:t>
            </w:r>
            <w:r w:rsidRPr="00A40E4D">
              <w:rPr>
                <w:rFonts w:ascii="Times New Roman" w:hAnsi="Times New Roman"/>
                <w:b/>
                <w:sz w:val="24"/>
                <w:szCs w:val="24"/>
              </w:rPr>
              <w:t>-</w:t>
            </w:r>
            <w:r w:rsidR="00A9166A">
              <w:rPr>
                <w:rFonts w:ascii="Times New Roman" w:hAnsi="Times New Roman"/>
                <w:b/>
                <w:sz w:val="24"/>
                <w:szCs w:val="24"/>
              </w:rPr>
              <w:t>15</w:t>
            </w:r>
            <w:r w:rsidRPr="00A40E4D">
              <w:rPr>
                <w:rFonts w:ascii="Times New Roman" w:hAnsi="Times New Roman"/>
                <w:b/>
                <w:sz w:val="24"/>
                <w:szCs w:val="24"/>
              </w:rPr>
              <w:t xml:space="preserve"> </w:t>
            </w:r>
            <w:r w:rsidR="00206C9B">
              <w:rPr>
                <w:rFonts w:ascii="Times New Roman" w:hAnsi="Times New Roman"/>
                <w:b/>
                <w:sz w:val="24"/>
                <w:szCs w:val="24"/>
              </w:rPr>
              <w:t xml:space="preserve">raštas </w:t>
            </w:r>
            <w:r w:rsidRPr="003330C2">
              <w:rPr>
                <w:rFonts w:ascii="Times New Roman" w:hAnsi="Times New Roman"/>
                <w:b/>
                <w:sz w:val="24"/>
                <w:szCs w:val="24"/>
              </w:rPr>
              <w:t xml:space="preserve">Nr. </w:t>
            </w:r>
            <w:r w:rsidR="00A9166A">
              <w:rPr>
                <w:rFonts w:ascii="Times New Roman" w:hAnsi="Times New Roman"/>
                <w:b/>
                <w:sz w:val="24"/>
                <w:szCs w:val="24"/>
              </w:rPr>
              <w:t>b/n</w:t>
            </w:r>
          </w:p>
          <w:p w:rsidR="00615474" w:rsidRPr="000B705E" w:rsidRDefault="00615474" w:rsidP="00CE2867">
            <w:pPr>
              <w:shd w:val="clear" w:color="auto" w:fill="FFFFFF" w:themeFill="background1"/>
              <w:tabs>
                <w:tab w:val="left" w:pos="567"/>
              </w:tabs>
              <w:spacing w:after="0"/>
              <w:rPr>
                <w:rFonts w:ascii="Times New Roman" w:hAnsi="Times New Roman"/>
                <w:b/>
                <w:sz w:val="24"/>
                <w:szCs w:val="24"/>
              </w:rPr>
            </w:pPr>
          </w:p>
        </w:tc>
        <w:tc>
          <w:tcPr>
            <w:tcW w:w="7229" w:type="dxa"/>
            <w:shd w:val="clear" w:color="auto" w:fill="FFFFFF" w:themeFill="background1"/>
          </w:tcPr>
          <w:p w:rsidR="00A9166A" w:rsidRPr="004C2E34" w:rsidRDefault="00F779D0" w:rsidP="00A9166A">
            <w:pPr>
              <w:pStyle w:val="normal-p"/>
              <w:numPr>
                <w:ilvl w:val="0"/>
                <w:numId w:val="30"/>
              </w:numPr>
              <w:tabs>
                <w:tab w:val="left" w:pos="317"/>
              </w:tabs>
              <w:spacing w:before="0" w:beforeAutospacing="0" w:after="0" w:afterAutospacing="0"/>
              <w:ind w:left="33" w:hanging="33"/>
              <w:jc w:val="both"/>
              <w:rPr>
                <w:rFonts w:eastAsia="Calibri"/>
                <w:lang w:eastAsia="en-US"/>
              </w:rPr>
            </w:pPr>
            <w:r w:rsidRPr="004C2E34">
              <w:rPr>
                <w:rFonts w:eastAsia="Calibri"/>
                <w:lang w:eastAsia="en-US"/>
              </w:rPr>
              <w:t xml:space="preserve">2014–2020 metų Europos Sąjungos fondų investicijų veiksmų programos 5 prioriteto „Aplinkosauga, gamtos išteklių darnus naudojimas ir prisitaikymas prie klimato kaitos“ priemonės Nr. 05.4.1-CPVA-K-303 „Aktualizuoti viešąjį ir privatų kultūros paveldą“ </w:t>
            </w:r>
            <w:r w:rsidR="0044663F" w:rsidRPr="004C2E34">
              <w:rPr>
                <w:rFonts w:eastAsia="Calibri"/>
                <w:lang w:eastAsia="en-US"/>
              </w:rPr>
              <w:t xml:space="preserve">(toliau – Priemonė) </w:t>
            </w:r>
            <w:r w:rsidRPr="004C2E34">
              <w:rPr>
                <w:rFonts w:eastAsia="Calibri"/>
                <w:lang w:eastAsia="en-US"/>
              </w:rPr>
              <w:t>projektų finansavimo sąlygų aprašas Nr. 1 (toliau – Aprašas)</w:t>
            </w:r>
            <w:r w:rsidR="00A9166A" w:rsidRPr="004C2E34">
              <w:rPr>
                <w:rFonts w:eastAsia="Calibri"/>
                <w:lang w:eastAsia="en-US"/>
              </w:rPr>
              <w:t xml:space="preserve"> užkerta kelią dalyvauti pareiškėjams, valdantiems panaudos (nuomos) pagrindais valstybei nuosavybės teise priklausančius kultūros paveldo objektus, ypatingai tiems, kurių valdomi objektai negali būti naudojami pagal paskirtį dėl jų techninės būklės. Taip yra dėl to, kad:</w:t>
            </w:r>
          </w:p>
          <w:p w:rsidR="00A9166A" w:rsidRPr="00A9166A" w:rsidRDefault="00A9166A" w:rsidP="000D7884">
            <w:pPr>
              <w:pStyle w:val="normal-p"/>
              <w:spacing w:before="0" w:beforeAutospacing="0" w:after="0" w:afterAutospacing="0"/>
              <w:ind w:firstLine="600"/>
              <w:jc w:val="both"/>
              <w:rPr>
                <w:rFonts w:eastAsia="Calibri"/>
                <w:lang w:eastAsia="en-US"/>
              </w:rPr>
            </w:pPr>
            <w:r w:rsidRPr="004C2E34">
              <w:rPr>
                <w:rFonts w:eastAsia="Calibri"/>
                <w:lang w:eastAsia="en-US"/>
              </w:rPr>
              <w:t>Pirma, Aprašo 11 punkte numatyta, kad: „</w:t>
            </w:r>
            <w:r w:rsidRPr="00A9166A">
              <w:rPr>
                <w:rFonts w:eastAsia="Calibri"/>
                <w:lang w:eastAsia="en-US"/>
              </w:rPr>
              <w:t>Pagal Aprašą remiamos šios veiklos: viešojo ir privataus nekilnojamojo kultūros paveldo objekto tvarkybos darbai. Veiklų finansavimo būtina sąlyga – investicijų pritraukimas iš kitų šaltinių kultūros paveldo objektų pritaikymui kultūrinėms, edukacinėms, ekonominėms, socialinėms ir kitoms reikmėms, t. y. užtikrinant kultūros paveldo objekto patrauklumą ir prieinamumą visuomenei, siekiant sudominti ir įtraukti kuo didesnę visuomenės dalį ir kuo įvairesnes tikslines grupes, išlaikant esamus ir (arba) sukuriant papildomus (naujus) lankytojų srautus. Pareiškėjas kultūros objekto pritaikymą minėtoms reikmėms privalo užtikrinti numatomomis atlikti ar jau atliktomis investicijomis iš kitų šaltinių – nuosavų, skolintų ir kitų lėšų, arba pasinaudojant priemonės Nr. 05.4.1-FM-F-307 „Viešojo ir privataus kultūros paveldo pritaikymas visuomenės poreikiams“ (toliau – priemonė Nr. 05.4.1-FM-F-307) lėšomis. Pagal šią priemonę suteikiama paskola pareiškėjams, atitinkantiems paskolų pagal priemonę Nr. 05.4.1-FM-F-307 suteikimui nustatytus reikalavimus“.</w:t>
            </w:r>
          </w:p>
          <w:p w:rsidR="000D7884" w:rsidRDefault="00A9166A" w:rsidP="00A17793">
            <w:pPr>
              <w:spacing w:after="0" w:line="240" w:lineRule="auto"/>
              <w:ind w:firstLine="601"/>
              <w:jc w:val="both"/>
              <w:rPr>
                <w:rFonts w:ascii="Times New Roman" w:hAnsi="Times New Roman"/>
                <w:sz w:val="24"/>
                <w:szCs w:val="24"/>
              </w:rPr>
            </w:pPr>
            <w:r w:rsidRPr="00A9166A">
              <w:rPr>
                <w:rFonts w:ascii="Times New Roman" w:hAnsi="Times New Roman"/>
                <w:sz w:val="24"/>
                <w:szCs w:val="24"/>
              </w:rPr>
              <w:t xml:space="preserve">Pažymėtina, kad tvarkybos ir statybos (kapitalinio remonto) darbai </w:t>
            </w:r>
            <w:r w:rsidRPr="00A9166A">
              <w:rPr>
                <w:rFonts w:ascii="Times New Roman" w:hAnsi="Times New Roman"/>
                <w:sz w:val="24"/>
                <w:szCs w:val="24"/>
              </w:rPr>
              <w:lastRenderedPageBreak/>
              <w:t xml:space="preserve">yra neatsiejamai susiję ir reikalauja panašaus dydžio lėšų, kurios turi būti panaudotos vienu metu, vykdant kultūros paveldo objekto atstatymo darbus. Susidaro situacija, kad valstybei nuosavybės teise panaudos (nuomos) pagrindais priklausantį turtą valdantys pareiškėjai (ypač tie, kurie valdo netinkamą pagal paskirtį naudoti turtą) atsiduria kur kas nepalankesnėje padėtyje nei pareiškėjai, kuriems toks turtas priklauso nuosavybės teise. Visiškai logiška, kad subjektas, valdantis nuosavybės teise priklausantį kultūros paveldo objektą, jame vykdantis ūkinę – komercinę ar kitą veiklą gali surasti galimybes pritraukti investicijas iš kitų šaltinių (nuosavų, skolintų ir kitų lėšų, arba pasinaudojant priemonės Nr. 05.4.1-FM-F-307 lėšomis). Tokiems </w:t>
            </w:r>
            <w:r w:rsidRPr="004C2E34">
              <w:rPr>
                <w:rFonts w:ascii="Times New Roman" w:hAnsi="Times New Roman"/>
                <w:sz w:val="24"/>
                <w:szCs w:val="24"/>
              </w:rPr>
              <w:t>subjektams, finansavus pagal šią priemonę tik tvarkybos darbus, būtų pagerintas nuosavybės teise priklausantis turtas, vykdydami veiklą tokie subjektai gautų finansinę naudą</w:t>
            </w:r>
            <w:r w:rsidRPr="00A9166A">
              <w:rPr>
                <w:rFonts w:ascii="Times New Roman" w:hAnsi="Times New Roman"/>
                <w:sz w:val="24"/>
                <w:szCs w:val="24"/>
              </w:rPr>
              <w:t xml:space="preserve">. Dėl šių priežasčių, jie turi kur kas didesnes galimybes sudominti investuotojus, skirti nuosavas lėšas ar skolintis. Tačiau viešąją paslaugą teikiantys, panaudos pagrindais valstybei nuosavybės teise priklausantį turtą valdantys pareiškėjai, pageidaujančių investuoti į tokio turto atstatymą subjektų, surasti beveik neturi galimybių. Ypač tai aktualu tiems pareiškėjams (kaip ir Fondo atveju), kuriems perduoti valdyti objektai negali būti naudojami pagal paskirtį dėl jų techninės būklės. Kaip jau buvo minėta, pakankamai didelę pinigų sumą (beveik tokio paties dydžio kaip ir skiriamą tvarkybos darbams) turi investuoti ar pritraukti iš kitų šaltinių valdytojas tam, kad būtų atstatytas valstybei priklausantis kultūros paveldo objektas. Toks valdytojas ar investuotojas skirti lėšas yra visiškai nesuinteresuotas, nes, kaip jau minėta, turtas priklauso ne jam, o valstybei, pasibaigus panaudos terminui toks turtas su visais pagerinimais bus grąžintas valstybei, o jokios ūkinės – komercinės veiklos, taip galimai gaunant finansinę naudą, panauda perduotuose valstybei priklausančiuose objektuose vykdyti neleidžiama. Skolintis lėšas tokiems pareiškėjams taip pat nėra jokių galimybių, nes teikiama viešoji paslauga, investuojama į valstybei priklausantį turtą. </w:t>
            </w:r>
            <w:r w:rsidRPr="004C2E34">
              <w:rPr>
                <w:rFonts w:ascii="Times New Roman" w:hAnsi="Times New Roman"/>
                <w:sz w:val="24"/>
                <w:szCs w:val="24"/>
              </w:rPr>
              <w:t xml:space="preserve">Dėl šių priežasčių manome, kad pareiškėjams teikiantiems viešąją paslaugą valstybei nuosavybės teise priklausančiuose objektuose, turėtų būti Priemonės lėšomis finansuojami ne tik tvarkybos, bet ir statybos (kapitalinio remonto) darbai, </w:t>
            </w:r>
            <w:r w:rsidRPr="00A17793">
              <w:rPr>
                <w:rFonts w:ascii="Times New Roman" w:hAnsi="Times New Roman"/>
                <w:sz w:val="24"/>
                <w:szCs w:val="24"/>
              </w:rPr>
              <w:t xml:space="preserve">o investicijų iš kitų lėšų pritraukimas turėtų būti užtikrinamas ne </w:t>
            </w:r>
            <w:r w:rsidRPr="00A17793">
              <w:rPr>
                <w:rFonts w:ascii="Times New Roman" w:hAnsi="Times New Roman"/>
                <w:sz w:val="24"/>
                <w:szCs w:val="24"/>
              </w:rPr>
              <w:lastRenderedPageBreak/>
              <w:t>pastatui atstatyti, o jo tolimesnei eksploatacijai</w:t>
            </w:r>
            <w:r w:rsidRPr="004C2E34">
              <w:rPr>
                <w:rFonts w:ascii="Times New Roman" w:hAnsi="Times New Roman"/>
                <w:sz w:val="24"/>
                <w:szCs w:val="24"/>
              </w:rPr>
              <w:t>.</w:t>
            </w:r>
            <w:r w:rsidRPr="00A9166A">
              <w:rPr>
                <w:rFonts w:ascii="Times New Roman" w:hAnsi="Times New Roman"/>
                <w:sz w:val="24"/>
                <w:szCs w:val="24"/>
              </w:rPr>
              <w:t xml:space="preserve"> Investicijų pritraukimas į kultūros paveldo objektą tik po to kai toks objektas jau yra atstatytas, būtų kur kas labiau įgyvendinamas reikalavimas, nes tolimesniam eksploatavimui reikalinga ženkliai mažesnė lėšų suma, jau atstatyti kultūros paveldo objektai būtų patrauklūs įvairioms viešosios paslaugoms teikti. Investicijų iš kitų šaltinių pritraukimas į atstatyto ir jau kultūrinėms, edukacinėms, ekonominėms, socialinėms ir kitoms reikmėms pritaikyto kultūros paveldo ob</w:t>
            </w:r>
            <w:r w:rsidR="00362081">
              <w:rPr>
                <w:rFonts w:ascii="Times New Roman" w:hAnsi="Times New Roman"/>
                <w:sz w:val="24"/>
                <w:szCs w:val="24"/>
              </w:rPr>
              <w:t xml:space="preserve">jekto tolimesnį eksploatavimą, </w:t>
            </w:r>
            <w:r w:rsidRPr="00A9166A">
              <w:rPr>
                <w:rFonts w:ascii="Times New Roman" w:hAnsi="Times New Roman"/>
                <w:sz w:val="24"/>
                <w:szCs w:val="24"/>
              </w:rPr>
              <w:t>užtikrintų kultūros paveldo objekto patrauklumą ir prieinamumą visuomenei, siekiant sudominti ir įtraukti kuo didesnę visuomenės dalį ir kuo įvairesnes tikslines grupes, išlaikant esamus ir (arba) sukuriant papildomus (naujus) lankytojų srautus.</w:t>
            </w:r>
          </w:p>
          <w:p w:rsidR="00A17793" w:rsidRPr="00B442E7" w:rsidRDefault="00A17793" w:rsidP="00A17793">
            <w:pPr>
              <w:pStyle w:val="normal-p"/>
              <w:spacing w:before="0" w:beforeAutospacing="0" w:after="0" w:afterAutospacing="0"/>
              <w:ind w:firstLine="851"/>
              <w:jc w:val="both"/>
              <w:rPr>
                <w:rFonts w:eastAsia="Calibri"/>
                <w:lang w:eastAsia="en-US"/>
              </w:rPr>
            </w:pPr>
            <w:r w:rsidRPr="00B442E7">
              <w:rPr>
                <w:rFonts w:eastAsia="Calibri"/>
                <w:lang w:eastAsia="en-US"/>
              </w:rPr>
              <w:t xml:space="preserve">Atitinkamai, keičiant Aprašo 11 punktą, Aprašo 40 punkte tikslinga numatyti, kad: </w:t>
            </w:r>
            <w:r w:rsidRPr="00A17793">
              <w:rPr>
                <w:rFonts w:eastAsia="Calibri"/>
                <w:lang w:eastAsia="en-US"/>
              </w:rPr>
              <w:t xml:space="preserve">Pareiškėjas ir (arba) partneris privalo užtikrinti </w:t>
            </w:r>
            <w:r w:rsidRPr="00B442E7">
              <w:rPr>
                <w:rFonts w:eastAsia="Calibri"/>
                <w:lang w:eastAsia="en-US"/>
              </w:rPr>
              <w:t xml:space="preserve">investicijų pritraukimą iš kitų šaltinių į kultūros paveldo objekto (-ų), </w:t>
            </w:r>
            <w:r w:rsidRPr="00A17793">
              <w:rPr>
                <w:rFonts w:eastAsia="Calibri"/>
                <w:lang w:eastAsia="en-US"/>
              </w:rPr>
              <w:t>pritaikyto (-ų) kultūrinėms, edukacinėms, ekonominėms, socialinėms ir kt. reikmėms, tolimesnį eksploatavimą,</w:t>
            </w:r>
            <w:r w:rsidRPr="00B442E7">
              <w:rPr>
                <w:rFonts w:eastAsia="Calibri"/>
                <w:lang w:eastAsia="en-US"/>
              </w:rPr>
              <w:t xml:space="preserve"> kaip nurodyta Aprašo 11 punkte.</w:t>
            </w:r>
          </w:p>
          <w:p w:rsidR="00A17793" w:rsidRPr="004C2E34" w:rsidRDefault="00A17793" w:rsidP="00A17793">
            <w:pPr>
              <w:spacing w:after="120" w:line="240" w:lineRule="auto"/>
              <w:ind w:firstLine="601"/>
              <w:jc w:val="both"/>
              <w:rPr>
                <w:rFonts w:ascii="Times New Roman" w:hAnsi="Times New Roman"/>
                <w:sz w:val="24"/>
                <w:szCs w:val="24"/>
              </w:rPr>
            </w:pPr>
            <w:r w:rsidRPr="00A17793">
              <w:rPr>
                <w:rFonts w:ascii="Times New Roman" w:hAnsi="Times New Roman"/>
                <w:sz w:val="24"/>
                <w:szCs w:val="24"/>
              </w:rPr>
              <w:t xml:space="preserve">Atitinkamai, keičiant Aprašo 11 punktą, Aprašo 41 punkte tikslinga numatyti, jog tinkamos finansuoti </w:t>
            </w:r>
            <w:r w:rsidRPr="00A17793">
              <w:rPr>
                <w:rFonts w:ascii="Times New Roman" w:hAnsi="Times New Roman"/>
                <w:b/>
                <w:sz w:val="24"/>
                <w:szCs w:val="24"/>
              </w:rPr>
              <w:t>yra statybos (kapitalinio remonto) darbų išlaidos</w:t>
            </w:r>
            <w:r w:rsidRPr="00A17793">
              <w:rPr>
                <w:rFonts w:ascii="Times New Roman" w:hAnsi="Times New Roman"/>
                <w:sz w:val="24"/>
                <w:szCs w:val="24"/>
              </w:rPr>
              <w:t>.</w:t>
            </w:r>
          </w:p>
        </w:tc>
        <w:tc>
          <w:tcPr>
            <w:tcW w:w="5880" w:type="dxa"/>
            <w:shd w:val="clear" w:color="auto" w:fill="FFFFFF" w:themeFill="background1"/>
          </w:tcPr>
          <w:p w:rsidR="00921F28" w:rsidRPr="00362081" w:rsidRDefault="000D7884" w:rsidP="00CE2867">
            <w:pPr>
              <w:shd w:val="clear" w:color="auto" w:fill="FFFFFF" w:themeFill="background1"/>
              <w:spacing w:after="0" w:line="240" w:lineRule="auto"/>
              <w:jc w:val="both"/>
              <w:rPr>
                <w:rFonts w:ascii="Times New Roman" w:hAnsi="Times New Roman"/>
                <w:b/>
                <w:sz w:val="24"/>
                <w:szCs w:val="24"/>
              </w:rPr>
            </w:pPr>
            <w:r w:rsidRPr="00362081">
              <w:rPr>
                <w:rFonts w:ascii="Times New Roman" w:hAnsi="Times New Roman"/>
                <w:b/>
                <w:sz w:val="24"/>
                <w:szCs w:val="24"/>
              </w:rPr>
              <w:lastRenderedPageBreak/>
              <w:t>A</w:t>
            </w:r>
            <w:r w:rsidR="00A2152A" w:rsidRPr="00362081">
              <w:rPr>
                <w:rFonts w:ascii="Times New Roman" w:hAnsi="Times New Roman"/>
                <w:b/>
                <w:sz w:val="24"/>
                <w:szCs w:val="24"/>
              </w:rPr>
              <w:t>tsižvelgta</w:t>
            </w:r>
            <w:r w:rsidR="00921F28" w:rsidRPr="00362081">
              <w:rPr>
                <w:rFonts w:ascii="Times New Roman" w:hAnsi="Times New Roman"/>
                <w:b/>
                <w:sz w:val="24"/>
                <w:szCs w:val="24"/>
              </w:rPr>
              <w:t>.</w:t>
            </w:r>
          </w:p>
          <w:p w:rsidR="000D7884" w:rsidRDefault="000D7884" w:rsidP="0044663F">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 xml:space="preserve">Atkreipiame dėmesį, kad </w:t>
            </w:r>
            <w:r w:rsidR="00EB5707">
              <w:rPr>
                <w:rFonts w:ascii="Times New Roman" w:hAnsi="Times New Roman"/>
                <w:sz w:val="24"/>
                <w:szCs w:val="24"/>
              </w:rPr>
              <w:t xml:space="preserve">šiuo </w:t>
            </w:r>
            <w:r>
              <w:rPr>
                <w:rFonts w:ascii="Times New Roman" w:hAnsi="Times New Roman"/>
                <w:sz w:val="24"/>
                <w:szCs w:val="24"/>
              </w:rPr>
              <w:t>A</w:t>
            </w:r>
            <w:r w:rsidR="0044663F">
              <w:rPr>
                <w:rFonts w:ascii="Times New Roman" w:hAnsi="Times New Roman"/>
                <w:sz w:val="24"/>
                <w:szCs w:val="24"/>
              </w:rPr>
              <w:t xml:space="preserve">prašo pakeitimu </w:t>
            </w:r>
            <w:r w:rsidR="00EB5707">
              <w:rPr>
                <w:rFonts w:ascii="Times New Roman" w:hAnsi="Times New Roman"/>
                <w:sz w:val="24"/>
                <w:szCs w:val="24"/>
              </w:rPr>
              <w:t xml:space="preserve">yra </w:t>
            </w:r>
            <w:r w:rsidR="0044663F">
              <w:rPr>
                <w:rFonts w:ascii="Times New Roman" w:hAnsi="Times New Roman"/>
                <w:sz w:val="24"/>
                <w:szCs w:val="24"/>
              </w:rPr>
              <w:t xml:space="preserve">tikslinamos pagal Priemonę tinkamos finansuoti išlaidos, nustatant, kad </w:t>
            </w:r>
            <w:r w:rsidR="0044663F" w:rsidRPr="0044663F">
              <w:rPr>
                <w:rFonts w:ascii="Times New Roman" w:hAnsi="Times New Roman"/>
                <w:sz w:val="24"/>
                <w:szCs w:val="24"/>
              </w:rPr>
              <w:t>kultūros paveldo objekto, kuriame po</w:t>
            </w:r>
            <w:r w:rsidR="00E110AD" w:rsidRPr="00D1057B">
              <w:rPr>
                <w:rFonts w:ascii="Times New Roman" w:hAnsi="Times New Roman"/>
                <w:sz w:val="24"/>
                <w:szCs w:val="24"/>
              </w:rPr>
              <w:t xml:space="preserve"> iš Europos Sąjungos struktūrinių fondų lėšų bendrai finansuojam</w:t>
            </w:r>
            <w:r w:rsidR="00E110AD">
              <w:rPr>
                <w:rFonts w:ascii="Times New Roman" w:hAnsi="Times New Roman"/>
                <w:sz w:val="24"/>
                <w:szCs w:val="24"/>
              </w:rPr>
              <w:t>o</w:t>
            </w:r>
            <w:r w:rsidR="00E110AD" w:rsidRPr="00D1057B">
              <w:rPr>
                <w:rFonts w:ascii="Times New Roman" w:hAnsi="Times New Roman"/>
                <w:sz w:val="24"/>
                <w:szCs w:val="24"/>
              </w:rPr>
              <w:t xml:space="preserve"> projek</w:t>
            </w:r>
            <w:r w:rsidR="00E110AD">
              <w:rPr>
                <w:rFonts w:ascii="Times New Roman" w:hAnsi="Times New Roman"/>
                <w:sz w:val="24"/>
                <w:szCs w:val="24"/>
              </w:rPr>
              <w:t xml:space="preserve">to (toliau – projektas) </w:t>
            </w:r>
            <w:r w:rsidR="0044663F" w:rsidRPr="0044663F">
              <w:rPr>
                <w:rFonts w:ascii="Times New Roman" w:hAnsi="Times New Roman"/>
                <w:sz w:val="24"/>
                <w:szCs w:val="24"/>
              </w:rPr>
              <w:t>įgyvendinimo bus teikiama viešoji paslauga</w:t>
            </w:r>
            <w:r w:rsidR="0044663F">
              <w:rPr>
                <w:rFonts w:ascii="Times New Roman" w:hAnsi="Times New Roman"/>
                <w:sz w:val="24"/>
                <w:szCs w:val="24"/>
              </w:rPr>
              <w:t xml:space="preserve">, remiamos veikslo yra tiek </w:t>
            </w:r>
            <w:r w:rsidR="0044663F" w:rsidRPr="0044663F">
              <w:rPr>
                <w:rFonts w:ascii="Times New Roman" w:hAnsi="Times New Roman"/>
                <w:sz w:val="24"/>
                <w:szCs w:val="24"/>
              </w:rPr>
              <w:t>tvarkomieji statybos, tiek tvarkybos darbai</w:t>
            </w:r>
            <w:r w:rsidR="0044663F">
              <w:rPr>
                <w:rFonts w:ascii="Times New Roman" w:hAnsi="Times New Roman"/>
                <w:sz w:val="24"/>
                <w:szCs w:val="24"/>
              </w:rPr>
              <w:t xml:space="preserve"> (Aprašo 11.1 ir 11.2 papunkčiai)</w:t>
            </w:r>
            <w:r w:rsidR="0044663F" w:rsidRPr="0044663F">
              <w:rPr>
                <w:rFonts w:ascii="Times New Roman" w:hAnsi="Times New Roman"/>
                <w:sz w:val="24"/>
                <w:szCs w:val="24"/>
              </w:rPr>
              <w:t>.</w:t>
            </w:r>
          </w:p>
          <w:p w:rsidR="0044663F" w:rsidRPr="0044663F" w:rsidRDefault="0044663F" w:rsidP="00EB5707">
            <w:pPr>
              <w:tabs>
                <w:tab w:val="left" w:pos="1134"/>
              </w:tabs>
              <w:contextualSpacing/>
              <w:jc w:val="both"/>
              <w:rPr>
                <w:rFonts w:ascii="Times New Roman" w:hAnsi="Times New Roman"/>
                <w:sz w:val="24"/>
                <w:szCs w:val="24"/>
              </w:rPr>
            </w:pPr>
            <w:r w:rsidRPr="0044663F">
              <w:rPr>
                <w:rFonts w:ascii="Times New Roman" w:hAnsi="Times New Roman"/>
                <w:sz w:val="24"/>
                <w:szCs w:val="24"/>
              </w:rPr>
              <w:t xml:space="preserve">Taip pat atkreipiame dėmesį, kad Pagal </w:t>
            </w:r>
            <w:r w:rsidR="004C2E34">
              <w:rPr>
                <w:rFonts w:ascii="Times New Roman" w:hAnsi="Times New Roman"/>
                <w:sz w:val="24"/>
                <w:szCs w:val="24"/>
              </w:rPr>
              <w:t xml:space="preserve">pakeisto </w:t>
            </w:r>
            <w:r w:rsidRPr="0044663F">
              <w:rPr>
                <w:rFonts w:ascii="Times New Roman" w:hAnsi="Times New Roman"/>
                <w:sz w:val="24"/>
                <w:szCs w:val="24"/>
              </w:rPr>
              <w:t>Aprašo 27.3 papunktį, projekto vykdytojams, kurie po projekto įgyvendinimo kultūros paveldo objekte teiks viešąsias paslaugas, stebėsenos rodiklis „Pritraukta investicijų kultūros paveldo objektų pritaikymui“</w:t>
            </w:r>
            <w:r w:rsidR="004C2E34">
              <w:rPr>
                <w:rFonts w:ascii="Times New Roman" w:hAnsi="Times New Roman"/>
                <w:sz w:val="24"/>
                <w:szCs w:val="24"/>
              </w:rPr>
              <w:t xml:space="preserve"> (rodiklio </w:t>
            </w:r>
            <w:r w:rsidRPr="0044663F">
              <w:rPr>
                <w:rFonts w:ascii="Times New Roman" w:hAnsi="Times New Roman"/>
                <w:sz w:val="24"/>
                <w:szCs w:val="24"/>
              </w:rPr>
              <w:t>kodas P.N.305</w:t>
            </w:r>
            <w:r w:rsidR="004C2E34">
              <w:rPr>
                <w:rFonts w:ascii="Times New Roman" w:hAnsi="Times New Roman"/>
                <w:sz w:val="24"/>
                <w:szCs w:val="24"/>
              </w:rPr>
              <w:t xml:space="preserve">) </w:t>
            </w:r>
            <w:r w:rsidRPr="004C2E34">
              <w:rPr>
                <w:rFonts w:ascii="Times New Roman" w:hAnsi="Times New Roman"/>
                <w:sz w:val="24"/>
                <w:szCs w:val="24"/>
              </w:rPr>
              <w:t>nėra</w:t>
            </w:r>
            <w:r w:rsidR="004C2E34" w:rsidRPr="004C2E34">
              <w:rPr>
                <w:rFonts w:ascii="Times New Roman" w:hAnsi="Times New Roman"/>
                <w:sz w:val="24"/>
                <w:szCs w:val="24"/>
              </w:rPr>
              <w:t xml:space="preserve"> taikomas.</w:t>
            </w:r>
            <w:r w:rsidR="004C2E34">
              <w:rPr>
                <w:rFonts w:ascii="Times New Roman" w:hAnsi="Times New Roman"/>
                <w:sz w:val="24"/>
                <w:szCs w:val="24"/>
              </w:rPr>
              <w:t xml:space="preserve"> Atitinkamai nėra taikomas </w:t>
            </w:r>
            <w:r w:rsidR="00EB5707">
              <w:rPr>
                <w:rFonts w:ascii="Times New Roman" w:hAnsi="Times New Roman"/>
                <w:sz w:val="24"/>
                <w:szCs w:val="24"/>
              </w:rPr>
              <w:t xml:space="preserve">ir </w:t>
            </w:r>
            <w:r w:rsidR="004C2E34">
              <w:rPr>
                <w:rFonts w:ascii="Times New Roman" w:hAnsi="Times New Roman"/>
                <w:sz w:val="24"/>
                <w:szCs w:val="24"/>
              </w:rPr>
              <w:t>Aprašo 2 pried</w:t>
            </w:r>
            <w:r w:rsidR="00EB5707">
              <w:rPr>
                <w:rFonts w:ascii="Times New Roman" w:hAnsi="Times New Roman"/>
                <w:sz w:val="24"/>
                <w:szCs w:val="24"/>
              </w:rPr>
              <w:t>e nustatytas</w:t>
            </w:r>
            <w:r w:rsidR="004C2E34">
              <w:rPr>
                <w:rFonts w:ascii="Times New Roman" w:hAnsi="Times New Roman"/>
                <w:sz w:val="24"/>
                <w:szCs w:val="24"/>
              </w:rPr>
              <w:t xml:space="preserve"> prioritetinis projektų atrankos kriterijus Nr. 7 „</w:t>
            </w:r>
            <w:r w:rsidR="004C2E34" w:rsidRPr="004C2E34">
              <w:rPr>
                <w:rFonts w:ascii="Times New Roman" w:hAnsi="Times New Roman"/>
                <w:sz w:val="24"/>
                <w:szCs w:val="24"/>
              </w:rPr>
              <w:t>Investicijos kultūros paveldo objekto pritaikymui.“</w:t>
            </w:r>
          </w:p>
          <w:p w:rsidR="0044663F" w:rsidRPr="00921F28" w:rsidRDefault="0044663F" w:rsidP="0044663F">
            <w:pPr>
              <w:shd w:val="clear" w:color="auto" w:fill="FFFFFF" w:themeFill="background1"/>
              <w:spacing w:after="0" w:line="240" w:lineRule="auto"/>
              <w:jc w:val="both"/>
              <w:rPr>
                <w:rFonts w:ascii="Times New Roman" w:hAnsi="Times New Roman"/>
                <w:sz w:val="24"/>
                <w:szCs w:val="24"/>
              </w:rPr>
            </w:pPr>
          </w:p>
        </w:tc>
      </w:tr>
      <w:tr w:rsidR="000D7884" w:rsidRPr="004A1B88" w:rsidTr="00E110AD">
        <w:tc>
          <w:tcPr>
            <w:tcW w:w="2235" w:type="dxa"/>
            <w:tcBorders>
              <w:top w:val="nil"/>
              <w:bottom w:val="single" w:sz="4" w:space="0" w:color="auto"/>
            </w:tcBorders>
            <w:shd w:val="clear" w:color="auto" w:fill="FFFFFF" w:themeFill="background1"/>
          </w:tcPr>
          <w:p w:rsidR="000D7884" w:rsidRPr="00A9166A" w:rsidRDefault="000D7884" w:rsidP="000D7884">
            <w:pPr>
              <w:pStyle w:val="ListParagraph"/>
              <w:shd w:val="clear" w:color="auto" w:fill="FFFFFF" w:themeFill="background1"/>
              <w:tabs>
                <w:tab w:val="left" w:pos="284"/>
              </w:tabs>
              <w:spacing w:after="0"/>
              <w:ind w:left="0"/>
              <w:rPr>
                <w:rFonts w:ascii="Times New Roman" w:hAnsi="Times New Roman"/>
                <w:b/>
                <w:sz w:val="24"/>
                <w:szCs w:val="24"/>
              </w:rPr>
            </w:pPr>
          </w:p>
        </w:tc>
        <w:tc>
          <w:tcPr>
            <w:tcW w:w="7229" w:type="dxa"/>
            <w:tcBorders>
              <w:bottom w:val="single" w:sz="4" w:space="0" w:color="auto"/>
            </w:tcBorders>
            <w:shd w:val="clear" w:color="auto" w:fill="FFFFFF" w:themeFill="background1"/>
          </w:tcPr>
          <w:p w:rsidR="00A17793" w:rsidRPr="00B442E7" w:rsidRDefault="00A17793" w:rsidP="00A17793">
            <w:pPr>
              <w:pStyle w:val="normal-p"/>
              <w:numPr>
                <w:ilvl w:val="0"/>
                <w:numId w:val="30"/>
              </w:numPr>
              <w:tabs>
                <w:tab w:val="left" w:pos="615"/>
              </w:tabs>
              <w:spacing w:before="0" w:beforeAutospacing="0" w:after="0" w:afterAutospacing="0"/>
              <w:ind w:left="33" w:firstLine="0"/>
              <w:jc w:val="both"/>
              <w:rPr>
                <w:rFonts w:eastAsia="Calibri"/>
              </w:rPr>
            </w:pPr>
            <w:r w:rsidRPr="00B442E7">
              <w:t>Aprašo</w:t>
            </w:r>
            <w:r w:rsidRPr="00B442E7">
              <w:rPr>
                <w:b/>
              </w:rPr>
              <w:t xml:space="preserve"> </w:t>
            </w:r>
            <w:r w:rsidRPr="00B442E7">
              <w:rPr>
                <w:rFonts w:eastAsia="Calibri"/>
              </w:rPr>
              <w:t>29.3.1 punkte numatyta, kad iki paraiškos pateikimo įgyvendinančiajai institucijai dienos: „daiktinės pareiškėjo (partnerio) teisės į statinį ir (ar) žemę, kuriame įgyvendinant projektą bus vykdomi tvarkybos darbai, turi būti įregistruotos įstatymų nustatyta tvarka ir galioti ne trumpiau kaip penkerius metus nuo projekto finansavimo pabaigos &lt;...&gt;“.</w:t>
            </w:r>
          </w:p>
          <w:p w:rsidR="000D7884" w:rsidRPr="00A9166A" w:rsidRDefault="00A17793" w:rsidP="00026371">
            <w:pPr>
              <w:pStyle w:val="normal-p"/>
              <w:tabs>
                <w:tab w:val="left" w:pos="317"/>
              </w:tabs>
              <w:spacing w:before="0" w:beforeAutospacing="0" w:after="0" w:afterAutospacing="0"/>
              <w:ind w:left="33" w:firstLine="284"/>
              <w:jc w:val="both"/>
            </w:pPr>
            <w:r w:rsidRPr="00B442E7">
              <w:rPr>
                <w:rFonts w:eastAsia="Calibri"/>
              </w:rPr>
              <w:t>Atkreiptinas dėmesys, kad Lietuvos Respublikos valstybės ir savivaldybių turto valdymo, naudojimo ir disponavimo juo 1998 m. gegužės 12 d. įstatymo Nr. VIII-729 14 straipsnio 4 dalyje numatyta, kad: „&lt;....&gt; v</w:t>
            </w:r>
            <w:r w:rsidRPr="00B442E7">
              <w:t>alstybės ir savivaldybių ilgalaikis materialusis turtas šio straipsnio 1 dalies 4–8</w:t>
            </w:r>
            <w:r w:rsidRPr="00B442E7">
              <w:rPr>
                <w:b/>
                <w:bCs/>
              </w:rPr>
              <w:t xml:space="preserve"> </w:t>
            </w:r>
            <w:r w:rsidRPr="00B442E7">
              <w:t xml:space="preserve">punktuose nurodytiems subjektams gali būti perduotas panaudos teise ne ilgesniam kaip 10 metų laikotarpiui, jeigu įstatymai nenustato kitaip &lt;....&gt;“. Susidaro situacija, kad minėto įstatymo 14 straipsnio 1 dalies 4-8 punktuose numatyti subjektai, tai yra asociacijos, </w:t>
            </w:r>
            <w:bookmarkStart w:id="0" w:name="part_eb3b7bb07ad34f53becb13f562e938ea"/>
            <w:bookmarkEnd w:id="0"/>
            <w:r w:rsidRPr="00B442E7">
              <w:t xml:space="preserve">politinės partijos, juridinių asmenų registre registruoti </w:t>
            </w:r>
            <w:r w:rsidRPr="00B442E7">
              <w:lastRenderedPageBreak/>
              <w:t>profesinių sąjungų susivienijimai, labdaros ir paramos fondai, kiti subjektai, jeigu tai nustatyta įstatymuose, tarptautinėse sutartyse ar tarptautiniuose susitarimuose, atsiduria skirtingoje padėtyje nei kiti valdytojai, nes jiems įstatymas riboja turto valdymo terminą. Tokie subjektai paprastai jau yra pasirašę panaudos sutartis 10 metų terminui, Priemonės rengimo procesas vyksta jau nuo 2016 metų pradžios, pagal Priemonės a</w:t>
            </w:r>
            <w:r w:rsidRPr="00B442E7">
              <w:rPr>
                <w:rFonts w:eastAsia="Calibri"/>
              </w:rPr>
              <w:t xml:space="preserve">prašą projektų veiklos turi būti baigtos ne vėliau nei 2021 m. gruodžio 31 d. Dėl šių priežasčių, aukščiau minėtiems subjektams projekto finansavimo pabaigos dienai – 2021 m. gruodžio 31 d. panaudos teisės valdyti objektus terminas gali galioti trumpesnį nei penkerių metų laiką. </w:t>
            </w:r>
            <w:r w:rsidRPr="00B442E7">
              <w:t>Manome, kad siekiant tokiems pareiškėjams užtikrinti lygias teises, kaip ir kitiems pareiškėjams, kurių valdymo teisės neriboja įstatymai, vienodas galimybes dalyvauti priemonėje, būtų tikslinga numatyti išlygą. Siūlome Aprašo 29.3.1. punktą išdėstyti taip: I</w:t>
            </w:r>
            <w:r w:rsidRPr="00B442E7">
              <w:rPr>
                <w:rFonts w:eastAsia="Calibri"/>
              </w:rPr>
              <w:t xml:space="preserve">ki paraiškos pateikimo įgyvendinančiajai institucijai dienos daiktinės pareiškėjo (partnerio) teisės į statinį ir (ar) žemę, kuriame įgyvendinant projektą bus vykdomi tvarkybos </w:t>
            </w:r>
            <w:r>
              <w:rPr>
                <w:rFonts w:eastAsia="Calibri"/>
                <w:b/>
              </w:rPr>
              <w:t xml:space="preserve">ir/ar statybos (kapitalinio remonto) </w:t>
            </w:r>
            <w:r w:rsidRPr="004B65CC">
              <w:rPr>
                <w:rFonts w:eastAsia="Calibri"/>
                <w:b/>
              </w:rPr>
              <w:t>darbai</w:t>
            </w:r>
            <w:r w:rsidRPr="00B442E7">
              <w:rPr>
                <w:rFonts w:eastAsia="Calibri"/>
              </w:rPr>
              <w:t xml:space="preserve">, turi būti įregistruotos įstatymų nustatyta tvarka ir galioti ne trumpiau kaip penkerius metus nuo projekto finansavimo pabaigos, </w:t>
            </w:r>
            <w:r w:rsidRPr="00B442E7">
              <w:rPr>
                <w:rFonts w:eastAsia="Calibri"/>
                <w:b/>
              </w:rPr>
              <w:t>o jei, pareiškėjams, valdantiems valstybei priklausantį turtą panaudos pagrindais, panaudos terminas baigiasi anksčiau, privalomi įrodymai, patvirtinantys, jog panaudos terminas bus pratęstas arba bus sudaryta nauja valstybės turto panaudos sutartis</w:t>
            </w:r>
            <w:r w:rsidRPr="00B442E7">
              <w:rPr>
                <w:rFonts w:eastAsia="Calibri"/>
              </w:rPr>
              <w:t>.</w:t>
            </w:r>
            <w:r w:rsidR="00F22613">
              <w:rPr>
                <w:rFonts w:eastAsia="Calibri"/>
              </w:rPr>
              <w:t xml:space="preserve"> </w:t>
            </w:r>
            <w:r w:rsidR="00F22613" w:rsidRPr="00B442E7">
              <w:rPr>
                <w:rFonts w:eastAsia="Calibri"/>
              </w:rPr>
              <w:t>Jei statinys ar žemės sklypas yra naudojamas pagal panaudos ar nuomos sutartį, pareiškėjas turi turėti panaudos davėjo ar nuomotojo raštišką sutikimą vykdyti projekto veiklas.</w:t>
            </w:r>
          </w:p>
        </w:tc>
        <w:tc>
          <w:tcPr>
            <w:tcW w:w="5880" w:type="dxa"/>
            <w:shd w:val="clear" w:color="auto" w:fill="FFFFFF" w:themeFill="background1"/>
          </w:tcPr>
          <w:p w:rsidR="000D7884" w:rsidRDefault="00A17793" w:rsidP="00CE2867">
            <w:pPr>
              <w:shd w:val="clear" w:color="auto" w:fill="FFFFFF" w:themeFill="background1"/>
              <w:spacing w:after="0" w:line="240" w:lineRule="auto"/>
              <w:jc w:val="both"/>
              <w:rPr>
                <w:rFonts w:ascii="Times New Roman" w:hAnsi="Times New Roman"/>
                <w:sz w:val="24"/>
                <w:szCs w:val="24"/>
              </w:rPr>
            </w:pPr>
            <w:r w:rsidRPr="00A17793">
              <w:rPr>
                <w:rFonts w:ascii="Times New Roman" w:hAnsi="Times New Roman"/>
                <w:b/>
                <w:sz w:val="24"/>
                <w:szCs w:val="24"/>
              </w:rPr>
              <w:lastRenderedPageBreak/>
              <w:t>Neatsižvelgta.</w:t>
            </w:r>
          </w:p>
          <w:p w:rsidR="00E110AD" w:rsidRPr="00E110AD" w:rsidRDefault="00E110AD" w:rsidP="00E110AD">
            <w:pPr>
              <w:spacing w:after="0" w:line="240" w:lineRule="auto"/>
              <w:jc w:val="both"/>
              <w:rPr>
                <w:rFonts w:ascii="Times New Roman" w:hAnsi="Times New Roman"/>
                <w:sz w:val="24"/>
                <w:szCs w:val="24"/>
              </w:rPr>
            </w:pPr>
            <w:r w:rsidRPr="00E110AD">
              <w:rPr>
                <w:rFonts w:ascii="Times New Roman" w:hAnsi="Times New Roman"/>
                <w:sz w:val="24"/>
                <w:szCs w:val="24"/>
              </w:rPr>
              <w:t xml:space="preserve">Pažymime, kad pagal Aprašą pareiškėjų reikalaujama pateikti tik tokius dokumentus, kurie paraiškas vertinančiai įgyvendinančiajai institucijai (šiuo atveju – VšĮ Centrinei projektų valdymo agentūrai) įrodytų jų atitiktį Apraše keliamiems atitinkamiems reikalavimams. </w:t>
            </w:r>
          </w:p>
          <w:p w:rsidR="00E110AD" w:rsidRPr="00E110AD" w:rsidRDefault="00E110AD" w:rsidP="00E110AD">
            <w:pPr>
              <w:spacing w:after="0" w:line="240" w:lineRule="auto"/>
              <w:jc w:val="both"/>
              <w:rPr>
                <w:rFonts w:ascii="Times New Roman" w:hAnsi="Times New Roman"/>
                <w:sz w:val="24"/>
                <w:szCs w:val="24"/>
              </w:rPr>
            </w:pPr>
            <w:r w:rsidRPr="00E110AD">
              <w:rPr>
                <w:rFonts w:ascii="Times New Roman" w:hAnsi="Times New Roman"/>
                <w:sz w:val="24"/>
                <w:szCs w:val="24"/>
              </w:rPr>
              <w:t xml:space="preserve">Atsižvelgdama į tai ir vadovaudamasi objektyvumo bei proporcingumo principais, KM Apraše yra nustačiusi pareiškėjams pateikti tik tokius dokumentus, kurie yra </w:t>
            </w:r>
            <w:r>
              <w:rPr>
                <w:rFonts w:ascii="Times New Roman" w:hAnsi="Times New Roman"/>
                <w:sz w:val="24"/>
                <w:szCs w:val="24"/>
              </w:rPr>
              <w:t>reikalaujami pagal</w:t>
            </w:r>
            <w:r w:rsidRPr="00E110AD">
              <w:rPr>
                <w:rFonts w:ascii="Times New Roman" w:hAnsi="Times New Roman"/>
                <w:sz w:val="24"/>
                <w:szCs w:val="24"/>
              </w:rPr>
              <w:t xml:space="preserve"> atitinkamą sritį reglamentuojančiu</w:t>
            </w:r>
            <w:r>
              <w:rPr>
                <w:rFonts w:ascii="Times New Roman" w:hAnsi="Times New Roman"/>
                <w:sz w:val="24"/>
                <w:szCs w:val="24"/>
              </w:rPr>
              <w:t>s</w:t>
            </w:r>
            <w:r w:rsidRPr="00E110AD">
              <w:rPr>
                <w:rFonts w:ascii="Times New Roman" w:hAnsi="Times New Roman"/>
                <w:sz w:val="24"/>
                <w:szCs w:val="24"/>
              </w:rPr>
              <w:t xml:space="preserve"> teisės aktu</w:t>
            </w:r>
            <w:r>
              <w:rPr>
                <w:rFonts w:ascii="Times New Roman" w:hAnsi="Times New Roman"/>
                <w:sz w:val="24"/>
                <w:szCs w:val="24"/>
              </w:rPr>
              <w:t>s.</w:t>
            </w:r>
          </w:p>
          <w:p w:rsidR="00E110AD" w:rsidRDefault="00E110AD" w:rsidP="00E110AD">
            <w:pPr>
              <w:spacing w:after="0" w:line="240" w:lineRule="auto"/>
              <w:jc w:val="both"/>
              <w:rPr>
                <w:rFonts w:ascii="Times New Roman" w:hAnsi="Times New Roman"/>
                <w:sz w:val="24"/>
                <w:szCs w:val="24"/>
              </w:rPr>
            </w:pPr>
            <w:r>
              <w:rPr>
                <w:rFonts w:ascii="Times New Roman" w:hAnsi="Times New Roman"/>
                <w:sz w:val="24"/>
                <w:szCs w:val="24"/>
              </w:rPr>
              <w:t xml:space="preserve">Daiktinę teisę įrodančiais dokumentais pagal </w:t>
            </w:r>
            <w:r w:rsidRPr="00E110AD">
              <w:rPr>
                <w:rFonts w:ascii="Times New Roman" w:hAnsi="Times New Roman"/>
                <w:sz w:val="24"/>
                <w:szCs w:val="24"/>
              </w:rPr>
              <w:t>L</w:t>
            </w:r>
            <w:r>
              <w:rPr>
                <w:rFonts w:ascii="Times New Roman" w:hAnsi="Times New Roman"/>
                <w:sz w:val="24"/>
                <w:szCs w:val="24"/>
              </w:rPr>
              <w:t xml:space="preserve">ietuvos </w:t>
            </w:r>
            <w:r w:rsidRPr="00E110AD">
              <w:rPr>
                <w:rFonts w:ascii="Times New Roman" w:hAnsi="Times New Roman"/>
                <w:sz w:val="24"/>
                <w:szCs w:val="24"/>
              </w:rPr>
              <w:t>R</w:t>
            </w:r>
            <w:r>
              <w:rPr>
                <w:rFonts w:ascii="Times New Roman" w:hAnsi="Times New Roman"/>
                <w:sz w:val="24"/>
                <w:szCs w:val="24"/>
              </w:rPr>
              <w:t xml:space="preserve">espublikoje galiojančius teisės aktus laikomos sutartys, kurios yra įregistruojamos </w:t>
            </w:r>
            <w:r w:rsidRPr="00E110AD">
              <w:rPr>
                <w:rFonts w:ascii="Times New Roman" w:hAnsi="Times New Roman"/>
                <w:sz w:val="24"/>
                <w:szCs w:val="24"/>
              </w:rPr>
              <w:t>teisės aktų nustatyta tvarka Nekilnojamo turto registre</w:t>
            </w:r>
            <w:r>
              <w:rPr>
                <w:rFonts w:ascii="Times New Roman" w:hAnsi="Times New Roman"/>
                <w:sz w:val="24"/>
                <w:szCs w:val="24"/>
              </w:rPr>
              <w:t xml:space="preserve">. Atitinkamai ši prievolė yra </w:t>
            </w:r>
            <w:r>
              <w:rPr>
                <w:rFonts w:ascii="Times New Roman" w:hAnsi="Times New Roman"/>
                <w:sz w:val="24"/>
                <w:szCs w:val="24"/>
              </w:rPr>
              <w:lastRenderedPageBreak/>
              <w:t xml:space="preserve">įtvirtinta </w:t>
            </w:r>
            <w:r w:rsidRPr="00E110AD">
              <w:rPr>
                <w:rFonts w:ascii="Times New Roman" w:hAnsi="Times New Roman"/>
                <w:sz w:val="24"/>
                <w:szCs w:val="24"/>
              </w:rPr>
              <w:t>pavyzdinėje valstybės turto panaudos sutarties formoje (Valstybės turto perdavimo panaudos pagrindais laikinai neatlygintinai valdyti ir naudotis tvarkos</w:t>
            </w:r>
            <w:r>
              <w:rPr>
                <w:rFonts w:ascii="Times New Roman" w:hAnsi="Times New Roman"/>
                <w:sz w:val="24"/>
                <w:szCs w:val="24"/>
              </w:rPr>
              <w:t xml:space="preserve"> </w:t>
            </w:r>
            <w:r w:rsidRPr="00E110AD">
              <w:rPr>
                <w:rFonts w:ascii="Times New Roman" w:hAnsi="Times New Roman"/>
                <w:sz w:val="24"/>
                <w:szCs w:val="24"/>
              </w:rPr>
              <w:t>aprašo</w:t>
            </w:r>
            <w:r>
              <w:rPr>
                <w:rFonts w:ascii="Times New Roman" w:hAnsi="Times New Roman"/>
                <w:sz w:val="24"/>
                <w:szCs w:val="24"/>
              </w:rPr>
              <w:t xml:space="preserve"> </w:t>
            </w:r>
            <w:r w:rsidRPr="00E110AD">
              <w:rPr>
                <w:rFonts w:ascii="Times New Roman" w:hAnsi="Times New Roman"/>
                <w:sz w:val="24"/>
                <w:szCs w:val="24"/>
              </w:rPr>
              <w:t>1 priedas</w:t>
            </w:r>
            <w:r>
              <w:rPr>
                <w:rFonts w:ascii="Times New Roman" w:hAnsi="Times New Roman"/>
                <w:sz w:val="24"/>
                <w:szCs w:val="24"/>
              </w:rPr>
              <w:t>). Kiti dokumentai, kurie nėra registruojame Nekilnojamo turto registre (pvz.: ketinimai, sutikimai ir pan. pratęsti galiojančias sutartis) negali būti laikomi objektyviais bei įrodančiais pareiškėjo daiktinę teisę valdyti turtą konkrečiu laikotarpiu, todėl, KM manymu, negali būti laikomi tinkamais pagal Aprašą.</w:t>
            </w:r>
          </w:p>
          <w:p w:rsidR="00E110AD" w:rsidRDefault="00E110AD" w:rsidP="00E110AD">
            <w:pPr>
              <w:spacing w:after="0" w:line="240" w:lineRule="auto"/>
              <w:jc w:val="both"/>
              <w:rPr>
                <w:rFonts w:ascii="Times New Roman" w:hAnsi="Times New Roman"/>
                <w:sz w:val="24"/>
                <w:szCs w:val="24"/>
              </w:rPr>
            </w:pPr>
            <w:r>
              <w:rPr>
                <w:rFonts w:ascii="Times New Roman" w:hAnsi="Times New Roman"/>
                <w:sz w:val="24"/>
                <w:szCs w:val="24"/>
              </w:rPr>
              <w:t>Taip pat atkreipiame dėmesį, kad a</w:t>
            </w:r>
            <w:r w:rsidRPr="00D1057B">
              <w:rPr>
                <w:rFonts w:ascii="Times New Roman" w:hAnsi="Times New Roman"/>
                <w:sz w:val="24"/>
                <w:szCs w:val="24"/>
              </w:rPr>
              <w:t>tsižvelg</w:t>
            </w:r>
            <w:r>
              <w:rPr>
                <w:rFonts w:ascii="Times New Roman" w:hAnsi="Times New Roman"/>
                <w:sz w:val="24"/>
                <w:szCs w:val="24"/>
              </w:rPr>
              <w:t xml:space="preserve">dama į tai, jog pagal Aprašą yra </w:t>
            </w:r>
            <w:r w:rsidRPr="00D1057B">
              <w:rPr>
                <w:rFonts w:ascii="Times New Roman" w:hAnsi="Times New Roman"/>
                <w:sz w:val="24"/>
                <w:szCs w:val="24"/>
              </w:rPr>
              <w:t xml:space="preserve">finansuojami skirtingo pobūdžio </w:t>
            </w:r>
            <w:r>
              <w:rPr>
                <w:rFonts w:ascii="Times New Roman" w:hAnsi="Times New Roman"/>
                <w:sz w:val="24"/>
                <w:szCs w:val="24"/>
              </w:rPr>
              <w:t>projektai</w:t>
            </w:r>
            <w:r w:rsidRPr="00D1057B">
              <w:rPr>
                <w:rFonts w:ascii="Times New Roman" w:hAnsi="Times New Roman"/>
                <w:sz w:val="24"/>
                <w:szCs w:val="24"/>
              </w:rPr>
              <w:t>, t.y., projekto lėšomis sutvarkytame kultūros paveldo objekte gal</w:t>
            </w:r>
            <w:r>
              <w:rPr>
                <w:rFonts w:ascii="Times New Roman" w:hAnsi="Times New Roman"/>
                <w:sz w:val="24"/>
                <w:szCs w:val="24"/>
              </w:rPr>
              <w:t>ės</w:t>
            </w:r>
            <w:r w:rsidRPr="00D1057B">
              <w:rPr>
                <w:rFonts w:ascii="Times New Roman" w:hAnsi="Times New Roman"/>
                <w:sz w:val="24"/>
                <w:szCs w:val="24"/>
              </w:rPr>
              <w:t xml:space="preserve"> būti teikiamos tiek viešosios, tiek komercinės paslaugos</w:t>
            </w:r>
            <w:r>
              <w:rPr>
                <w:rFonts w:ascii="Times New Roman" w:hAnsi="Times New Roman"/>
                <w:sz w:val="24"/>
                <w:szCs w:val="24"/>
              </w:rPr>
              <w:t xml:space="preserve">, taip pat į tai, kad </w:t>
            </w:r>
            <w:r w:rsidRPr="00D1057B">
              <w:rPr>
                <w:rFonts w:ascii="Times New Roman" w:hAnsi="Times New Roman"/>
                <w:sz w:val="24"/>
                <w:szCs w:val="24"/>
              </w:rPr>
              <w:t>viešieji ir privatūs juridiniai asmenys nėra lygiaverčiai konkurentai taikant tam tikrus prioritetinius projektų atrankos kriterijus, pvz., viešieji ir privatūs subjektai turi skirtingas galimybes prisidėti nuosavu indėliu (pvz., ne visos viešojo sektoriaus įstaigos turi teisę gauti paskolą), taip pat  viešojo sektoriaus pareiškėjai turi labai ribotas galimybes  prisidėti prie projekto įgyvendinimo privačiomis investicijomis (t.y. ne valstybės ar savivaldybės biudžeto lėšomis)</w:t>
            </w:r>
            <w:r>
              <w:rPr>
                <w:rFonts w:ascii="Times New Roman" w:hAnsi="Times New Roman"/>
                <w:sz w:val="24"/>
                <w:szCs w:val="24"/>
              </w:rPr>
              <w:t>, KM,</w:t>
            </w:r>
            <w:r w:rsidRPr="00D1057B">
              <w:rPr>
                <w:rFonts w:ascii="Times New Roman" w:hAnsi="Times New Roman"/>
                <w:sz w:val="24"/>
                <w:szCs w:val="24"/>
              </w:rPr>
              <w:t xml:space="preserve"> siek</w:t>
            </w:r>
            <w:r>
              <w:rPr>
                <w:rFonts w:ascii="Times New Roman" w:hAnsi="Times New Roman"/>
                <w:sz w:val="24"/>
                <w:szCs w:val="24"/>
              </w:rPr>
              <w:t>dama</w:t>
            </w:r>
            <w:r w:rsidRPr="00D1057B">
              <w:rPr>
                <w:rFonts w:ascii="Times New Roman" w:hAnsi="Times New Roman"/>
                <w:sz w:val="24"/>
                <w:szCs w:val="24"/>
              </w:rPr>
              <w:t xml:space="preserve"> užtikrinti lygiateisiškumo principo laikymąsi visoms pagal šią priemonę teikiamoms paraiškoms</w:t>
            </w:r>
            <w:r>
              <w:rPr>
                <w:rFonts w:ascii="Times New Roman" w:hAnsi="Times New Roman"/>
                <w:sz w:val="24"/>
                <w:szCs w:val="24"/>
              </w:rPr>
              <w:t>,</w:t>
            </w:r>
            <w:r w:rsidRPr="00D1057B">
              <w:rPr>
                <w:rFonts w:ascii="Times New Roman" w:hAnsi="Times New Roman"/>
                <w:sz w:val="24"/>
                <w:szCs w:val="24"/>
              </w:rPr>
              <w:t xml:space="preserve"> atskyrė Apraše kvietimus teikti paraiškas pagal skirtingą </w:t>
            </w:r>
            <w:r>
              <w:rPr>
                <w:rFonts w:ascii="Times New Roman" w:hAnsi="Times New Roman"/>
                <w:sz w:val="24"/>
                <w:szCs w:val="24"/>
              </w:rPr>
              <w:t>po projekto pabaigos numatomą teikti paslaugų</w:t>
            </w:r>
            <w:r w:rsidRPr="00D1057B">
              <w:rPr>
                <w:rFonts w:ascii="Times New Roman" w:hAnsi="Times New Roman"/>
                <w:sz w:val="24"/>
                <w:szCs w:val="24"/>
              </w:rPr>
              <w:t xml:space="preserve"> pobūdį</w:t>
            </w:r>
            <w:r>
              <w:rPr>
                <w:rFonts w:ascii="Times New Roman" w:hAnsi="Times New Roman"/>
                <w:sz w:val="24"/>
                <w:szCs w:val="24"/>
              </w:rPr>
              <w:t xml:space="preserve"> – viešosios arba ne viešosios paslaugos. Todėl, manome, kad siūlymas nustatyti Apraše lengvinančias sąlygas tęstinumo laikotarpiui užtikrinti pareiškėjams, kurie valdo turtą panaudos teise pažeidžia lygiateisiškumo ir sąžiningumo principus, todėl yra nepagrįstas.</w:t>
            </w:r>
          </w:p>
          <w:p w:rsidR="00E110AD" w:rsidRPr="00824AA2" w:rsidRDefault="00E110AD" w:rsidP="00E110AD">
            <w:pPr>
              <w:spacing w:after="0" w:line="240" w:lineRule="auto"/>
              <w:jc w:val="both"/>
              <w:rPr>
                <w:rFonts w:ascii="Times New Roman" w:hAnsi="Times New Roman"/>
                <w:sz w:val="24"/>
                <w:szCs w:val="24"/>
              </w:rPr>
            </w:pPr>
            <w:r>
              <w:rPr>
                <w:rFonts w:ascii="Times New Roman" w:hAnsi="Times New Roman"/>
                <w:sz w:val="24"/>
                <w:szCs w:val="24"/>
              </w:rPr>
              <w:t xml:space="preserve">Papildomai pažymime, kad KM Apraše nustatė pakankamai ilgą laikotarpį, kad pareiškėjai galėtų tinkamai pasirengti dalyvavimui konkurse, t. y. įgyvendinti pagal Aprašą keliamus reikalavimus (Aprašas patvirtintas </w:t>
            </w:r>
            <w:r w:rsidRPr="00E110AD">
              <w:rPr>
                <w:rFonts w:ascii="Times New Roman" w:hAnsi="Times New Roman"/>
                <w:sz w:val="24"/>
                <w:szCs w:val="24"/>
              </w:rPr>
              <w:t>2016 m. gruodžio 6 d.)</w:t>
            </w:r>
            <w:r>
              <w:rPr>
                <w:rFonts w:ascii="Times New Roman" w:hAnsi="Times New Roman"/>
                <w:sz w:val="24"/>
                <w:szCs w:val="24"/>
              </w:rPr>
              <w:t xml:space="preserve">. </w:t>
            </w:r>
          </w:p>
        </w:tc>
      </w:tr>
      <w:tr w:rsidR="00026371" w:rsidRPr="004A1B88" w:rsidTr="00E110AD">
        <w:tc>
          <w:tcPr>
            <w:tcW w:w="2235" w:type="dxa"/>
            <w:tcBorders>
              <w:top w:val="nil"/>
              <w:bottom w:val="single" w:sz="4" w:space="0" w:color="auto"/>
            </w:tcBorders>
            <w:shd w:val="clear" w:color="auto" w:fill="FFFFFF" w:themeFill="background1"/>
          </w:tcPr>
          <w:p w:rsidR="00026371" w:rsidRPr="00A9166A" w:rsidRDefault="00026371" w:rsidP="000D7884">
            <w:pPr>
              <w:pStyle w:val="ListParagraph"/>
              <w:shd w:val="clear" w:color="auto" w:fill="FFFFFF" w:themeFill="background1"/>
              <w:tabs>
                <w:tab w:val="left" w:pos="284"/>
              </w:tabs>
              <w:spacing w:after="0"/>
              <w:ind w:left="0"/>
              <w:rPr>
                <w:rFonts w:ascii="Times New Roman" w:hAnsi="Times New Roman"/>
                <w:b/>
                <w:sz w:val="24"/>
                <w:szCs w:val="24"/>
              </w:rPr>
            </w:pPr>
          </w:p>
        </w:tc>
        <w:tc>
          <w:tcPr>
            <w:tcW w:w="7229" w:type="dxa"/>
            <w:tcBorders>
              <w:bottom w:val="single" w:sz="4" w:space="0" w:color="auto"/>
            </w:tcBorders>
            <w:shd w:val="clear" w:color="auto" w:fill="FFFFFF" w:themeFill="background1"/>
          </w:tcPr>
          <w:p w:rsidR="00026371" w:rsidRPr="00B442E7" w:rsidRDefault="00026371" w:rsidP="00026371">
            <w:pPr>
              <w:pStyle w:val="normal-p"/>
              <w:numPr>
                <w:ilvl w:val="0"/>
                <w:numId w:val="30"/>
              </w:numPr>
              <w:tabs>
                <w:tab w:val="left" w:pos="317"/>
              </w:tabs>
              <w:spacing w:before="0" w:beforeAutospacing="0" w:after="0" w:afterAutospacing="0"/>
              <w:ind w:left="33" w:firstLine="0"/>
              <w:jc w:val="both"/>
              <w:rPr>
                <w:rFonts w:eastAsia="Calibri"/>
              </w:rPr>
            </w:pPr>
            <w:r w:rsidRPr="00B442E7">
              <w:t>Aprašo</w:t>
            </w:r>
            <w:r w:rsidRPr="00B442E7">
              <w:rPr>
                <w:b/>
              </w:rPr>
              <w:t xml:space="preserve"> </w:t>
            </w:r>
            <w:r w:rsidRPr="00B442E7">
              <w:t xml:space="preserve">29.3.4. punkte numatyta, kad: „Jeigu, įgyvendinant Aprašo 11 punkte nustatytą būtinąją sąlygą bus </w:t>
            </w:r>
            <w:r w:rsidRPr="00B442E7">
              <w:rPr>
                <w:rFonts w:eastAsia="Calibri"/>
              </w:rPr>
              <w:t xml:space="preserve">vykdomi tvarkomieji statybos darbai, pareiškėjas (partneris) privalo turėti statinio projektą, parengtą ir patvirtintą vadovaujantis Statybos techninio reglamento STR 1.04.04:2017 „Statinio projektavimas, projekto ekspertizė“, patvirtinto Lietuvos Respublikos aplinkos ministro 2016 m. lapkričio 7 d. įsakymu Nr. D1-738 „Dėl statybos techninio reglamento STR1.04.04:2017 „Statinio projektavimas, projekto ekspertizė“ patvirtinimo“ </w:t>
            </w:r>
            <w:r w:rsidRPr="00B442E7">
              <w:rPr>
                <w:bCs/>
              </w:rPr>
              <w:t xml:space="preserve">(toliau – </w:t>
            </w:r>
            <w:r w:rsidRPr="00B442E7">
              <w:rPr>
                <w:rFonts w:eastAsia="Calibri"/>
              </w:rPr>
              <w:t>STR 1.04.04:2017 „Statinio projektavimas, projekto ekspertizė“) nustatyta tvarka. Patvirtintame statybos projekte privalo būti parengta statybos skaičiuojamosios kainos nustatymo dalis. Jeigu teikiamas statybos projektas, kurio sudėtinė dalis yra tvarkybos darbų projektas, skaičiuojamosios kainos nustatymo dalys tvarkomiesiems statybos darbams ir tvarkybos darbams turi būti aiškiai atskirtos“.</w:t>
            </w:r>
          </w:p>
          <w:p w:rsidR="00026371" w:rsidRDefault="00026371" w:rsidP="00026371">
            <w:pPr>
              <w:pStyle w:val="normal-p"/>
              <w:spacing w:before="0" w:beforeAutospacing="0" w:after="0" w:afterAutospacing="0"/>
              <w:ind w:firstLine="459"/>
              <w:jc w:val="both"/>
              <w:rPr>
                <w:rFonts w:eastAsia="Calibri"/>
              </w:rPr>
            </w:pPr>
            <w:r w:rsidRPr="00B442E7">
              <w:rPr>
                <w:rFonts w:eastAsia="Calibri"/>
              </w:rPr>
              <w:t xml:space="preserve">Pažymime, kad taikant šį Aprašo punktą ir vėlgi susidaro situacija, kad valstybei nuosavybės teise panaudos </w:t>
            </w:r>
            <w:r>
              <w:rPr>
                <w:rFonts w:eastAsia="Calibri"/>
              </w:rPr>
              <w:t xml:space="preserve">(nuomos) </w:t>
            </w:r>
            <w:r w:rsidRPr="00B442E7">
              <w:rPr>
                <w:rFonts w:eastAsia="Calibri"/>
              </w:rPr>
              <w:t xml:space="preserve">pagrindais priklausantį turtą valdantys pareiškėjai (ypač tie, kurie valdo netinkamą pagal paskirtį naudoti turtą) atsiduria kur kas nepalankesnėje padėtyje nei pareiškėjai, kuriems toks turtas priklauso nuosavybės teise. Nuosavybės teise turtą valdantys pareiškėjai, vykdantys jame įvairias veiklas, paprastai turi galimybių iš savų ar skolintų lėšų finansuoti statinio projektą. Net jei, konkurso nelaimėtų, ir vėliau projektavimo išlaidos nebūtų finansuotos iš Priemonės lėšų, tokie pareiškėjai parengtų jiems priklausančio statinio projektą, taip investuodami į savo asmeninę nuosavybę. Tačiau pareiškėjai, valdantys panaudos </w:t>
            </w:r>
            <w:r>
              <w:rPr>
                <w:rFonts w:eastAsia="Calibri"/>
              </w:rPr>
              <w:t xml:space="preserve">(nuomos) </w:t>
            </w:r>
            <w:r w:rsidRPr="00B442E7">
              <w:rPr>
                <w:rFonts w:eastAsia="Calibri"/>
              </w:rPr>
              <w:t xml:space="preserve">pagrindais valstybės turtą, iš savo lėšų parengę statinio projektą, o vėliau nelaimėję konkurso, patirtų didelius nuostolius. Be to, ne visi valstybės turtą valdantys, ūkinės – komercinės veiklos nevykdantys pareiškėjai turi galimybę tokias lėšas turėti ar jas skolintis. </w:t>
            </w:r>
          </w:p>
          <w:p w:rsidR="00026371" w:rsidRPr="00B442E7" w:rsidRDefault="00026371" w:rsidP="00026371">
            <w:pPr>
              <w:pStyle w:val="normal-p"/>
              <w:spacing w:before="0" w:beforeAutospacing="0" w:after="0" w:afterAutospacing="0"/>
              <w:ind w:firstLine="459"/>
              <w:jc w:val="both"/>
            </w:pPr>
            <w:r w:rsidRPr="00B442E7">
              <w:rPr>
                <w:rFonts w:eastAsia="Calibri"/>
              </w:rPr>
              <w:t>Visiškai n</w:t>
            </w:r>
            <w:r w:rsidRPr="00B442E7">
              <w:t>eaišku dėl kokių priežasčių yra apsunkinami pareiškėjai reikalavimu turėti statinio projektą paraiškos, dalyvauti konkursinėje priemonėje, teikimo momentu. Manome, kad pilnai pakankama teikiant tokią paraišką turėti statinio projektinius pasiūlymus.</w:t>
            </w:r>
            <w:r w:rsidRPr="00B442E7">
              <w:rPr>
                <w:color w:val="F79646" w:themeColor="accent6"/>
              </w:rPr>
              <w:t xml:space="preserve"> </w:t>
            </w:r>
            <w:r w:rsidRPr="004B65CC">
              <w:t xml:space="preserve">Projektiniuose pasiūlymuose yra pilnai paskaičiuojama reikalinga finansuoti suma. </w:t>
            </w:r>
            <w:r w:rsidRPr="00B442E7">
              <w:t xml:space="preserve">Projekto įgyvendinimo (visų darbų pagal paraišką atlikimo) terminas yra iki 2021 m. gruodžio 31 d. Šio termino pilnai pakanka gavus </w:t>
            </w:r>
            <w:r w:rsidRPr="00B442E7">
              <w:lastRenderedPageBreak/>
              <w:t xml:space="preserve">finansavimą atlikti projektavimą ir darbus pagal projektą. Reikalavimas turėti projektą iš karto – perteklinis, nebūtinas. Be to, ši priemonė konkursinė. Todėl dalis pareiškėjų, kurie atliks projektinius pasiūlymus iš savų ar skolintų lėšų, o vėliau nelaimės konkurso, atsidurs itin neigiamoje padėtyje, nes jie išleis lėšas veltui, nes nelaimėję konkurso negalės ne tik, kad susigrąžinti išleistas lėšas, bet ir aplamai atstatyti pastatų. Rengiant projektus, kai jau yra laimėtas konkursas, bus aišku, kad tai daroma ne veltui, lėšos naudojamos kryptingai ir tiksliai. Ypač tai aktualu pareiškėjams, valdantiems valstybės turtą panaudos (nuomos) pagrindais. Tokius pastatus tokie pareiškėjai grąžins valstybei, todėl nuosavos lėšos išleistos projektavimo darbams, kurios nelaimėjus konkurso nebus grąžintos, bus panaudotos pažeidžiant tokių valdytojų teises ir teisėtus lūkesčius. Tokie valdytojai patirs nuostolius, nes išleis lėšas, siekdami rezultato, kurio nelaimėję konkurso, nepasieks. Jei tokias lėšas skolinsis ir vėliau konkurso nelaimės, atsidurs dar nepalankesnėje situacijoje. Manome, kad reikalavimas teikiant paraišką jau turėti parengtą statinio projektą yra tinkamas valstybės ar regiono būdu planuojamų priemonių atveju, nes tokiems pareiškėjams žinoma, kad priemonė bus įgyvendinama. </w:t>
            </w:r>
            <w:r w:rsidRPr="004B65CC">
              <w:rPr>
                <w:b/>
              </w:rPr>
              <w:t>Tačiau, kaip jau buvo minėta, konkursinės priemonės atveju toks reikalavimas yra ne tik, kad perteklinis, bet ir prieštarauja protingumo, teisingumo ir proporcingumo principams.</w:t>
            </w:r>
          </w:p>
        </w:tc>
        <w:tc>
          <w:tcPr>
            <w:tcW w:w="5880" w:type="dxa"/>
            <w:shd w:val="clear" w:color="auto" w:fill="FFFFFF" w:themeFill="background1"/>
          </w:tcPr>
          <w:p w:rsidR="00026371" w:rsidRPr="00026371" w:rsidRDefault="00026371" w:rsidP="00026371">
            <w:pPr>
              <w:shd w:val="clear" w:color="auto" w:fill="FFFFFF" w:themeFill="background1"/>
              <w:spacing w:after="0" w:line="240" w:lineRule="auto"/>
              <w:jc w:val="both"/>
              <w:rPr>
                <w:rFonts w:ascii="Times New Roman" w:hAnsi="Times New Roman"/>
                <w:b/>
                <w:sz w:val="24"/>
                <w:szCs w:val="24"/>
              </w:rPr>
            </w:pPr>
            <w:r>
              <w:rPr>
                <w:rFonts w:ascii="Times New Roman" w:hAnsi="Times New Roman"/>
                <w:b/>
                <w:sz w:val="24"/>
                <w:szCs w:val="24"/>
              </w:rPr>
              <w:lastRenderedPageBreak/>
              <w:t>Neatsižvelgta.</w:t>
            </w:r>
          </w:p>
          <w:p w:rsidR="00D31BC8" w:rsidRDefault="00B1418F" w:rsidP="00026371">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 xml:space="preserve">Informuojame, kad </w:t>
            </w:r>
            <w:r w:rsidR="00D31BC8">
              <w:rPr>
                <w:rFonts w:ascii="Times New Roman" w:hAnsi="Times New Roman"/>
                <w:sz w:val="24"/>
                <w:szCs w:val="24"/>
              </w:rPr>
              <w:t>a</w:t>
            </w:r>
            <w:r w:rsidRPr="00D1057B">
              <w:rPr>
                <w:rFonts w:ascii="Times New Roman" w:hAnsi="Times New Roman"/>
                <w:sz w:val="24"/>
                <w:szCs w:val="24"/>
              </w:rPr>
              <w:t>tsižvelg</w:t>
            </w:r>
            <w:r w:rsidR="00D31BC8">
              <w:rPr>
                <w:rFonts w:ascii="Times New Roman" w:hAnsi="Times New Roman"/>
                <w:sz w:val="24"/>
                <w:szCs w:val="24"/>
              </w:rPr>
              <w:t xml:space="preserve">dama į tai, jog pagal Aprašą yra </w:t>
            </w:r>
            <w:r w:rsidR="00D31BC8" w:rsidRPr="00D1057B">
              <w:rPr>
                <w:rFonts w:ascii="Times New Roman" w:hAnsi="Times New Roman"/>
                <w:sz w:val="24"/>
                <w:szCs w:val="24"/>
              </w:rPr>
              <w:t xml:space="preserve">finansuojami skirtingo pobūdžio </w:t>
            </w:r>
            <w:r w:rsidR="008D4D77">
              <w:rPr>
                <w:rFonts w:ascii="Times New Roman" w:hAnsi="Times New Roman"/>
                <w:sz w:val="24"/>
                <w:szCs w:val="24"/>
              </w:rPr>
              <w:t>projektai</w:t>
            </w:r>
            <w:r w:rsidR="00D31BC8" w:rsidRPr="00D1057B">
              <w:rPr>
                <w:rFonts w:ascii="Times New Roman" w:hAnsi="Times New Roman"/>
                <w:sz w:val="24"/>
                <w:szCs w:val="24"/>
              </w:rPr>
              <w:t>, t.y., projekto lėšomis sutvarkytame kultūros paveldo objekte gali būti teikiamos tiek viešosios, tiek komercinės paslaugos</w:t>
            </w:r>
            <w:r w:rsidR="008D4D77">
              <w:rPr>
                <w:rFonts w:ascii="Times New Roman" w:hAnsi="Times New Roman"/>
                <w:sz w:val="24"/>
                <w:szCs w:val="24"/>
              </w:rPr>
              <w:t xml:space="preserve">, taip pat į tai, kad </w:t>
            </w:r>
            <w:r w:rsidR="008D4D77" w:rsidRPr="00D1057B">
              <w:rPr>
                <w:rFonts w:ascii="Times New Roman" w:hAnsi="Times New Roman"/>
                <w:sz w:val="24"/>
                <w:szCs w:val="24"/>
              </w:rPr>
              <w:t>viešieji ir privatūs juridiniai asmenys nėra lygiaverčiai konkurentai taikant tam tikrus prioritetinius projektų atrankos kriterijus, pvz., viešieji ir privatūs subjektai turi skirtingas galimybes prisidėti nuosavu indėliu (pvz., ne visos viešojo sektoriaus įstaigos turi teisę gauti paskolą), taip pat  viešojo sektoriaus pareiškėjai turi labai ribotas galimybes  prisidėti prie projekto įgyvendinimo privačiomis investicijomis (t.y. ne valstybės ar savivaldybės biudžeto lėšomis)</w:t>
            </w:r>
            <w:r w:rsidR="008D4D77">
              <w:rPr>
                <w:rFonts w:ascii="Times New Roman" w:hAnsi="Times New Roman"/>
                <w:sz w:val="24"/>
                <w:szCs w:val="24"/>
              </w:rPr>
              <w:t>, KM,</w:t>
            </w:r>
            <w:r w:rsidR="008D4D77" w:rsidRPr="00D1057B">
              <w:rPr>
                <w:rFonts w:ascii="Times New Roman" w:hAnsi="Times New Roman"/>
                <w:sz w:val="24"/>
                <w:szCs w:val="24"/>
              </w:rPr>
              <w:t xml:space="preserve"> siek</w:t>
            </w:r>
            <w:r w:rsidR="008D4D77">
              <w:rPr>
                <w:rFonts w:ascii="Times New Roman" w:hAnsi="Times New Roman"/>
                <w:sz w:val="24"/>
                <w:szCs w:val="24"/>
              </w:rPr>
              <w:t>dama</w:t>
            </w:r>
            <w:r w:rsidR="008D4D77" w:rsidRPr="00D1057B">
              <w:rPr>
                <w:rFonts w:ascii="Times New Roman" w:hAnsi="Times New Roman"/>
                <w:sz w:val="24"/>
                <w:szCs w:val="24"/>
              </w:rPr>
              <w:t xml:space="preserve"> užtikrinti lygiateisiškumo principo laikymąsi visoms pagal šią priemonę teikiamoms paraiškoms</w:t>
            </w:r>
            <w:r w:rsidR="008D4D77">
              <w:rPr>
                <w:rFonts w:ascii="Times New Roman" w:hAnsi="Times New Roman"/>
                <w:sz w:val="24"/>
                <w:szCs w:val="24"/>
              </w:rPr>
              <w:t>,</w:t>
            </w:r>
            <w:r w:rsidR="008D4D77" w:rsidRPr="00D1057B">
              <w:rPr>
                <w:rFonts w:ascii="Times New Roman" w:hAnsi="Times New Roman"/>
                <w:sz w:val="24"/>
                <w:szCs w:val="24"/>
              </w:rPr>
              <w:t xml:space="preserve"> atskyrė Apraše kvietimus teikti paraiškas pagal skirtingą </w:t>
            </w:r>
            <w:r w:rsidR="00EB5707">
              <w:rPr>
                <w:rFonts w:ascii="Times New Roman" w:hAnsi="Times New Roman"/>
                <w:sz w:val="24"/>
                <w:szCs w:val="24"/>
              </w:rPr>
              <w:t>po projekto pabaigos numatomą teikti</w:t>
            </w:r>
            <w:r w:rsidR="008D4D77">
              <w:rPr>
                <w:rFonts w:ascii="Times New Roman" w:hAnsi="Times New Roman"/>
                <w:sz w:val="24"/>
                <w:szCs w:val="24"/>
              </w:rPr>
              <w:t xml:space="preserve"> paslaugų</w:t>
            </w:r>
            <w:r w:rsidR="008D4D77" w:rsidRPr="00D1057B">
              <w:rPr>
                <w:rFonts w:ascii="Times New Roman" w:hAnsi="Times New Roman"/>
                <w:sz w:val="24"/>
                <w:szCs w:val="24"/>
              </w:rPr>
              <w:t xml:space="preserve"> pobūdį</w:t>
            </w:r>
            <w:r w:rsidR="008D4D77">
              <w:rPr>
                <w:rFonts w:ascii="Times New Roman" w:hAnsi="Times New Roman"/>
                <w:sz w:val="24"/>
                <w:szCs w:val="24"/>
              </w:rPr>
              <w:t xml:space="preserve"> – viešosio</w:t>
            </w:r>
            <w:r w:rsidR="00EB5707">
              <w:rPr>
                <w:rFonts w:ascii="Times New Roman" w:hAnsi="Times New Roman"/>
                <w:sz w:val="24"/>
                <w:szCs w:val="24"/>
              </w:rPr>
              <w:t>s</w:t>
            </w:r>
            <w:r w:rsidR="008D4D77">
              <w:rPr>
                <w:rFonts w:ascii="Times New Roman" w:hAnsi="Times New Roman"/>
                <w:sz w:val="24"/>
                <w:szCs w:val="24"/>
              </w:rPr>
              <w:t xml:space="preserve"> </w:t>
            </w:r>
            <w:r w:rsidR="00EB5707">
              <w:rPr>
                <w:rFonts w:ascii="Times New Roman" w:hAnsi="Times New Roman"/>
                <w:sz w:val="24"/>
                <w:szCs w:val="24"/>
              </w:rPr>
              <w:t>arba</w:t>
            </w:r>
            <w:r w:rsidR="008D4D77">
              <w:rPr>
                <w:rFonts w:ascii="Times New Roman" w:hAnsi="Times New Roman"/>
                <w:sz w:val="24"/>
                <w:szCs w:val="24"/>
              </w:rPr>
              <w:t xml:space="preserve"> ne viešosio</w:t>
            </w:r>
            <w:r w:rsidR="00EB5707">
              <w:rPr>
                <w:rFonts w:ascii="Times New Roman" w:hAnsi="Times New Roman"/>
                <w:sz w:val="24"/>
                <w:szCs w:val="24"/>
              </w:rPr>
              <w:t>s paslaugo</w:t>
            </w:r>
            <w:r w:rsidR="008D4D77">
              <w:rPr>
                <w:rFonts w:ascii="Times New Roman" w:hAnsi="Times New Roman"/>
                <w:sz w:val="24"/>
                <w:szCs w:val="24"/>
              </w:rPr>
              <w:t>s. Todėl papildomai diferencijuoti pareiškėjus,</w:t>
            </w:r>
            <w:r w:rsidR="008D4D77" w:rsidRPr="008D4D77">
              <w:rPr>
                <w:rFonts w:ascii="Times New Roman" w:hAnsi="Times New Roman"/>
                <w:sz w:val="24"/>
                <w:szCs w:val="24"/>
              </w:rPr>
              <w:t xml:space="preserve"> kurie, įgyvendinant Aprašo 11 punkto nuostatą, po projekto įgyvendinimo teiks viešąją paslaugą, nemato pagrindo.</w:t>
            </w:r>
          </w:p>
          <w:p w:rsidR="00EB5707" w:rsidRDefault="008D4D77" w:rsidP="00EB5707">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 xml:space="preserve">Atkreiptinas dėmesys, kad Priemonė yra įgyvendinama konkurso būdu, todėl </w:t>
            </w:r>
            <w:r w:rsidRPr="00D1057B">
              <w:rPr>
                <w:rFonts w:ascii="Times New Roman" w:hAnsi="Times New Roman"/>
                <w:sz w:val="24"/>
                <w:szCs w:val="24"/>
              </w:rPr>
              <w:t>pagal Aprašą galimų pareiškėjų varžymasis yra neišvengiama konkursinės priemonės įgyvendinimo proceso dalis, o didesnė konkurencija skatina pareiškėjus kokybiškiau rengti projektus</w:t>
            </w:r>
            <w:r w:rsidR="00FA46EC">
              <w:rPr>
                <w:rFonts w:ascii="Times New Roman" w:hAnsi="Times New Roman"/>
                <w:sz w:val="24"/>
                <w:szCs w:val="24"/>
              </w:rPr>
              <w:t xml:space="preserve">. </w:t>
            </w:r>
            <w:r w:rsidR="00F5007A">
              <w:rPr>
                <w:rFonts w:ascii="Times New Roman" w:hAnsi="Times New Roman"/>
                <w:sz w:val="24"/>
                <w:szCs w:val="24"/>
              </w:rPr>
              <w:t>KM sutinka, kad konkurse gali dalyvauti skirtingo pajėgumo pareiškėjai, tačiau pagal jų finansinį pasirengimą sudaryti skirtingas sąlygas dalyvauti konkurse, KM manymu,</w:t>
            </w:r>
            <w:r w:rsidR="00EB5707">
              <w:rPr>
                <w:rFonts w:ascii="Times New Roman" w:hAnsi="Times New Roman"/>
                <w:sz w:val="24"/>
                <w:szCs w:val="24"/>
              </w:rPr>
              <w:t xml:space="preserve"> pažeistų lygiateisiškumo, </w:t>
            </w:r>
            <w:r w:rsidR="00EB5707" w:rsidRPr="00EB5707">
              <w:rPr>
                <w:rFonts w:ascii="Times New Roman" w:hAnsi="Times New Roman"/>
                <w:sz w:val="24"/>
                <w:szCs w:val="24"/>
              </w:rPr>
              <w:t>nediskriminavimo</w:t>
            </w:r>
            <w:r w:rsidR="00EB5707">
              <w:rPr>
                <w:rFonts w:ascii="Times New Roman" w:hAnsi="Times New Roman"/>
                <w:sz w:val="24"/>
                <w:szCs w:val="24"/>
              </w:rPr>
              <w:t xml:space="preserve"> ir </w:t>
            </w:r>
            <w:r w:rsidR="00EB5707" w:rsidRPr="00EB5707">
              <w:rPr>
                <w:rFonts w:ascii="Times New Roman" w:hAnsi="Times New Roman"/>
                <w:sz w:val="24"/>
                <w:szCs w:val="24"/>
              </w:rPr>
              <w:t>vienodų sąlygų taikymo principai</w:t>
            </w:r>
            <w:r w:rsidR="00EB5707">
              <w:rPr>
                <w:rFonts w:ascii="Times New Roman" w:hAnsi="Times New Roman"/>
                <w:sz w:val="24"/>
                <w:szCs w:val="24"/>
              </w:rPr>
              <w:t xml:space="preserve">, nustatyti </w:t>
            </w:r>
            <w:r w:rsidR="00EB5707" w:rsidRPr="00EB5707">
              <w:rPr>
                <w:rFonts w:ascii="Times New Roman" w:hAnsi="Times New Roman"/>
                <w:sz w:val="24"/>
                <w:szCs w:val="24"/>
              </w:rPr>
              <w:t>Europos Sąjungos fondų investicijų veiksmų programos administravimo taisyklių</w:t>
            </w:r>
            <w:r w:rsidR="00EB5707">
              <w:rPr>
                <w:rFonts w:ascii="Times New Roman" w:hAnsi="Times New Roman"/>
                <w:sz w:val="24"/>
                <w:szCs w:val="24"/>
              </w:rPr>
              <w:t xml:space="preserve">, patvirtintų </w:t>
            </w:r>
            <w:r w:rsidR="00EB5707" w:rsidRPr="00EB5707">
              <w:rPr>
                <w:rFonts w:ascii="Times New Roman" w:hAnsi="Times New Roman"/>
                <w:sz w:val="24"/>
                <w:szCs w:val="24"/>
              </w:rPr>
              <w:t>Lietuvos Respublikos Vyriausybės 2014 m. spalio 3 d. nutarim</w:t>
            </w:r>
            <w:r w:rsidR="00EB5707">
              <w:rPr>
                <w:rFonts w:ascii="Times New Roman" w:hAnsi="Times New Roman"/>
                <w:sz w:val="24"/>
                <w:szCs w:val="24"/>
              </w:rPr>
              <w:t>u</w:t>
            </w:r>
            <w:r w:rsidR="00EB5707" w:rsidRPr="00EB5707">
              <w:rPr>
                <w:rFonts w:ascii="Times New Roman" w:hAnsi="Times New Roman"/>
                <w:sz w:val="24"/>
                <w:szCs w:val="24"/>
              </w:rPr>
              <w:t xml:space="preserve"> Nr. 1090</w:t>
            </w:r>
          </w:p>
          <w:p w:rsidR="00FA46EC" w:rsidRDefault="00FA46EC" w:rsidP="00026371">
            <w:pPr>
              <w:shd w:val="clear" w:color="auto" w:fill="FFFFFF" w:themeFill="background1"/>
              <w:spacing w:after="0" w:line="240" w:lineRule="auto"/>
              <w:jc w:val="both"/>
              <w:rPr>
                <w:rFonts w:ascii="Times New Roman" w:hAnsi="Times New Roman"/>
                <w:sz w:val="24"/>
                <w:szCs w:val="24"/>
              </w:rPr>
            </w:pPr>
          </w:p>
          <w:p w:rsidR="00CA4039" w:rsidRPr="00CA4039" w:rsidRDefault="008D4D77" w:rsidP="00824AA2">
            <w:pPr>
              <w:shd w:val="clear" w:color="auto" w:fill="FFFFFF" w:themeFill="background1"/>
              <w:spacing w:after="0" w:line="240" w:lineRule="auto"/>
              <w:jc w:val="both"/>
            </w:pPr>
            <w:r>
              <w:rPr>
                <w:rFonts w:ascii="Times New Roman" w:hAnsi="Times New Roman"/>
                <w:sz w:val="24"/>
                <w:szCs w:val="24"/>
              </w:rPr>
              <w:lastRenderedPageBreak/>
              <w:t>Dėl siūl</w:t>
            </w:r>
            <w:r w:rsidR="00F5007A">
              <w:rPr>
                <w:rFonts w:ascii="Times New Roman" w:hAnsi="Times New Roman"/>
                <w:sz w:val="24"/>
                <w:szCs w:val="24"/>
              </w:rPr>
              <w:t>ymo vietoj reikalaujamo techninio projekto leisti pateikti projektinį</w:t>
            </w:r>
            <w:r>
              <w:rPr>
                <w:rFonts w:ascii="Times New Roman" w:hAnsi="Times New Roman"/>
                <w:sz w:val="24"/>
                <w:szCs w:val="24"/>
              </w:rPr>
              <w:t xml:space="preserve"> pasiūlym</w:t>
            </w:r>
            <w:r w:rsidR="00F5007A">
              <w:rPr>
                <w:rFonts w:ascii="Times New Roman" w:hAnsi="Times New Roman"/>
                <w:sz w:val="24"/>
                <w:szCs w:val="24"/>
              </w:rPr>
              <w:t xml:space="preserve">ą pažymime, kad </w:t>
            </w:r>
            <w:r w:rsidR="00824AA2">
              <w:rPr>
                <w:rFonts w:ascii="Times New Roman" w:hAnsi="Times New Roman"/>
                <w:sz w:val="24"/>
                <w:szCs w:val="24"/>
              </w:rPr>
              <w:t>KM</w:t>
            </w:r>
            <w:r w:rsidR="00F5007A" w:rsidRPr="00F5007A">
              <w:rPr>
                <w:rFonts w:ascii="Times New Roman" w:hAnsi="Times New Roman"/>
                <w:sz w:val="24"/>
                <w:szCs w:val="24"/>
              </w:rPr>
              <w:t xml:space="preserve">, siekdama pareiškėjams sumažinti administracinę naštą, </w:t>
            </w:r>
            <w:r w:rsidR="00824AA2" w:rsidRPr="00F5007A">
              <w:rPr>
                <w:rFonts w:ascii="Times New Roman" w:hAnsi="Times New Roman"/>
                <w:sz w:val="24"/>
                <w:szCs w:val="24"/>
              </w:rPr>
              <w:t xml:space="preserve">pagal Aprašą </w:t>
            </w:r>
            <w:r w:rsidR="00F5007A" w:rsidRPr="00F5007A">
              <w:rPr>
                <w:rFonts w:ascii="Times New Roman" w:hAnsi="Times New Roman"/>
                <w:sz w:val="24"/>
                <w:szCs w:val="24"/>
              </w:rPr>
              <w:t>rengiant finansuojamus projektus, ieškojo būdų įgyvendinti minėtą reikalavimą, tačiau, atsižvelgdama į aktualius rangos darbus reglamentuojančius nacionalinius teisės aktus bei įvertinusi rizikas, kylančias iš projektų parengtumo reikalavimų sumažinimo, alternatyvų techniniam projektui nerado. Pažymime, kad paraiškos vertinimo metu be techninio projekto iš esmės tampa neįmanoma nustatyti projekto tinkamų ir netinkamų finansuoti išlaidų sumos, įvertinti projekto veiklų atitiktį Apraše nustatytoms tinkamoms finansuoti veikloms (techniniame projekte nurodyti darbai atitinka pagal Aprašą leidžiamas įgyvendinti veiklas), nustatyti, kokia yra bendra projekte numatytų vykdyti darbų bei tvarkybos darbų atskirai vertė bei atskirti kultūros paveldo objekto tvarkybos darbus (tinkamų finansuoti pagal Aprašą) nuo tvarkomųjų statybos darbų (netinkamų finansuoti pagal Aprašą). Be to, neturint minėtos informacijos, neįmanoma įsitikinti ir tinkamai įvertinti paraiškų pagal prioritetinius projektų atrankos kriterijus bei suteikti prioritetinius balus</w:t>
            </w:r>
            <w:r w:rsidR="00824AA2">
              <w:rPr>
                <w:rFonts w:ascii="Times New Roman" w:hAnsi="Times New Roman"/>
                <w:sz w:val="24"/>
                <w:szCs w:val="24"/>
              </w:rPr>
              <w:t>.</w:t>
            </w:r>
          </w:p>
        </w:tc>
      </w:tr>
      <w:tr w:rsidR="00486FA0" w:rsidRPr="004A1B88" w:rsidTr="00E110AD">
        <w:tc>
          <w:tcPr>
            <w:tcW w:w="2235" w:type="dxa"/>
            <w:tcBorders>
              <w:top w:val="nil"/>
              <w:bottom w:val="single" w:sz="4" w:space="0" w:color="auto"/>
            </w:tcBorders>
            <w:shd w:val="clear" w:color="auto" w:fill="FFFFFF" w:themeFill="background1"/>
          </w:tcPr>
          <w:p w:rsidR="00486FA0" w:rsidRPr="00A9166A" w:rsidRDefault="00486FA0" w:rsidP="000D7884">
            <w:pPr>
              <w:pStyle w:val="ListParagraph"/>
              <w:shd w:val="clear" w:color="auto" w:fill="FFFFFF" w:themeFill="background1"/>
              <w:tabs>
                <w:tab w:val="left" w:pos="284"/>
              </w:tabs>
              <w:spacing w:after="0"/>
              <w:ind w:left="0"/>
              <w:rPr>
                <w:rFonts w:ascii="Times New Roman" w:hAnsi="Times New Roman"/>
                <w:b/>
                <w:sz w:val="24"/>
                <w:szCs w:val="24"/>
              </w:rPr>
            </w:pPr>
          </w:p>
        </w:tc>
        <w:tc>
          <w:tcPr>
            <w:tcW w:w="7229" w:type="dxa"/>
            <w:tcBorders>
              <w:bottom w:val="single" w:sz="4" w:space="0" w:color="auto"/>
            </w:tcBorders>
            <w:shd w:val="clear" w:color="auto" w:fill="FFFFFF" w:themeFill="background1"/>
          </w:tcPr>
          <w:p w:rsidR="00824AA2" w:rsidRPr="00B442E7" w:rsidRDefault="00824AA2" w:rsidP="00824AA2">
            <w:pPr>
              <w:pStyle w:val="normal-p"/>
              <w:numPr>
                <w:ilvl w:val="0"/>
                <w:numId w:val="30"/>
              </w:numPr>
              <w:tabs>
                <w:tab w:val="left" w:pos="317"/>
              </w:tabs>
              <w:spacing w:before="0" w:beforeAutospacing="0" w:after="0" w:afterAutospacing="0"/>
              <w:ind w:left="33" w:firstLine="0"/>
              <w:jc w:val="both"/>
            </w:pPr>
            <w:r w:rsidRPr="00B442E7">
              <w:t xml:space="preserve">Aprašo 35 punkte numatyta, kad „Didžiausia projektui galima skirti finansavimo lėšų suma yra 700 000,00 eurų (septyni šimtai tūkstančių eurų)“. </w:t>
            </w:r>
          </w:p>
          <w:p w:rsidR="00486FA0" w:rsidRPr="00B442E7" w:rsidRDefault="00824AA2" w:rsidP="00824AA2">
            <w:pPr>
              <w:pStyle w:val="normal-p"/>
              <w:tabs>
                <w:tab w:val="left" w:pos="317"/>
              </w:tabs>
              <w:spacing w:before="0" w:beforeAutospacing="0" w:after="0" w:afterAutospacing="0"/>
              <w:ind w:left="33"/>
              <w:jc w:val="both"/>
            </w:pPr>
            <w:r w:rsidRPr="00B442E7">
              <w:t>Įvertinus kultūros paveldo objektų statybos darbų rinkos kainas, manome, kad ši suma yra pakankama finansuojant išimtinai tik tvarkybos darbus, tačiau jei būtų nutarta pakeisti Aprašo 11 punktą ir finansuoti ne tik tvarkybos, bet ir statybos</w:t>
            </w:r>
            <w:r>
              <w:t xml:space="preserve"> (kapitalinio remonto) </w:t>
            </w:r>
            <w:r w:rsidRPr="00B442E7">
              <w:t>darbus, didžiausią projektui galimą skirti finansavimo sumą tikslinga būtų atitinkamai padidinti.</w:t>
            </w:r>
          </w:p>
        </w:tc>
        <w:tc>
          <w:tcPr>
            <w:tcW w:w="5880" w:type="dxa"/>
            <w:shd w:val="clear" w:color="auto" w:fill="FFFFFF" w:themeFill="background1"/>
          </w:tcPr>
          <w:p w:rsidR="00486FA0" w:rsidRDefault="00824AA2" w:rsidP="00026371">
            <w:pPr>
              <w:shd w:val="clear" w:color="auto" w:fill="FFFFFF" w:themeFill="background1"/>
              <w:spacing w:after="0" w:line="240" w:lineRule="auto"/>
              <w:jc w:val="both"/>
              <w:rPr>
                <w:rFonts w:ascii="Times New Roman" w:hAnsi="Times New Roman"/>
                <w:sz w:val="24"/>
                <w:szCs w:val="24"/>
              </w:rPr>
            </w:pPr>
            <w:r>
              <w:rPr>
                <w:rFonts w:ascii="Times New Roman" w:hAnsi="Times New Roman"/>
                <w:b/>
                <w:sz w:val="24"/>
                <w:szCs w:val="24"/>
              </w:rPr>
              <w:t>A</w:t>
            </w:r>
            <w:r w:rsidRPr="00921F28">
              <w:rPr>
                <w:rFonts w:ascii="Times New Roman" w:hAnsi="Times New Roman"/>
                <w:b/>
                <w:sz w:val="24"/>
                <w:szCs w:val="24"/>
              </w:rPr>
              <w:t>tsižvelgta</w:t>
            </w:r>
            <w:r>
              <w:rPr>
                <w:rFonts w:ascii="Times New Roman" w:hAnsi="Times New Roman"/>
                <w:b/>
                <w:sz w:val="24"/>
                <w:szCs w:val="24"/>
              </w:rPr>
              <w:t>.</w:t>
            </w:r>
          </w:p>
          <w:p w:rsidR="00824AA2" w:rsidRPr="00824AA2" w:rsidRDefault="00824AA2" w:rsidP="00824AA2">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 xml:space="preserve">Aprašo </w:t>
            </w:r>
            <w:r w:rsidRPr="00824AA2">
              <w:rPr>
                <w:rFonts w:ascii="Times New Roman" w:hAnsi="Times New Roman"/>
                <w:sz w:val="24"/>
                <w:szCs w:val="24"/>
              </w:rPr>
              <w:t>35.2 papunktyje nustatyta, kad pagal Aprašo 9.2 papunktyje nurodytą antrąjį kvietimą</w:t>
            </w:r>
            <w:r>
              <w:rPr>
                <w:rFonts w:ascii="Times New Roman" w:hAnsi="Times New Roman"/>
                <w:sz w:val="24"/>
                <w:szCs w:val="24"/>
              </w:rPr>
              <w:t xml:space="preserve"> (t. y. </w:t>
            </w:r>
            <w:r w:rsidRPr="00824AA2">
              <w:rPr>
                <w:rFonts w:ascii="Times New Roman" w:hAnsi="Times New Roman"/>
                <w:sz w:val="24"/>
                <w:szCs w:val="24"/>
              </w:rPr>
              <w:t>(pareiškėjams, kuriems, įgyvendinant Aprašo 11 punkto nuostatą, po projekto įgyvendinimo teiks viešąją paslaugą) didžiausia projektui galima skirti finansavimo lėšų suma yra 1 400 000,00 eurų (vienas milijonas keturi šimtai tūkstančių eurų).</w:t>
            </w:r>
          </w:p>
        </w:tc>
      </w:tr>
      <w:tr w:rsidR="005602B2" w:rsidRPr="004A1B88" w:rsidTr="005602B2">
        <w:trPr>
          <w:trHeight w:val="1550"/>
        </w:trPr>
        <w:tc>
          <w:tcPr>
            <w:tcW w:w="2235" w:type="dxa"/>
            <w:vMerge w:val="restart"/>
            <w:tcBorders>
              <w:top w:val="single" w:sz="4" w:space="0" w:color="auto"/>
            </w:tcBorders>
            <w:shd w:val="clear" w:color="auto" w:fill="FFFFFF" w:themeFill="background1"/>
          </w:tcPr>
          <w:p w:rsidR="005602B2" w:rsidRPr="0015164B" w:rsidRDefault="005602B2" w:rsidP="005602B2">
            <w:pPr>
              <w:pStyle w:val="ListParagraph"/>
              <w:shd w:val="clear" w:color="auto" w:fill="FFFFFF" w:themeFill="background1"/>
              <w:tabs>
                <w:tab w:val="left" w:pos="284"/>
              </w:tabs>
              <w:spacing w:after="0"/>
              <w:ind w:left="0"/>
              <w:rPr>
                <w:rFonts w:ascii="Times New Roman" w:hAnsi="Times New Roman"/>
                <w:b/>
                <w:sz w:val="24"/>
                <w:szCs w:val="24"/>
              </w:rPr>
            </w:pPr>
            <w:r>
              <w:rPr>
                <w:rFonts w:ascii="Times New Roman" w:hAnsi="Times New Roman"/>
                <w:b/>
                <w:sz w:val="24"/>
                <w:szCs w:val="24"/>
              </w:rPr>
              <w:lastRenderedPageBreak/>
              <w:t>2. Centrinės projektų valdymo agentūros</w:t>
            </w:r>
          </w:p>
          <w:p w:rsidR="005602B2" w:rsidRDefault="005602B2" w:rsidP="005602B2">
            <w:pPr>
              <w:pStyle w:val="ListParagraph"/>
              <w:shd w:val="clear" w:color="auto" w:fill="FFFFFF" w:themeFill="background1"/>
              <w:tabs>
                <w:tab w:val="left" w:pos="284"/>
              </w:tabs>
              <w:spacing w:after="0"/>
              <w:ind w:left="0"/>
              <w:rPr>
                <w:rFonts w:ascii="Times New Roman" w:hAnsi="Times New Roman"/>
                <w:b/>
                <w:sz w:val="24"/>
                <w:szCs w:val="24"/>
              </w:rPr>
            </w:pPr>
            <w:r w:rsidRPr="003330C2">
              <w:rPr>
                <w:rFonts w:ascii="Times New Roman" w:hAnsi="Times New Roman"/>
                <w:b/>
                <w:sz w:val="24"/>
                <w:szCs w:val="24"/>
              </w:rPr>
              <w:t>201</w:t>
            </w:r>
            <w:r>
              <w:rPr>
                <w:rFonts w:ascii="Times New Roman" w:hAnsi="Times New Roman"/>
                <w:b/>
                <w:sz w:val="24"/>
                <w:szCs w:val="24"/>
              </w:rPr>
              <w:t>8</w:t>
            </w:r>
            <w:r w:rsidRPr="003330C2">
              <w:rPr>
                <w:rFonts w:ascii="Times New Roman" w:hAnsi="Times New Roman"/>
                <w:b/>
                <w:sz w:val="24"/>
                <w:szCs w:val="24"/>
              </w:rPr>
              <w:t>-</w:t>
            </w:r>
            <w:r>
              <w:rPr>
                <w:rFonts w:ascii="Times New Roman" w:hAnsi="Times New Roman"/>
                <w:b/>
                <w:sz w:val="24"/>
                <w:szCs w:val="24"/>
              </w:rPr>
              <w:t>03</w:t>
            </w:r>
            <w:r w:rsidRPr="00A40E4D">
              <w:rPr>
                <w:rFonts w:ascii="Times New Roman" w:hAnsi="Times New Roman"/>
                <w:b/>
                <w:sz w:val="24"/>
                <w:szCs w:val="24"/>
              </w:rPr>
              <w:t>-0</w:t>
            </w:r>
            <w:r>
              <w:rPr>
                <w:rFonts w:ascii="Times New Roman" w:hAnsi="Times New Roman"/>
                <w:b/>
                <w:sz w:val="24"/>
                <w:szCs w:val="24"/>
              </w:rPr>
              <w:t>5</w:t>
            </w:r>
            <w:r w:rsidRPr="00A40E4D">
              <w:rPr>
                <w:rFonts w:ascii="Times New Roman" w:hAnsi="Times New Roman"/>
                <w:b/>
                <w:sz w:val="24"/>
                <w:szCs w:val="24"/>
              </w:rPr>
              <w:t xml:space="preserve"> </w:t>
            </w:r>
            <w:r>
              <w:rPr>
                <w:rFonts w:ascii="Times New Roman" w:hAnsi="Times New Roman"/>
                <w:b/>
                <w:sz w:val="24"/>
                <w:szCs w:val="24"/>
              </w:rPr>
              <w:t>raštas Nr. 1535</w:t>
            </w:r>
          </w:p>
        </w:tc>
        <w:tc>
          <w:tcPr>
            <w:tcW w:w="7229" w:type="dxa"/>
            <w:tcBorders>
              <w:top w:val="single" w:sz="4" w:space="0" w:color="auto"/>
              <w:bottom w:val="single" w:sz="4" w:space="0" w:color="auto"/>
            </w:tcBorders>
            <w:shd w:val="clear" w:color="auto" w:fill="FFFFFF" w:themeFill="background1"/>
          </w:tcPr>
          <w:p w:rsidR="005602B2" w:rsidRPr="0015164B" w:rsidRDefault="005602B2" w:rsidP="0015164B">
            <w:pPr>
              <w:pStyle w:val="ListParagraph"/>
              <w:numPr>
                <w:ilvl w:val="0"/>
                <w:numId w:val="29"/>
              </w:numPr>
              <w:tabs>
                <w:tab w:val="left" w:pos="345"/>
              </w:tabs>
              <w:spacing w:after="0" w:line="240" w:lineRule="auto"/>
              <w:ind w:left="33" w:firstLine="0"/>
              <w:jc w:val="both"/>
              <w:rPr>
                <w:rFonts w:ascii="Times New Roman" w:hAnsi="Times New Roman"/>
                <w:sz w:val="24"/>
                <w:szCs w:val="24"/>
              </w:rPr>
            </w:pPr>
            <w:r w:rsidRPr="0015164B">
              <w:rPr>
                <w:rFonts w:ascii="Times New Roman" w:hAnsi="Times New Roman"/>
                <w:sz w:val="24"/>
                <w:szCs w:val="24"/>
              </w:rPr>
              <w:t>Rekomenduojame patikslinti Aprašo 4.8. p. taip:</w:t>
            </w:r>
          </w:p>
          <w:p w:rsidR="005602B2" w:rsidRPr="0015164B" w:rsidRDefault="005602B2" w:rsidP="005602B2">
            <w:pPr>
              <w:tabs>
                <w:tab w:val="left" w:pos="345"/>
              </w:tabs>
              <w:spacing w:after="0" w:line="240" w:lineRule="auto"/>
              <w:ind w:left="33"/>
              <w:jc w:val="both"/>
              <w:rPr>
                <w:rFonts w:ascii="Times New Roman" w:hAnsi="Times New Roman"/>
                <w:sz w:val="24"/>
                <w:szCs w:val="24"/>
              </w:rPr>
            </w:pPr>
            <w:r w:rsidRPr="0015164B">
              <w:rPr>
                <w:rFonts w:ascii="Times New Roman" w:hAnsi="Times New Roman"/>
                <w:sz w:val="24"/>
                <w:szCs w:val="24"/>
              </w:rPr>
              <w:t>„Viešoji kultūros paslauga – valstybės ar savivaldybių kontroliuojamų juridinių asmenų vykdomos, lankytojams skirtos, kultūrinės veiklos, kaip jos apibrėžtos Reglamento (ES) Nr. 651/2014, 53 straipsnio 2 dalyje.“</w:t>
            </w:r>
          </w:p>
        </w:tc>
        <w:tc>
          <w:tcPr>
            <w:tcW w:w="5880" w:type="dxa"/>
            <w:shd w:val="clear" w:color="auto" w:fill="FFFFFF" w:themeFill="background1"/>
          </w:tcPr>
          <w:p w:rsidR="005602B2" w:rsidRDefault="005602B2" w:rsidP="00CE2867">
            <w:pPr>
              <w:shd w:val="clear" w:color="auto" w:fill="FFFFFF" w:themeFill="background1"/>
              <w:spacing w:after="0" w:line="240" w:lineRule="auto"/>
              <w:jc w:val="both"/>
              <w:rPr>
                <w:rFonts w:ascii="Times New Roman" w:hAnsi="Times New Roman"/>
                <w:b/>
                <w:sz w:val="24"/>
                <w:szCs w:val="24"/>
              </w:rPr>
            </w:pPr>
            <w:r>
              <w:rPr>
                <w:rFonts w:ascii="Times New Roman" w:hAnsi="Times New Roman"/>
                <w:b/>
                <w:sz w:val="24"/>
                <w:szCs w:val="24"/>
              </w:rPr>
              <w:t>A</w:t>
            </w:r>
            <w:r w:rsidRPr="00921F28">
              <w:rPr>
                <w:rFonts w:ascii="Times New Roman" w:hAnsi="Times New Roman"/>
                <w:b/>
                <w:sz w:val="24"/>
                <w:szCs w:val="24"/>
              </w:rPr>
              <w:t>tsižvelgta</w:t>
            </w:r>
            <w:r>
              <w:rPr>
                <w:rFonts w:ascii="Times New Roman" w:hAnsi="Times New Roman"/>
                <w:b/>
                <w:sz w:val="24"/>
                <w:szCs w:val="24"/>
              </w:rPr>
              <w:t>.</w:t>
            </w:r>
          </w:p>
        </w:tc>
      </w:tr>
      <w:tr w:rsidR="005602B2" w:rsidRPr="004A1B88" w:rsidTr="00814E54">
        <w:trPr>
          <w:trHeight w:val="4935"/>
        </w:trPr>
        <w:tc>
          <w:tcPr>
            <w:tcW w:w="2235" w:type="dxa"/>
            <w:vMerge/>
            <w:shd w:val="clear" w:color="auto" w:fill="FFFFFF" w:themeFill="background1"/>
          </w:tcPr>
          <w:p w:rsidR="005602B2" w:rsidRDefault="005602B2" w:rsidP="005602B2">
            <w:pPr>
              <w:pStyle w:val="ListParagraph"/>
              <w:shd w:val="clear" w:color="auto" w:fill="FFFFFF" w:themeFill="background1"/>
              <w:tabs>
                <w:tab w:val="left" w:pos="284"/>
              </w:tabs>
              <w:spacing w:after="0"/>
              <w:ind w:left="0"/>
              <w:rPr>
                <w:rFonts w:ascii="Times New Roman" w:hAnsi="Times New Roman"/>
                <w:b/>
                <w:sz w:val="24"/>
                <w:szCs w:val="24"/>
              </w:rPr>
            </w:pPr>
          </w:p>
        </w:tc>
        <w:tc>
          <w:tcPr>
            <w:tcW w:w="7229" w:type="dxa"/>
            <w:tcBorders>
              <w:top w:val="single" w:sz="4" w:space="0" w:color="auto"/>
            </w:tcBorders>
            <w:shd w:val="clear" w:color="auto" w:fill="FFFFFF" w:themeFill="background1"/>
          </w:tcPr>
          <w:p w:rsidR="005602B2" w:rsidRPr="005602B2" w:rsidRDefault="005602B2" w:rsidP="005602B2">
            <w:pPr>
              <w:tabs>
                <w:tab w:val="left" w:pos="345"/>
              </w:tabs>
              <w:spacing w:after="0" w:line="240" w:lineRule="auto"/>
              <w:jc w:val="both"/>
              <w:rPr>
                <w:rFonts w:ascii="Times New Roman" w:hAnsi="Times New Roman"/>
                <w:sz w:val="24"/>
                <w:szCs w:val="24"/>
              </w:rPr>
            </w:pPr>
            <w:r>
              <w:rPr>
                <w:rFonts w:ascii="Times New Roman" w:hAnsi="Times New Roman"/>
                <w:sz w:val="24"/>
                <w:szCs w:val="24"/>
              </w:rPr>
              <w:t xml:space="preserve">2. </w:t>
            </w:r>
            <w:r w:rsidRPr="005602B2">
              <w:rPr>
                <w:rFonts w:ascii="Times New Roman" w:hAnsi="Times New Roman"/>
                <w:sz w:val="24"/>
                <w:szCs w:val="24"/>
              </w:rPr>
              <w:t>Rekomenduojame Aprašo 2 priedo „Projekto naudos ir kokybės vertinimo lentelė“ 2 prioritetinio projektų atrankos kriterijaus „Pareiškėjo prisidėjimas didesniu nuosavu indėliu“ vertinimo aspektų ir paaiškinimų stulpelyje nurodyti atskirus balus antrajam kvietimui, nes bendra balų suma nesutampa su pirmojo kvietimo balų suma. Rekomenduojame šią dalį išdėstyti taip:</w:t>
            </w:r>
          </w:p>
          <w:p w:rsidR="005602B2" w:rsidRDefault="005602B2" w:rsidP="005602B2">
            <w:pPr>
              <w:widowControl w:val="0"/>
              <w:shd w:val="clear" w:color="auto" w:fill="FFFFFF"/>
              <w:tabs>
                <w:tab w:val="left" w:pos="345"/>
              </w:tabs>
              <w:spacing w:after="0" w:line="240" w:lineRule="auto"/>
              <w:ind w:left="33" w:right="-35"/>
              <w:jc w:val="both"/>
              <w:textAlignment w:val="baseline"/>
              <w:rPr>
                <w:rFonts w:ascii="Times New Roman" w:hAnsi="Times New Roman"/>
                <w:sz w:val="24"/>
                <w:szCs w:val="24"/>
              </w:rPr>
            </w:pPr>
          </w:p>
          <w:p w:rsidR="005602B2" w:rsidRPr="0015164B" w:rsidRDefault="005602B2" w:rsidP="005602B2">
            <w:pPr>
              <w:widowControl w:val="0"/>
              <w:shd w:val="clear" w:color="auto" w:fill="FFFFFF"/>
              <w:tabs>
                <w:tab w:val="left" w:pos="345"/>
              </w:tabs>
              <w:spacing w:after="0" w:line="240" w:lineRule="auto"/>
              <w:ind w:left="33" w:right="-35"/>
              <w:jc w:val="both"/>
              <w:textAlignment w:val="baseline"/>
              <w:rPr>
                <w:rFonts w:ascii="Times New Roman" w:hAnsi="Times New Roman"/>
                <w:sz w:val="24"/>
                <w:szCs w:val="24"/>
              </w:rPr>
            </w:pPr>
            <w:r w:rsidRPr="0015164B">
              <w:rPr>
                <w:rFonts w:ascii="Times New Roman" w:hAnsi="Times New Roman"/>
                <w:sz w:val="24"/>
                <w:szCs w:val="24"/>
              </w:rPr>
              <w:t>„Prioritetas bus teikiamas pareiškėjams, prisidedantiems prie projektui skiriamo finansavimo, didesne nei nurodyta Aprašo 37 punkte nuosavo indėlio dalimi.</w:t>
            </w:r>
          </w:p>
          <w:p w:rsidR="005602B2" w:rsidRDefault="005602B2" w:rsidP="005602B2">
            <w:pPr>
              <w:widowControl w:val="0"/>
              <w:shd w:val="clear" w:color="auto" w:fill="FFFFFF"/>
              <w:tabs>
                <w:tab w:val="left" w:pos="345"/>
              </w:tabs>
              <w:spacing w:after="0" w:line="240" w:lineRule="auto"/>
              <w:ind w:left="33" w:right="-35"/>
              <w:jc w:val="both"/>
              <w:textAlignment w:val="baseline"/>
              <w:rPr>
                <w:rFonts w:ascii="Times New Roman" w:hAnsi="Times New Roman"/>
                <w:sz w:val="24"/>
                <w:szCs w:val="24"/>
              </w:rPr>
            </w:pPr>
          </w:p>
          <w:p w:rsidR="005602B2" w:rsidRPr="0015164B" w:rsidRDefault="005602B2" w:rsidP="005602B2">
            <w:pPr>
              <w:widowControl w:val="0"/>
              <w:shd w:val="clear" w:color="auto" w:fill="FFFFFF"/>
              <w:tabs>
                <w:tab w:val="left" w:pos="345"/>
              </w:tabs>
              <w:spacing w:after="0" w:line="240" w:lineRule="auto"/>
              <w:ind w:left="33" w:right="-35"/>
              <w:jc w:val="both"/>
              <w:textAlignment w:val="baseline"/>
              <w:rPr>
                <w:rFonts w:ascii="Times New Roman" w:hAnsi="Times New Roman"/>
                <w:sz w:val="24"/>
                <w:szCs w:val="24"/>
              </w:rPr>
            </w:pPr>
            <w:r w:rsidRPr="0015164B">
              <w:rPr>
                <w:rFonts w:ascii="Times New Roman" w:hAnsi="Times New Roman"/>
                <w:sz w:val="24"/>
                <w:szCs w:val="24"/>
              </w:rPr>
              <w:t>Jei prie projekto visų tinkamų finansuoti išlaidų prisidedama daugiau nei nustatyta Aprašo 37 punkte (taikoma Aprašo 9.1 p. nurodytam pirmajam kvietimui):</w:t>
            </w:r>
          </w:p>
          <w:p w:rsidR="005602B2" w:rsidRPr="0015164B" w:rsidRDefault="005602B2" w:rsidP="005602B2">
            <w:pPr>
              <w:tabs>
                <w:tab w:val="left" w:pos="345"/>
              </w:tabs>
              <w:spacing w:after="0" w:line="240" w:lineRule="auto"/>
              <w:ind w:left="33"/>
              <w:jc w:val="both"/>
              <w:rPr>
                <w:rFonts w:ascii="Times New Roman" w:hAnsi="Times New Roman"/>
                <w:sz w:val="24"/>
                <w:szCs w:val="24"/>
              </w:rPr>
            </w:pPr>
            <w:r w:rsidRPr="0015164B">
              <w:rPr>
                <w:rFonts w:ascii="Times New Roman" w:hAnsi="Times New Roman"/>
                <w:sz w:val="24"/>
                <w:szCs w:val="24"/>
              </w:rPr>
              <w:t>Iki 1 proc. – 0 balų;</w:t>
            </w:r>
          </w:p>
          <w:p w:rsidR="005602B2" w:rsidRPr="0015164B" w:rsidRDefault="005602B2" w:rsidP="005602B2">
            <w:pPr>
              <w:tabs>
                <w:tab w:val="left" w:pos="345"/>
              </w:tabs>
              <w:spacing w:after="0" w:line="240" w:lineRule="auto"/>
              <w:ind w:left="33"/>
              <w:jc w:val="both"/>
              <w:rPr>
                <w:rFonts w:ascii="Times New Roman" w:hAnsi="Times New Roman"/>
                <w:sz w:val="24"/>
                <w:szCs w:val="24"/>
              </w:rPr>
            </w:pPr>
            <w:r w:rsidRPr="0015164B">
              <w:rPr>
                <w:rFonts w:ascii="Times New Roman" w:hAnsi="Times New Roman"/>
                <w:sz w:val="24"/>
                <w:szCs w:val="24"/>
              </w:rPr>
              <w:t>1 – 5 proc. – 5 balai;</w:t>
            </w:r>
          </w:p>
          <w:p w:rsidR="005602B2" w:rsidRPr="0015164B" w:rsidRDefault="005602B2" w:rsidP="005602B2">
            <w:pPr>
              <w:tabs>
                <w:tab w:val="left" w:pos="345"/>
              </w:tabs>
              <w:spacing w:after="0" w:line="240" w:lineRule="auto"/>
              <w:ind w:left="33"/>
              <w:jc w:val="both"/>
              <w:rPr>
                <w:rFonts w:ascii="Times New Roman" w:hAnsi="Times New Roman"/>
                <w:sz w:val="24"/>
                <w:szCs w:val="24"/>
              </w:rPr>
            </w:pPr>
            <w:r w:rsidRPr="0015164B">
              <w:rPr>
                <w:rFonts w:ascii="Times New Roman" w:hAnsi="Times New Roman"/>
                <w:sz w:val="24"/>
                <w:szCs w:val="24"/>
              </w:rPr>
              <w:t>6 – 10 proc. – 10 balų;</w:t>
            </w:r>
          </w:p>
          <w:p w:rsidR="005602B2" w:rsidRPr="0015164B" w:rsidRDefault="005602B2" w:rsidP="005602B2">
            <w:pPr>
              <w:tabs>
                <w:tab w:val="left" w:pos="345"/>
              </w:tabs>
              <w:spacing w:after="0" w:line="240" w:lineRule="auto"/>
              <w:ind w:left="33"/>
              <w:jc w:val="both"/>
              <w:rPr>
                <w:rFonts w:ascii="Times New Roman" w:hAnsi="Times New Roman"/>
                <w:sz w:val="24"/>
                <w:szCs w:val="24"/>
              </w:rPr>
            </w:pPr>
            <w:r w:rsidRPr="0015164B">
              <w:rPr>
                <w:rFonts w:ascii="Times New Roman" w:hAnsi="Times New Roman"/>
                <w:sz w:val="24"/>
                <w:szCs w:val="24"/>
              </w:rPr>
              <w:t>11 – 20 proc. – 15 balų;</w:t>
            </w:r>
          </w:p>
          <w:p w:rsidR="005602B2" w:rsidRPr="0015164B" w:rsidRDefault="005602B2" w:rsidP="005602B2">
            <w:pPr>
              <w:tabs>
                <w:tab w:val="left" w:pos="345"/>
              </w:tabs>
              <w:spacing w:after="0" w:line="240" w:lineRule="auto"/>
              <w:ind w:left="33"/>
              <w:jc w:val="both"/>
              <w:outlineLvl w:val="0"/>
              <w:rPr>
                <w:rFonts w:ascii="Times New Roman" w:hAnsi="Times New Roman"/>
                <w:sz w:val="24"/>
                <w:szCs w:val="24"/>
              </w:rPr>
            </w:pPr>
            <w:r w:rsidRPr="0015164B">
              <w:rPr>
                <w:rFonts w:ascii="Times New Roman" w:hAnsi="Times New Roman"/>
                <w:sz w:val="24"/>
                <w:szCs w:val="24"/>
              </w:rPr>
              <w:t>21 ir daugiau proc. – 20 balų.</w:t>
            </w:r>
          </w:p>
          <w:p w:rsidR="005602B2" w:rsidRDefault="005602B2" w:rsidP="005602B2">
            <w:pPr>
              <w:tabs>
                <w:tab w:val="left" w:pos="345"/>
              </w:tabs>
              <w:spacing w:after="0" w:line="240" w:lineRule="auto"/>
              <w:ind w:left="33"/>
              <w:jc w:val="both"/>
              <w:outlineLvl w:val="0"/>
              <w:rPr>
                <w:rFonts w:ascii="Times New Roman" w:hAnsi="Times New Roman"/>
                <w:sz w:val="24"/>
                <w:szCs w:val="24"/>
              </w:rPr>
            </w:pPr>
          </w:p>
          <w:p w:rsidR="005602B2" w:rsidRPr="0015164B" w:rsidRDefault="005602B2" w:rsidP="005602B2">
            <w:pPr>
              <w:tabs>
                <w:tab w:val="left" w:pos="345"/>
              </w:tabs>
              <w:spacing w:after="0" w:line="240" w:lineRule="auto"/>
              <w:ind w:left="33"/>
              <w:jc w:val="both"/>
              <w:outlineLvl w:val="0"/>
              <w:rPr>
                <w:rFonts w:ascii="Times New Roman" w:hAnsi="Times New Roman"/>
                <w:sz w:val="24"/>
                <w:szCs w:val="24"/>
              </w:rPr>
            </w:pPr>
            <w:r w:rsidRPr="0015164B">
              <w:rPr>
                <w:rFonts w:ascii="Times New Roman" w:hAnsi="Times New Roman"/>
                <w:sz w:val="24"/>
                <w:szCs w:val="24"/>
              </w:rPr>
              <w:t xml:space="preserve">Jei prie projekto visų tinkamų </w:t>
            </w:r>
            <w:r>
              <w:rPr>
                <w:rFonts w:ascii="Times New Roman" w:hAnsi="Times New Roman"/>
                <w:sz w:val="24"/>
                <w:szCs w:val="24"/>
              </w:rPr>
              <w:t xml:space="preserve">finansuoti išlaidų prisidedama </w:t>
            </w:r>
            <w:r w:rsidRPr="0015164B">
              <w:rPr>
                <w:rFonts w:ascii="Times New Roman" w:hAnsi="Times New Roman"/>
                <w:sz w:val="24"/>
                <w:szCs w:val="24"/>
              </w:rPr>
              <w:t>daugiau nei nustatyta Aprašo 37 punkte (taikoma Aprašo 9.2 p. nurodytam antrajam kvietimui):</w:t>
            </w:r>
          </w:p>
          <w:p w:rsidR="005602B2" w:rsidRPr="0015164B" w:rsidRDefault="005602B2" w:rsidP="005602B2">
            <w:pPr>
              <w:tabs>
                <w:tab w:val="left" w:pos="345"/>
              </w:tabs>
              <w:spacing w:after="0" w:line="240" w:lineRule="auto"/>
              <w:ind w:left="33"/>
              <w:jc w:val="both"/>
              <w:rPr>
                <w:rFonts w:ascii="Times New Roman" w:hAnsi="Times New Roman"/>
                <w:sz w:val="24"/>
                <w:szCs w:val="24"/>
              </w:rPr>
            </w:pPr>
            <w:r w:rsidRPr="0015164B">
              <w:rPr>
                <w:rFonts w:ascii="Times New Roman" w:hAnsi="Times New Roman"/>
                <w:sz w:val="24"/>
                <w:szCs w:val="24"/>
              </w:rPr>
              <w:t>Iki 1 proc. – 0 balų;</w:t>
            </w:r>
          </w:p>
          <w:p w:rsidR="005602B2" w:rsidRPr="0015164B" w:rsidRDefault="005602B2" w:rsidP="005602B2">
            <w:pPr>
              <w:tabs>
                <w:tab w:val="left" w:pos="345"/>
              </w:tabs>
              <w:spacing w:after="0" w:line="240" w:lineRule="auto"/>
              <w:ind w:left="33"/>
              <w:jc w:val="both"/>
              <w:rPr>
                <w:rFonts w:ascii="Times New Roman" w:hAnsi="Times New Roman"/>
                <w:sz w:val="24"/>
                <w:szCs w:val="24"/>
              </w:rPr>
            </w:pPr>
          </w:p>
          <w:p w:rsidR="005602B2" w:rsidRPr="0015164B" w:rsidRDefault="005602B2" w:rsidP="005602B2">
            <w:pPr>
              <w:tabs>
                <w:tab w:val="left" w:pos="345"/>
              </w:tabs>
              <w:spacing w:after="0" w:line="240" w:lineRule="auto"/>
              <w:ind w:left="33"/>
              <w:jc w:val="both"/>
              <w:rPr>
                <w:rFonts w:ascii="Times New Roman" w:hAnsi="Times New Roman"/>
                <w:sz w:val="24"/>
                <w:szCs w:val="24"/>
              </w:rPr>
            </w:pPr>
            <w:r w:rsidRPr="0015164B">
              <w:rPr>
                <w:rFonts w:ascii="Times New Roman" w:hAnsi="Times New Roman"/>
                <w:sz w:val="24"/>
                <w:szCs w:val="24"/>
              </w:rPr>
              <w:t>1 – 5 proc. – 7 balai;</w:t>
            </w:r>
          </w:p>
          <w:p w:rsidR="005602B2" w:rsidRPr="0015164B" w:rsidRDefault="005602B2" w:rsidP="005602B2">
            <w:pPr>
              <w:tabs>
                <w:tab w:val="left" w:pos="345"/>
              </w:tabs>
              <w:spacing w:after="0" w:line="240" w:lineRule="auto"/>
              <w:ind w:left="33"/>
              <w:jc w:val="both"/>
              <w:rPr>
                <w:rFonts w:ascii="Times New Roman" w:hAnsi="Times New Roman"/>
                <w:sz w:val="24"/>
                <w:szCs w:val="24"/>
              </w:rPr>
            </w:pPr>
            <w:r w:rsidRPr="0015164B">
              <w:rPr>
                <w:rFonts w:ascii="Times New Roman" w:hAnsi="Times New Roman"/>
                <w:sz w:val="24"/>
                <w:szCs w:val="24"/>
              </w:rPr>
              <w:t>6 – 10 proc. – 14 balų;</w:t>
            </w:r>
          </w:p>
          <w:p w:rsidR="005602B2" w:rsidRPr="0015164B" w:rsidRDefault="005602B2" w:rsidP="005602B2">
            <w:pPr>
              <w:ind w:firstLine="33"/>
              <w:rPr>
                <w:rFonts w:ascii="Times New Roman" w:hAnsi="Times New Roman"/>
                <w:sz w:val="24"/>
                <w:szCs w:val="24"/>
              </w:rPr>
            </w:pPr>
            <w:r w:rsidRPr="0015164B">
              <w:rPr>
                <w:rFonts w:ascii="Times New Roman" w:hAnsi="Times New Roman"/>
                <w:sz w:val="24"/>
                <w:szCs w:val="24"/>
              </w:rPr>
              <w:t>11 – 20 proc. – 22 balų;</w:t>
            </w:r>
          </w:p>
          <w:p w:rsidR="005602B2" w:rsidRPr="005602B2" w:rsidRDefault="005602B2" w:rsidP="005602B2">
            <w:pPr>
              <w:tabs>
                <w:tab w:val="left" w:pos="345"/>
              </w:tabs>
              <w:spacing w:after="0" w:line="240" w:lineRule="auto"/>
              <w:jc w:val="both"/>
              <w:rPr>
                <w:rFonts w:ascii="Times New Roman" w:hAnsi="Times New Roman"/>
                <w:sz w:val="24"/>
                <w:szCs w:val="24"/>
              </w:rPr>
            </w:pPr>
            <w:r w:rsidRPr="0015164B">
              <w:rPr>
                <w:rFonts w:ascii="Times New Roman" w:hAnsi="Times New Roman"/>
                <w:sz w:val="24"/>
                <w:szCs w:val="24"/>
              </w:rPr>
              <w:t>21 ir daugiau proc. – 30 balų.“</w:t>
            </w:r>
          </w:p>
        </w:tc>
        <w:tc>
          <w:tcPr>
            <w:tcW w:w="5880" w:type="dxa"/>
            <w:shd w:val="clear" w:color="auto" w:fill="FFFFFF" w:themeFill="background1"/>
          </w:tcPr>
          <w:p w:rsidR="005602B2" w:rsidRDefault="005602B2" w:rsidP="005602B2">
            <w:pPr>
              <w:shd w:val="clear" w:color="auto" w:fill="FFFFFF" w:themeFill="background1"/>
              <w:spacing w:after="0" w:line="240" w:lineRule="auto"/>
              <w:jc w:val="both"/>
              <w:rPr>
                <w:rFonts w:ascii="Times New Roman" w:hAnsi="Times New Roman"/>
                <w:b/>
                <w:sz w:val="24"/>
                <w:szCs w:val="24"/>
              </w:rPr>
            </w:pPr>
            <w:r>
              <w:rPr>
                <w:rFonts w:ascii="Times New Roman" w:hAnsi="Times New Roman"/>
                <w:b/>
                <w:sz w:val="24"/>
                <w:szCs w:val="24"/>
              </w:rPr>
              <w:t>A</w:t>
            </w:r>
            <w:r w:rsidRPr="00921F28">
              <w:rPr>
                <w:rFonts w:ascii="Times New Roman" w:hAnsi="Times New Roman"/>
                <w:b/>
                <w:sz w:val="24"/>
                <w:szCs w:val="24"/>
              </w:rPr>
              <w:t>tsižvelgta</w:t>
            </w:r>
            <w:r>
              <w:rPr>
                <w:rFonts w:ascii="Times New Roman" w:hAnsi="Times New Roman"/>
                <w:b/>
                <w:sz w:val="24"/>
                <w:szCs w:val="24"/>
              </w:rPr>
              <w:t>.</w:t>
            </w:r>
          </w:p>
        </w:tc>
      </w:tr>
    </w:tbl>
    <w:p w:rsidR="00C0247A" w:rsidRPr="0015164B" w:rsidRDefault="00C0247A" w:rsidP="00B95BD5">
      <w:pPr>
        <w:shd w:val="clear" w:color="auto" w:fill="FFFFFF" w:themeFill="background1"/>
        <w:spacing w:after="0" w:line="240" w:lineRule="auto"/>
        <w:jc w:val="center"/>
        <w:rPr>
          <w:sz w:val="24"/>
          <w:szCs w:val="24"/>
          <w:u w:val="single"/>
        </w:rPr>
      </w:pPr>
      <w:r w:rsidRPr="0015164B">
        <w:rPr>
          <w:sz w:val="24"/>
          <w:szCs w:val="24"/>
          <w:u w:val="single"/>
        </w:rPr>
        <w:lastRenderedPageBreak/>
        <w:t>__________________________</w:t>
      </w:r>
      <w:bookmarkStart w:id="1" w:name="_GoBack"/>
      <w:bookmarkEnd w:id="1"/>
    </w:p>
    <w:sectPr w:rsidR="00C0247A" w:rsidRPr="0015164B" w:rsidSect="00E110AD">
      <w:headerReference w:type="default" r:id="rId9"/>
      <w:headerReference w:type="first" r:id="rId10"/>
      <w:pgSz w:w="16838" w:h="11906" w:orient="landscape"/>
      <w:pgMar w:top="934" w:right="1701" w:bottom="851" w:left="1134" w:header="567" w:footer="125"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FC" w:rsidRDefault="00617CFC" w:rsidP="00A75058">
      <w:pPr>
        <w:spacing w:after="0" w:line="240" w:lineRule="auto"/>
      </w:pPr>
      <w:r>
        <w:separator/>
      </w:r>
    </w:p>
  </w:endnote>
  <w:endnote w:type="continuationSeparator" w:id="0">
    <w:p w:rsidR="00617CFC" w:rsidRDefault="00617CFC" w:rsidP="00A7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FC" w:rsidRDefault="00617CFC" w:rsidP="00A75058">
      <w:pPr>
        <w:spacing w:after="0" w:line="240" w:lineRule="auto"/>
      </w:pPr>
      <w:r>
        <w:separator/>
      </w:r>
    </w:p>
  </w:footnote>
  <w:footnote w:type="continuationSeparator" w:id="0">
    <w:p w:rsidR="00617CFC" w:rsidRDefault="00617CFC" w:rsidP="00A75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964964"/>
      <w:docPartObj>
        <w:docPartGallery w:val="Page Numbers (Top of Page)"/>
        <w:docPartUnique/>
      </w:docPartObj>
    </w:sdtPr>
    <w:sdtEndPr>
      <w:rPr>
        <w:noProof/>
      </w:rPr>
    </w:sdtEndPr>
    <w:sdtContent>
      <w:p w:rsidR="00CE2867" w:rsidRDefault="00CE2867">
        <w:pPr>
          <w:pStyle w:val="Header"/>
          <w:jc w:val="center"/>
        </w:pPr>
        <w:r w:rsidRPr="00E110AD">
          <w:rPr>
            <w:rFonts w:ascii="Times New Roman" w:eastAsia="Arial Unicode MS" w:hAnsi="Times New Roman"/>
            <w:sz w:val="24"/>
            <w:szCs w:val="24"/>
          </w:rPr>
          <w:fldChar w:fldCharType="begin"/>
        </w:r>
        <w:r w:rsidRPr="00E110AD">
          <w:rPr>
            <w:rFonts w:ascii="Times New Roman" w:eastAsia="Arial Unicode MS" w:hAnsi="Times New Roman"/>
            <w:sz w:val="24"/>
            <w:szCs w:val="24"/>
          </w:rPr>
          <w:instrText xml:space="preserve"> PAGE   \* MERGEFORMAT </w:instrText>
        </w:r>
        <w:r w:rsidRPr="00E110AD">
          <w:rPr>
            <w:rFonts w:ascii="Times New Roman" w:eastAsia="Arial Unicode MS" w:hAnsi="Times New Roman"/>
            <w:sz w:val="24"/>
            <w:szCs w:val="24"/>
          </w:rPr>
          <w:fldChar w:fldCharType="separate"/>
        </w:r>
        <w:r w:rsidR="005602B2">
          <w:rPr>
            <w:rFonts w:ascii="Times New Roman" w:eastAsia="Arial Unicode MS" w:hAnsi="Times New Roman"/>
            <w:noProof/>
            <w:sz w:val="24"/>
            <w:szCs w:val="24"/>
          </w:rPr>
          <w:t>5</w:t>
        </w:r>
        <w:r w:rsidRPr="00E110AD">
          <w:rPr>
            <w:rFonts w:ascii="Times New Roman" w:eastAsia="Arial Unicode MS" w:hAnsi="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8B3" w:rsidRDefault="00C248B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59B7"/>
    <w:multiLevelType w:val="hybridMultilevel"/>
    <w:tmpl w:val="11344D5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nsid w:val="150C1203"/>
    <w:multiLevelType w:val="hybridMultilevel"/>
    <w:tmpl w:val="816C7C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BA701C5"/>
    <w:multiLevelType w:val="hybridMultilevel"/>
    <w:tmpl w:val="F36AD2BC"/>
    <w:lvl w:ilvl="0" w:tplc="B7A25E66">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nsid w:val="1F45607E"/>
    <w:multiLevelType w:val="hybridMultilevel"/>
    <w:tmpl w:val="2EEC85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FCC118B"/>
    <w:multiLevelType w:val="hybridMultilevel"/>
    <w:tmpl w:val="904AE27A"/>
    <w:lvl w:ilvl="0" w:tplc="FFD4153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nsid w:val="22F672A7"/>
    <w:multiLevelType w:val="hybridMultilevel"/>
    <w:tmpl w:val="EBA6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3439E"/>
    <w:multiLevelType w:val="hybridMultilevel"/>
    <w:tmpl w:val="2C342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7953D5E"/>
    <w:multiLevelType w:val="hybridMultilevel"/>
    <w:tmpl w:val="E9D2D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B443D7"/>
    <w:multiLevelType w:val="hybridMultilevel"/>
    <w:tmpl w:val="B2701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40F94"/>
    <w:multiLevelType w:val="hybridMultilevel"/>
    <w:tmpl w:val="99142616"/>
    <w:lvl w:ilvl="0" w:tplc="2292860A">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0">
    <w:nsid w:val="3495023E"/>
    <w:multiLevelType w:val="hybridMultilevel"/>
    <w:tmpl w:val="81F868C6"/>
    <w:lvl w:ilvl="0" w:tplc="D1400E4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1">
    <w:nsid w:val="3F990D80"/>
    <w:multiLevelType w:val="hybridMultilevel"/>
    <w:tmpl w:val="59A8D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0BB0E63"/>
    <w:multiLevelType w:val="hybridMultilevel"/>
    <w:tmpl w:val="8682C896"/>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4D8A6A95"/>
    <w:multiLevelType w:val="hybridMultilevel"/>
    <w:tmpl w:val="C7861166"/>
    <w:lvl w:ilvl="0" w:tplc="D6761EA6">
      <w:start w:val="1"/>
      <w:numFmt w:val="decimal"/>
      <w:lvlText w:val="%1."/>
      <w:lvlJc w:val="left"/>
      <w:pPr>
        <w:ind w:left="644"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4D91078F"/>
    <w:multiLevelType w:val="hybridMultilevel"/>
    <w:tmpl w:val="7732534A"/>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F4B3867"/>
    <w:multiLevelType w:val="hybridMultilevel"/>
    <w:tmpl w:val="16A4FDE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nsid w:val="50A80381"/>
    <w:multiLevelType w:val="multilevel"/>
    <w:tmpl w:val="6C7A2520"/>
    <w:lvl w:ilvl="0">
      <w:start w:val="2"/>
      <w:numFmt w:val="decimal"/>
      <w:lvlText w:val="%1."/>
      <w:lvlJc w:val="left"/>
      <w:pPr>
        <w:ind w:left="360" w:hanging="360"/>
      </w:pPr>
      <w:rPr>
        <w:rFonts w:hint="default"/>
        <w:b w:val="0"/>
        <w:i w:val="0"/>
        <w:strike w:val="0"/>
      </w:rPr>
    </w:lvl>
    <w:lvl w:ilvl="1">
      <w:start w:val="1"/>
      <w:numFmt w:val="decimal"/>
      <w:lvlText w:val="%1.%2."/>
      <w:lvlJc w:val="left"/>
      <w:pPr>
        <w:ind w:left="135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51CE0293"/>
    <w:multiLevelType w:val="hybridMultilevel"/>
    <w:tmpl w:val="351E2C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2C3576F"/>
    <w:multiLevelType w:val="hybridMultilevel"/>
    <w:tmpl w:val="86447C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nsid w:val="52D86100"/>
    <w:multiLevelType w:val="hybridMultilevel"/>
    <w:tmpl w:val="24C851D8"/>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00A2770"/>
    <w:multiLevelType w:val="hybridMultilevel"/>
    <w:tmpl w:val="7732534A"/>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0764A22"/>
    <w:multiLevelType w:val="hybridMultilevel"/>
    <w:tmpl w:val="2448431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nsid w:val="60846171"/>
    <w:multiLevelType w:val="hybridMultilevel"/>
    <w:tmpl w:val="727451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14B4137"/>
    <w:multiLevelType w:val="hybridMultilevel"/>
    <w:tmpl w:val="F3407ABA"/>
    <w:lvl w:ilvl="0" w:tplc="926CB40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3A506B3"/>
    <w:multiLevelType w:val="hybridMultilevel"/>
    <w:tmpl w:val="F36AD2BC"/>
    <w:lvl w:ilvl="0" w:tplc="B7A25E66">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5">
    <w:nsid w:val="6531683D"/>
    <w:multiLevelType w:val="hybridMultilevel"/>
    <w:tmpl w:val="B99E6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8BF4387"/>
    <w:multiLevelType w:val="hybridMultilevel"/>
    <w:tmpl w:val="9858E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19B203E"/>
    <w:multiLevelType w:val="hybridMultilevel"/>
    <w:tmpl w:val="097AFFF8"/>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nsid w:val="71A11021"/>
    <w:multiLevelType w:val="hybridMultilevel"/>
    <w:tmpl w:val="6D9EDDEE"/>
    <w:lvl w:ilvl="0" w:tplc="0427000F">
      <w:start w:val="3"/>
      <w:numFmt w:val="decimal"/>
      <w:lvlText w:val="%1."/>
      <w:lvlJc w:val="left"/>
      <w:pPr>
        <w:ind w:left="6455" w:hanging="360"/>
      </w:pPr>
      <w:rPr>
        <w:rFonts w:hint="default"/>
      </w:rPr>
    </w:lvl>
    <w:lvl w:ilvl="1" w:tplc="04270019" w:tentative="1">
      <w:start w:val="1"/>
      <w:numFmt w:val="lowerLetter"/>
      <w:lvlText w:val="%2."/>
      <w:lvlJc w:val="left"/>
      <w:pPr>
        <w:ind w:left="7175" w:hanging="360"/>
      </w:pPr>
    </w:lvl>
    <w:lvl w:ilvl="2" w:tplc="0427001B" w:tentative="1">
      <w:start w:val="1"/>
      <w:numFmt w:val="lowerRoman"/>
      <w:lvlText w:val="%3."/>
      <w:lvlJc w:val="right"/>
      <w:pPr>
        <w:ind w:left="7895" w:hanging="180"/>
      </w:pPr>
    </w:lvl>
    <w:lvl w:ilvl="3" w:tplc="0427000F" w:tentative="1">
      <w:start w:val="1"/>
      <w:numFmt w:val="decimal"/>
      <w:lvlText w:val="%4."/>
      <w:lvlJc w:val="left"/>
      <w:pPr>
        <w:ind w:left="8615" w:hanging="360"/>
      </w:pPr>
    </w:lvl>
    <w:lvl w:ilvl="4" w:tplc="04270019" w:tentative="1">
      <w:start w:val="1"/>
      <w:numFmt w:val="lowerLetter"/>
      <w:lvlText w:val="%5."/>
      <w:lvlJc w:val="left"/>
      <w:pPr>
        <w:ind w:left="9335" w:hanging="360"/>
      </w:pPr>
    </w:lvl>
    <w:lvl w:ilvl="5" w:tplc="0427001B" w:tentative="1">
      <w:start w:val="1"/>
      <w:numFmt w:val="lowerRoman"/>
      <w:lvlText w:val="%6."/>
      <w:lvlJc w:val="right"/>
      <w:pPr>
        <w:ind w:left="10055" w:hanging="180"/>
      </w:pPr>
    </w:lvl>
    <w:lvl w:ilvl="6" w:tplc="0427000F" w:tentative="1">
      <w:start w:val="1"/>
      <w:numFmt w:val="decimal"/>
      <w:lvlText w:val="%7."/>
      <w:lvlJc w:val="left"/>
      <w:pPr>
        <w:ind w:left="10775" w:hanging="360"/>
      </w:pPr>
    </w:lvl>
    <w:lvl w:ilvl="7" w:tplc="04270019" w:tentative="1">
      <w:start w:val="1"/>
      <w:numFmt w:val="lowerLetter"/>
      <w:lvlText w:val="%8."/>
      <w:lvlJc w:val="left"/>
      <w:pPr>
        <w:ind w:left="11495" w:hanging="360"/>
      </w:pPr>
    </w:lvl>
    <w:lvl w:ilvl="8" w:tplc="0427001B" w:tentative="1">
      <w:start w:val="1"/>
      <w:numFmt w:val="lowerRoman"/>
      <w:lvlText w:val="%9."/>
      <w:lvlJc w:val="right"/>
      <w:pPr>
        <w:ind w:left="12215" w:hanging="180"/>
      </w:pPr>
    </w:lvl>
  </w:abstractNum>
  <w:abstractNum w:abstractNumId="29">
    <w:nsid w:val="71BB73D2"/>
    <w:multiLevelType w:val="hybridMultilevel"/>
    <w:tmpl w:val="7B92336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3CB7C11"/>
    <w:multiLevelType w:val="hybridMultilevel"/>
    <w:tmpl w:val="B00A0622"/>
    <w:lvl w:ilvl="0" w:tplc="D72EBB4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7"/>
  </w:num>
  <w:num w:numId="3">
    <w:abstractNumId w:val="12"/>
  </w:num>
  <w:num w:numId="4">
    <w:abstractNumId w:val="13"/>
  </w:num>
  <w:num w:numId="5">
    <w:abstractNumId w:val="21"/>
  </w:num>
  <w:num w:numId="6">
    <w:abstractNumId w:val="22"/>
  </w:num>
  <w:num w:numId="7">
    <w:abstractNumId w:val="6"/>
  </w:num>
  <w:num w:numId="8">
    <w:abstractNumId w:val="18"/>
  </w:num>
  <w:num w:numId="9">
    <w:abstractNumId w:val="9"/>
  </w:num>
  <w:num w:numId="10">
    <w:abstractNumId w:val="4"/>
  </w:num>
  <w:num w:numId="11">
    <w:abstractNumId w:val="23"/>
  </w:num>
  <w:num w:numId="12">
    <w:abstractNumId w:val="30"/>
  </w:num>
  <w:num w:numId="13">
    <w:abstractNumId w:val="28"/>
  </w:num>
  <w:num w:numId="14">
    <w:abstractNumId w:val="5"/>
  </w:num>
  <w:num w:numId="15">
    <w:abstractNumId w:val="7"/>
  </w:num>
  <w:num w:numId="16">
    <w:abstractNumId w:val="16"/>
  </w:num>
  <w:num w:numId="17">
    <w:abstractNumId w:val="25"/>
  </w:num>
  <w:num w:numId="18">
    <w:abstractNumId w:val="26"/>
  </w:num>
  <w:num w:numId="19">
    <w:abstractNumId w:val="29"/>
  </w:num>
  <w:num w:numId="20">
    <w:abstractNumId w:val="3"/>
  </w:num>
  <w:num w:numId="21">
    <w:abstractNumId w:val="8"/>
  </w:num>
  <w:num w:numId="22">
    <w:abstractNumId w:val="1"/>
  </w:num>
  <w:num w:numId="23">
    <w:abstractNumId w:val="19"/>
  </w:num>
  <w:num w:numId="24">
    <w:abstractNumId w:val="10"/>
  </w:num>
  <w:num w:numId="25">
    <w:abstractNumId w:val="20"/>
  </w:num>
  <w:num w:numId="26">
    <w:abstractNumId w:val="14"/>
  </w:num>
  <w:num w:numId="27">
    <w:abstractNumId w:val="15"/>
  </w:num>
  <w:num w:numId="28">
    <w:abstractNumId w:val="11"/>
  </w:num>
  <w:num w:numId="29">
    <w:abstractNumId w:val="24"/>
  </w:num>
  <w:num w:numId="30">
    <w:abstractNumId w:val="1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E2"/>
    <w:rsid w:val="000027C8"/>
    <w:rsid w:val="00012351"/>
    <w:rsid w:val="0001322A"/>
    <w:rsid w:val="00014346"/>
    <w:rsid w:val="0001435C"/>
    <w:rsid w:val="00016525"/>
    <w:rsid w:val="00021C0B"/>
    <w:rsid w:val="00026371"/>
    <w:rsid w:val="00031747"/>
    <w:rsid w:val="00034DCA"/>
    <w:rsid w:val="00040F80"/>
    <w:rsid w:val="00042C69"/>
    <w:rsid w:val="0004391D"/>
    <w:rsid w:val="000455FE"/>
    <w:rsid w:val="0005239B"/>
    <w:rsid w:val="0005461D"/>
    <w:rsid w:val="0006490D"/>
    <w:rsid w:val="00066F2E"/>
    <w:rsid w:val="00070468"/>
    <w:rsid w:val="00072720"/>
    <w:rsid w:val="0007706B"/>
    <w:rsid w:val="00084826"/>
    <w:rsid w:val="000855B1"/>
    <w:rsid w:val="000868CA"/>
    <w:rsid w:val="00087E8F"/>
    <w:rsid w:val="00087E90"/>
    <w:rsid w:val="0009003B"/>
    <w:rsid w:val="000938C7"/>
    <w:rsid w:val="00094923"/>
    <w:rsid w:val="000949F0"/>
    <w:rsid w:val="000978C9"/>
    <w:rsid w:val="000A7EAF"/>
    <w:rsid w:val="000B03EE"/>
    <w:rsid w:val="000B4D02"/>
    <w:rsid w:val="000B5223"/>
    <w:rsid w:val="000B705E"/>
    <w:rsid w:val="000C1C76"/>
    <w:rsid w:val="000C484A"/>
    <w:rsid w:val="000C537E"/>
    <w:rsid w:val="000D1DAF"/>
    <w:rsid w:val="000D1FD4"/>
    <w:rsid w:val="000D4610"/>
    <w:rsid w:val="000D52D2"/>
    <w:rsid w:val="000D7884"/>
    <w:rsid w:val="000E05B7"/>
    <w:rsid w:val="000E1E51"/>
    <w:rsid w:val="000E212F"/>
    <w:rsid w:val="000E4D84"/>
    <w:rsid w:val="000E7603"/>
    <w:rsid w:val="000F39E3"/>
    <w:rsid w:val="000F7125"/>
    <w:rsid w:val="00100C07"/>
    <w:rsid w:val="00101855"/>
    <w:rsid w:val="001076F1"/>
    <w:rsid w:val="00111509"/>
    <w:rsid w:val="00112911"/>
    <w:rsid w:val="00114EA9"/>
    <w:rsid w:val="00146D21"/>
    <w:rsid w:val="0015164B"/>
    <w:rsid w:val="0015248B"/>
    <w:rsid w:val="00153518"/>
    <w:rsid w:val="00161538"/>
    <w:rsid w:val="0018441F"/>
    <w:rsid w:val="00184F6E"/>
    <w:rsid w:val="001874FC"/>
    <w:rsid w:val="00194CFF"/>
    <w:rsid w:val="001A2EAB"/>
    <w:rsid w:val="001A30FA"/>
    <w:rsid w:val="001A66AD"/>
    <w:rsid w:val="001B6AA0"/>
    <w:rsid w:val="001C14FD"/>
    <w:rsid w:val="001C1FD9"/>
    <w:rsid w:val="001C43FE"/>
    <w:rsid w:val="001D4B11"/>
    <w:rsid w:val="001D5834"/>
    <w:rsid w:val="001D5B7C"/>
    <w:rsid w:val="001E271B"/>
    <w:rsid w:val="001E2C1E"/>
    <w:rsid w:val="001E3EA3"/>
    <w:rsid w:val="001E3F89"/>
    <w:rsid w:val="001F0F96"/>
    <w:rsid w:val="001F10BE"/>
    <w:rsid w:val="001F4C5E"/>
    <w:rsid w:val="001F5921"/>
    <w:rsid w:val="001F69AD"/>
    <w:rsid w:val="001F6B00"/>
    <w:rsid w:val="00206C9B"/>
    <w:rsid w:val="00215483"/>
    <w:rsid w:val="002157F2"/>
    <w:rsid w:val="00223B24"/>
    <w:rsid w:val="002314F9"/>
    <w:rsid w:val="0023644C"/>
    <w:rsid w:val="00241C40"/>
    <w:rsid w:val="002436BC"/>
    <w:rsid w:val="00250AF8"/>
    <w:rsid w:val="002536A7"/>
    <w:rsid w:val="00255FB9"/>
    <w:rsid w:val="002621AA"/>
    <w:rsid w:val="00264925"/>
    <w:rsid w:val="00264EBD"/>
    <w:rsid w:val="00270377"/>
    <w:rsid w:val="002726BD"/>
    <w:rsid w:val="002761F7"/>
    <w:rsid w:val="00276EF4"/>
    <w:rsid w:val="0028248B"/>
    <w:rsid w:val="00285B59"/>
    <w:rsid w:val="00292A91"/>
    <w:rsid w:val="0029422C"/>
    <w:rsid w:val="0029458E"/>
    <w:rsid w:val="002A06A2"/>
    <w:rsid w:val="002A7396"/>
    <w:rsid w:val="002B171C"/>
    <w:rsid w:val="002B190D"/>
    <w:rsid w:val="002B3ED4"/>
    <w:rsid w:val="002C517B"/>
    <w:rsid w:val="002C5C39"/>
    <w:rsid w:val="002D26F8"/>
    <w:rsid w:val="002D2B86"/>
    <w:rsid w:val="002D43F1"/>
    <w:rsid w:val="002D4D89"/>
    <w:rsid w:val="002D4F6A"/>
    <w:rsid w:val="002D6224"/>
    <w:rsid w:val="002E5E98"/>
    <w:rsid w:val="002E640B"/>
    <w:rsid w:val="002F0F15"/>
    <w:rsid w:val="002F149B"/>
    <w:rsid w:val="002F4D8A"/>
    <w:rsid w:val="0030237C"/>
    <w:rsid w:val="00304CA3"/>
    <w:rsid w:val="00307D96"/>
    <w:rsid w:val="00311DC4"/>
    <w:rsid w:val="00313023"/>
    <w:rsid w:val="003149C9"/>
    <w:rsid w:val="00331537"/>
    <w:rsid w:val="003330C2"/>
    <w:rsid w:val="00333C7B"/>
    <w:rsid w:val="00341A62"/>
    <w:rsid w:val="003500C2"/>
    <w:rsid w:val="003514D5"/>
    <w:rsid w:val="00351C4F"/>
    <w:rsid w:val="00352257"/>
    <w:rsid w:val="00355D1F"/>
    <w:rsid w:val="00362081"/>
    <w:rsid w:val="00370411"/>
    <w:rsid w:val="00375DFE"/>
    <w:rsid w:val="003776F9"/>
    <w:rsid w:val="00395CFA"/>
    <w:rsid w:val="003964EE"/>
    <w:rsid w:val="00397430"/>
    <w:rsid w:val="003B1713"/>
    <w:rsid w:val="003B50E9"/>
    <w:rsid w:val="003B5CA8"/>
    <w:rsid w:val="003B7DC4"/>
    <w:rsid w:val="003C03F9"/>
    <w:rsid w:val="003C0680"/>
    <w:rsid w:val="003D1D17"/>
    <w:rsid w:val="003D3B8E"/>
    <w:rsid w:val="003D6864"/>
    <w:rsid w:val="003E09B4"/>
    <w:rsid w:val="003E5182"/>
    <w:rsid w:val="003E518B"/>
    <w:rsid w:val="003E5B25"/>
    <w:rsid w:val="003E613E"/>
    <w:rsid w:val="003E65D9"/>
    <w:rsid w:val="003F2820"/>
    <w:rsid w:val="003F70B6"/>
    <w:rsid w:val="003F7CD1"/>
    <w:rsid w:val="00403560"/>
    <w:rsid w:val="004117FF"/>
    <w:rsid w:val="00414548"/>
    <w:rsid w:val="004205DF"/>
    <w:rsid w:val="004238CF"/>
    <w:rsid w:val="004253C5"/>
    <w:rsid w:val="004312ED"/>
    <w:rsid w:val="00433B5F"/>
    <w:rsid w:val="00433FE2"/>
    <w:rsid w:val="00434199"/>
    <w:rsid w:val="00435CBB"/>
    <w:rsid w:val="00436038"/>
    <w:rsid w:val="00441C57"/>
    <w:rsid w:val="00442666"/>
    <w:rsid w:val="0044663F"/>
    <w:rsid w:val="0044767A"/>
    <w:rsid w:val="00456547"/>
    <w:rsid w:val="00463DC2"/>
    <w:rsid w:val="004653CE"/>
    <w:rsid w:val="00474912"/>
    <w:rsid w:val="0048131D"/>
    <w:rsid w:val="00484E8C"/>
    <w:rsid w:val="004860C7"/>
    <w:rsid w:val="00486FA0"/>
    <w:rsid w:val="004904D3"/>
    <w:rsid w:val="0049201F"/>
    <w:rsid w:val="00492928"/>
    <w:rsid w:val="004A1B88"/>
    <w:rsid w:val="004A41C0"/>
    <w:rsid w:val="004A4660"/>
    <w:rsid w:val="004A62AD"/>
    <w:rsid w:val="004B2D97"/>
    <w:rsid w:val="004B422A"/>
    <w:rsid w:val="004C2E34"/>
    <w:rsid w:val="004C6962"/>
    <w:rsid w:val="004D7641"/>
    <w:rsid w:val="004E048B"/>
    <w:rsid w:val="004E386A"/>
    <w:rsid w:val="004E6803"/>
    <w:rsid w:val="004F46B2"/>
    <w:rsid w:val="00502269"/>
    <w:rsid w:val="0050262E"/>
    <w:rsid w:val="00506CC9"/>
    <w:rsid w:val="005115CB"/>
    <w:rsid w:val="0051204C"/>
    <w:rsid w:val="005154CE"/>
    <w:rsid w:val="00522EFA"/>
    <w:rsid w:val="00525E47"/>
    <w:rsid w:val="005319A7"/>
    <w:rsid w:val="005341C6"/>
    <w:rsid w:val="005361C8"/>
    <w:rsid w:val="005423AC"/>
    <w:rsid w:val="005431C4"/>
    <w:rsid w:val="00544E78"/>
    <w:rsid w:val="00546B28"/>
    <w:rsid w:val="00547254"/>
    <w:rsid w:val="005477BF"/>
    <w:rsid w:val="005507E8"/>
    <w:rsid w:val="005602B2"/>
    <w:rsid w:val="00566496"/>
    <w:rsid w:val="005677DD"/>
    <w:rsid w:val="005705A6"/>
    <w:rsid w:val="00583AB9"/>
    <w:rsid w:val="005849E5"/>
    <w:rsid w:val="00584C71"/>
    <w:rsid w:val="00591D46"/>
    <w:rsid w:val="005938B6"/>
    <w:rsid w:val="00595E3E"/>
    <w:rsid w:val="005A56D7"/>
    <w:rsid w:val="005A6CC1"/>
    <w:rsid w:val="005A6EC3"/>
    <w:rsid w:val="005A7D5F"/>
    <w:rsid w:val="005C2B5B"/>
    <w:rsid w:val="005C4083"/>
    <w:rsid w:val="005C4DFF"/>
    <w:rsid w:val="005D1468"/>
    <w:rsid w:val="005E178D"/>
    <w:rsid w:val="005E1F0D"/>
    <w:rsid w:val="005E51B7"/>
    <w:rsid w:val="005E51CD"/>
    <w:rsid w:val="005F144D"/>
    <w:rsid w:val="005F2627"/>
    <w:rsid w:val="00600E9B"/>
    <w:rsid w:val="006070B3"/>
    <w:rsid w:val="00607556"/>
    <w:rsid w:val="0060794D"/>
    <w:rsid w:val="00610FCA"/>
    <w:rsid w:val="00615474"/>
    <w:rsid w:val="00617CFC"/>
    <w:rsid w:val="00622BEB"/>
    <w:rsid w:val="00622E60"/>
    <w:rsid w:val="00626A5C"/>
    <w:rsid w:val="00633B7F"/>
    <w:rsid w:val="00633CF5"/>
    <w:rsid w:val="00645B14"/>
    <w:rsid w:val="00647946"/>
    <w:rsid w:val="00652393"/>
    <w:rsid w:val="00655530"/>
    <w:rsid w:val="006558CA"/>
    <w:rsid w:val="00665C34"/>
    <w:rsid w:val="00674F58"/>
    <w:rsid w:val="00676521"/>
    <w:rsid w:val="00680393"/>
    <w:rsid w:val="006861C2"/>
    <w:rsid w:val="0068661E"/>
    <w:rsid w:val="00692CC6"/>
    <w:rsid w:val="00692FED"/>
    <w:rsid w:val="00697907"/>
    <w:rsid w:val="00697964"/>
    <w:rsid w:val="006A026C"/>
    <w:rsid w:val="006A2ADF"/>
    <w:rsid w:val="006A34AE"/>
    <w:rsid w:val="006A411B"/>
    <w:rsid w:val="006A6949"/>
    <w:rsid w:val="006A7873"/>
    <w:rsid w:val="006B11A1"/>
    <w:rsid w:val="006B1B47"/>
    <w:rsid w:val="006B250E"/>
    <w:rsid w:val="006B4600"/>
    <w:rsid w:val="006B7834"/>
    <w:rsid w:val="006C3AA6"/>
    <w:rsid w:val="006D1C1D"/>
    <w:rsid w:val="006D37E1"/>
    <w:rsid w:val="006D62C1"/>
    <w:rsid w:val="006E4825"/>
    <w:rsid w:val="006E7EA1"/>
    <w:rsid w:val="006F283D"/>
    <w:rsid w:val="006F4AD4"/>
    <w:rsid w:val="00700009"/>
    <w:rsid w:val="007015FA"/>
    <w:rsid w:val="007025BD"/>
    <w:rsid w:val="007048C4"/>
    <w:rsid w:val="00706648"/>
    <w:rsid w:val="0071085C"/>
    <w:rsid w:val="00710BB2"/>
    <w:rsid w:val="007146D5"/>
    <w:rsid w:val="007148A1"/>
    <w:rsid w:val="00716B5F"/>
    <w:rsid w:val="00720182"/>
    <w:rsid w:val="00722759"/>
    <w:rsid w:val="00727FDA"/>
    <w:rsid w:val="0073642D"/>
    <w:rsid w:val="00737CFE"/>
    <w:rsid w:val="00740079"/>
    <w:rsid w:val="00743DA2"/>
    <w:rsid w:val="00747EEE"/>
    <w:rsid w:val="00751EE7"/>
    <w:rsid w:val="007564DE"/>
    <w:rsid w:val="007659D3"/>
    <w:rsid w:val="0077020D"/>
    <w:rsid w:val="00774853"/>
    <w:rsid w:val="00774944"/>
    <w:rsid w:val="007776F6"/>
    <w:rsid w:val="007807E8"/>
    <w:rsid w:val="0078109E"/>
    <w:rsid w:val="00782FAA"/>
    <w:rsid w:val="00784A95"/>
    <w:rsid w:val="00785FFD"/>
    <w:rsid w:val="00791D4D"/>
    <w:rsid w:val="007939B9"/>
    <w:rsid w:val="007944B5"/>
    <w:rsid w:val="007A0A2C"/>
    <w:rsid w:val="007A0FC5"/>
    <w:rsid w:val="007A21DF"/>
    <w:rsid w:val="007A3A2B"/>
    <w:rsid w:val="007A51A3"/>
    <w:rsid w:val="007A577D"/>
    <w:rsid w:val="007B47DE"/>
    <w:rsid w:val="007B7110"/>
    <w:rsid w:val="007C4523"/>
    <w:rsid w:val="007C5846"/>
    <w:rsid w:val="007D09D1"/>
    <w:rsid w:val="007D5A72"/>
    <w:rsid w:val="007D7AB5"/>
    <w:rsid w:val="007E1315"/>
    <w:rsid w:val="007E1836"/>
    <w:rsid w:val="007E6D4C"/>
    <w:rsid w:val="007F01B5"/>
    <w:rsid w:val="007F30D5"/>
    <w:rsid w:val="007F7234"/>
    <w:rsid w:val="00805002"/>
    <w:rsid w:val="0081132F"/>
    <w:rsid w:val="008113F0"/>
    <w:rsid w:val="008125E4"/>
    <w:rsid w:val="00814A96"/>
    <w:rsid w:val="008150E7"/>
    <w:rsid w:val="00817627"/>
    <w:rsid w:val="00820109"/>
    <w:rsid w:val="008236EB"/>
    <w:rsid w:val="00824AA2"/>
    <w:rsid w:val="008272C1"/>
    <w:rsid w:val="00827D06"/>
    <w:rsid w:val="00830784"/>
    <w:rsid w:val="00831E52"/>
    <w:rsid w:val="00832762"/>
    <w:rsid w:val="00840100"/>
    <w:rsid w:val="008426DC"/>
    <w:rsid w:val="0085200C"/>
    <w:rsid w:val="008614AD"/>
    <w:rsid w:val="00867882"/>
    <w:rsid w:val="00872211"/>
    <w:rsid w:val="008752BF"/>
    <w:rsid w:val="0087637C"/>
    <w:rsid w:val="0088019E"/>
    <w:rsid w:val="008804FD"/>
    <w:rsid w:val="008823FD"/>
    <w:rsid w:val="008846C1"/>
    <w:rsid w:val="0088485D"/>
    <w:rsid w:val="00884A13"/>
    <w:rsid w:val="008856CA"/>
    <w:rsid w:val="00885FC3"/>
    <w:rsid w:val="00897200"/>
    <w:rsid w:val="008A4050"/>
    <w:rsid w:val="008A4341"/>
    <w:rsid w:val="008A4350"/>
    <w:rsid w:val="008A6024"/>
    <w:rsid w:val="008B2775"/>
    <w:rsid w:val="008B45F3"/>
    <w:rsid w:val="008C5032"/>
    <w:rsid w:val="008D058F"/>
    <w:rsid w:val="008D452B"/>
    <w:rsid w:val="008D4A10"/>
    <w:rsid w:val="008D4D77"/>
    <w:rsid w:val="008E1855"/>
    <w:rsid w:val="008E2030"/>
    <w:rsid w:val="008E3017"/>
    <w:rsid w:val="008E4283"/>
    <w:rsid w:val="008F122B"/>
    <w:rsid w:val="008F1BEE"/>
    <w:rsid w:val="009030A0"/>
    <w:rsid w:val="00903808"/>
    <w:rsid w:val="00907AD6"/>
    <w:rsid w:val="00912B66"/>
    <w:rsid w:val="00913BCB"/>
    <w:rsid w:val="0091645A"/>
    <w:rsid w:val="0091786E"/>
    <w:rsid w:val="00921F28"/>
    <w:rsid w:val="00937323"/>
    <w:rsid w:val="00944F63"/>
    <w:rsid w:val="00947696"/>
    <w:rsid w:val="009514CF"/>
    <w:rsid w:val="00953B61"/>
    <w:rsid w:val="00953E90"/>
    <w:rsid w:val="009559C1"/>
    <w:rsid w:val="00957A65"/>
    <w:rsid w:val="00960AC5"/>
    <w:rsid w:val="009665D8"/>
    <w:rsid w:val="009700D4"/>
    <w:rsid w:val="00972B94"/>
    <w:rsid w:val="00972CE8"/>
    <w:rsid w:val="00974B7A"/>
    <w:rsid w:val="0097674F"/>
    <w:rsid w:val="009806A5"/>
    <w:rsid w:val="00980E9F"/>
    <w:rsid w:val="00982C01"/>
    <w:rsid w:val="00983036"/>
    <w:rsid w:val="00983896"/>
    <w:rsid w:val="0099039F"/>
    <w:rsid w:val="009912DB"/>
    <w:rsid w:val="009921DD"/>
    <w:rsid w:val="009934D6"/>
    <w:rsid w:val="009A1ACF"/>
    <w:rsid w:val="009A1B67"/>
    <w:rsid w:val="009A5C91"/>
    <w:rsid w:val="009A6CB2"/>
    <w:rsid w:val="009A7033"/>
    <w:rsid w:val="009A735B"/>
    <w:rsid w:val="009A76E4"/>
    <w:rsid w:val="009B0BA7"/>
    <w:rsid w:val="009C1E91"/>
    <w:rsid w:val="009C2BA0"/>
    <w:rsid w:val="009C541C"/>
    <w:rsid w:val="009C7C93"/>
    <w:rsid w:val="009D2E9C"/>
    <w:rsid w:val="009D4340"/>
    <w:rsid w:val="009D5665"/>
    <w:rsid w:val="009D6962"/>
    <w:rsid w:val="009E4DF1"/>
    <w:rsid w:val="009E6EF9"/>
    <w:rsid w:val="009F1F6A"/>
    <w:rsid w:val="009F35FC"/>
    <w:rsid w:val="009F4360"/>
    <w:rsid w:val="00A00088"/>
    <w:rsid w:val="00A02330"/>
    <w:rsid w:val="00A04F52"/>
    <w:rsid w:val="00A05177"/>
    <w:rsid w:val="00A12ABC"/>
    <w:rsid w:val="00A13D9D"/>
    <w:rsid w:val="00A17793"/>
    <w:rsid w:val="00A17BA7"/>
    <w:rsid w:val="00A20C8E"/>
    <w:rsid w:val="00A2152A"/>
    <w:rsid w:val="00A21E8D"/>
    <w:rsid w:val="00A24C90"/>
    <w:rsid w:val="00A25668"/>
    <w:rsid w:val="00A377C4"/>
    <w:rsid w:val="00A40E4D"/>
    <w:rsid w:val="00A4189D"/>
    <w:rsid w:val="00A41929"/>
    <w:rsid w:val="00A42053"/>
    <w:rsid w:val="00A47876"/>
    <w:rsid w:val="00A50F20"/>
    <w:rsid w:val="00A536F9"/>
    <w:rsid w:val="00A56BD8"/>
    <w:rsid w:val="00A60962"/>
    <w:rsid w:val="00A627B9"/>
    <w:rsid w:val="00A64E71"/>
    <w:rsid w:val="00A65B65"/>
    <w:rsid w:val="00A70B21"/>
    <w:rsid w:val="00A70BD9"/>
    <w:rsid w:val="00A724B3"/>
    <w:rsid w:val="00A75058"/>
    <w:rsid w:val="00A77DA3"/>
    <w:rsid w:val="00A80EA4"/>
    <w:rsid w:val="00A84D83"/>
    <w:rsid w:val="00A8595A"/>
    <w:rsid w:val="00A87D11"/>
    <w:rsid w:val="00A9166A"/>
    <w:rsid w:val="00A929E0"/>
    <w:rsid w:val="00AA248C"/>
    <w:rsid w:val="00AA670A"/>
    <w:rsid w:val="00AB164F"/>
    <w:rsid w:val="00AC0727"/>
    <w:rsid w:val="00AC3FDF"/>
    <w:rsid w:val="00AD0082"/>
    <w:rsid w:val="00AD470F"/>
    <w:rsid w:val="00AE0A44"/>
    <w:rsid w:val="00AE43CE"/>
    <w:rsid w:val="00AF23C0"/>
    <w:rsid w:val="00AF3AAB"/>
    <w:rsid w:val="00B022C2"/>
    <w:rsid w:val="00B02E43"/>
    <w:rsid w:val="00B03BAC"/>
    <w:rsid w:val="00B1196A"/>
    <w:rsid w:val="00B13D93"/>
    <w:rsid w:val="00B1418F"/>
    <w:rsid w:val="00B14643"/>
    <w:rsid w:val="00B14832"/>
    <w:rsid w:val="00B14876"/>
    <w:rsid w:val="00B16635"/>
    <w:rsid w:val="00B209BA"/>
    <w:rsid w:val="00B3007B"/>
    <w:rsid w:val="00B3186B"/>
    <w:rsid w:val="00B35AC3"/>
    <w:rsid w:val="00B36E68"/>
    <w:rsid w:val="00B461B8"/>
    <w:rsid w:val="00B537A6"/>
    <w:rsid w:val="00B57C22"/>
    <w:rsid w:val="00B71322"/>
    <w:rsid w:val="00B7610D"/>
    <w:rsid w:val="00B76C76"/>
    <w:rsid w:val="00B82BF6"/>
    <w:rsid w:val="00B86468"/>
    <w:rsid w:val="00B930D7"/>
    <w:rsid w:val="00B9414E"/>
    <w:rsid w:val="00B94B2E"/>
    <w:rsid w:val="00B95BD5"/>
    <w:rsid w:val="00BA27DA"/>
    <w:rsid w:val="00BA2FF7"/>
    <w:rsid w:val="00BA6780"/>
    <w:rsid w:val="00BA7052"/>
    <w:rsid w:val="00BB163C"/>
    <w:rsid w:val="00BB3EF2"/>
    <w:rsid w:val="00BB75E5"/>
    <w:rsid w:val="00BC4E35"/>
    <w:rsid w:val="00BC6487"/>
    <w:rsid w:val="00BD328B"/>
    <w:rsid w:val="00BD5B64"/>
    <w:rsid w:val="00BD72B7"/>
    <w:rsid w:val="00BD7A53"/>
    <w:rsid w:val="00BE1DC6"/>
    <w:rsid w:val="00BE4619"/>
    <w:rsid w:val="00BE52CD"/>
    <w:rsid w:val="00BE64BC"/>
    <w:rsid w:val="00BF0BB4"/>
    <w:rsid w:val="00BF3706"/>
    <w:rsid w:val="00BF37FE"/>
    <w:rsid w:val="00BF479C"/>
    <w:rsid w:val="00C0247A"/>
    <w:rsid w:val="00C0463D"/>
    <w:rsid w:val="00C064E8"/>
    <w:rsid w:val="00C14DD6"/>
    <w:rsid w:val="00C17221"/>
    <w:rsid w:val="00C248B3"/>
    <w:rsid w:val="00C25688"/>
    <w:rsid w:val="00C31482"/>
    <w:rsid w:val="00C360A7"/>
    <w:rsid w:val="00C51AE5"/>
    <w:rsid w:val="00C5372B"/>
    <w:rsid w:val="00C55D4E"/>
    <w:rsid w:val="00C60DFF"/>
    <w:rsid w:val="00C77710"/>
    <w:rsid w:val="00C86173"/>
    <w:rsid w:val="00C95B52"/>
    <w:rsid w:val="00C968F5"/>
    <w:rsid w:val="00C96F15"/>
    <w:rsid w:val="00CA109E"/>
    <w:rsid w:val="00CA4039"/>
    <w:rsid w:val="00CA41C0"/>
    <w:rsid w:val="00CA4A01"/>
    <w:rsid w:val="00CA6043"/>
    <w:rsid w:val="00CA7D46"/>
    <w:rsid w:val="00CB0A70"/>
    <w:rsid w:val="00CB27AE"/>
    <w:rsid w:val="00CB28CC"/>
    <w:rsid w:val="00CB5495"/>
    <w:rsid w:val="00CB5C8E"/>
    <w:rsid w:val="00CB7A52"/>
    <w:rsid w:val="00CD2BF3"/>
    <w:rsid w:val="00CD7461"/>
    <w:rsid w:val="00CE2867"/>
    <w:rsid w:val="00CE406C"/>
    <w:rsid w:val="00CF227F"/>
    <w:rsid w:val="00CF7C0E"/>
    <w:rsid w:val="00D00C4E"/>
    <w:rsid w:val="00D0161D"/>
    <w:rsid w:val="00D01FC5"/>
    <w:rsid w:val="00D02868"/>
    <w:rsid w:val="00D04DDB"/>
    <w:rsid w:val="00D0507C"/>
    <w:rsid w:val="00D05D54"/>
    <w:rsid w:val="00D142E1"/>
    <w:rsid w:val="00D17B1D"/>
    <w:rsid w:val="00D17EA6"/>
    <w:rsid w:val="00D26F80"/>
    <w:rsid w:val="00D31795"/>
    <w:rsid w:val="00D31BC8"/>
    <w:rsid w:val="00D321E4"/>
    <w:rsid w:val="00D32850"/>
    <w:rsid w:val="00D32C45"/>
    <w:rsid w:val="00D33FBF"/>
    <w:rsid w:val="00D35F09"/>
    <w:rsid w:val="00D40109"/>
    <w:rsid w:val="00D40836"/>
    <w:rsid w:val="00D41C54"/>
    <w:rsid w:val="00D4263B"/>
    <w:rsid w:val="00D53A0B"/>
    <w:rsid w:val="00D57AFB"/>
    <w:rsid w:val="00D60CBE"/>
    <w:rsid w:val="00D611A3"/>
    <w:rsid w:val="00D616E6"/>
    <w:rsid w:val="00D6472D"/>
    <w:rsid w:val="00D64EE5"/>
    <w:rsid w:val="00D66C32"/>
    <w:rsid w:val="00D67A48"/>
    <w:rsid w:val="00D711CA"/>
    <w:rsid w:val="00D72E7F"/>
    <w:rsid w:val="00D76DE6"/>
    <w:rsid w:val="00D81517"/>
    <w:rsid w:val="00D820CB"/>
    <w:rsid w:val="00D876DC"/>
    <w:rsid w:val="00D941DF"/>
    <w:rsid w:val="00DA384D"/>
    <w:rsid w:val="00DA5414"/>
    <w:rsid w:val="00DA710E"/>
    <w:rsid w:val="00DB0C3C"/>
    <w:rsid w:val="00DB64AC"/>
    <w:rsid w:val="00DC4166"/>
    <w:rsid w:val="00DC45AA"/>
    <w:rsid w:val="00DC6E85"/>
    <w:rsid w:val="00DD0197"/>
    <w:rsid w:val="00DD635F"/>
    <w:rsid w:val="00DE08EC"/>
    <w:rsid w:val="00DE11B9"/>
    <w:rsid w:val="00DE375E"/>
    <w:rsid w:val="00DE3B39"/>
    <w:rsid w:val="00DE5431"/>
    <w:rsid w:val="00DE5F65"/>
    <w:rsid w:val="00DF00FB"/>
    <w:rsid w:val="00DF55CE"/>
    <w:rsid w:val="00E02171"/>
    <w:rsid w:val="00E110AD"/>
    <w:rsid w:val="00E112DE"/>
    <w:rsid w:val="00E113E6"/>
    <w:rsid w:val="00E217B7"/>
    <w:rsid w:val="00E27052"/>
    <w:rsid w:val="00E32D95"/>
    <w:rsid w:val="00E32F0F"/>
    <w:rsid w:val="00E5026D"/>
    <w:rsid w:val="00E505FB"/>
    <w:rsid w:val="00E52B0F"/>
    <w:rsid w:val="00E54115"/>
    <w:rsid w:val="00E54267"/>
    <w:rsid w:val="00E55B0B"/>
    <w:rsid w:val="00E6078D"/>
    <w:rsid w:val="00E61B95"/>
    <w:rsid w:val="00E62675"/>
    <w:rsid w:val="00E62BF4"/>
    <w:rsid w:val="00E64A10"/>
    <w:rsid w:val="00E65F9E"/>
    <w:rsid w:val="00E713C0"/>
    <w:rsid w:val="00E71DAE"/>
    <w:rsid w:val="00E748B0"/>
    <w:rsid w:val="00E75A41"/>
    <w:rsid w:val="00E858FA"/>
    <w:rsid w:val="00E87750"/>
    <w:rsid w:val="00E96D4D"/>
    <w:rsid w:val="00EA21CA"/>
    <w:rsid w:val="00EA2990"/>
    <w:rsid w:val="00EA2B78"/>
    <w:rsid w:val="00EB2AEB"/>
    <w:rsid w:val="00EB5707"/>
    <w:rsid w:val="00EB5B5C"/>
    <w:rsid w:val="00EB7863"/>
    <w:rsid w:val="00EC3310"/>
    <w:rsid w:val="00EC686C"/>
    <w:rsid w:val="00EC793E"/>
    <w:rsid w:val="00EC7A03"/>
    <w:rsid w:val="00ED489E"/>
    <w:rsid w:val="00ED63B6"/>
    <w:rsid w:val="00ED659B"/>
    <w:rsid w:val="00EE034F"/>
    <w:rsid w:val="00EE247F"/>
    <w:rsid w:val="00EE3486"/>
    <w:rsid w:val="00EE4C0E"/>
    <w:rsid w:val="00EF349B"/>
    <w:rsid w:val="00EF4266"/>
    <w:rsid w:val="00EF69FD"/>
    <w:rsid w:val="00EF6DC3"/>
    <w:rsid w:val="00F00CC7"/>
    <w:rsid w:val="00F01414"/>
    <w:rsid w:val="00F06024"/>
    <w:rsid w:val="00F172AC"/>
    <w:rsid w:val="00F2084D"/>
    <w:rsid w:val="00F21C1F"/>
    <w:rsid w:val="00F22613"/>
    <w:rsid w:val="00F22E41"/>
    <w:rsid w:val="00F255A1"/>
    <w:rsid w:val="00F316B4"/>
    <w:rsid w:val="00F37B22"/>
    <w:rsid w:val="00F40F39"/>
    <w:rsid w:val="00F42969"/>
    <w:rsid w:val="00F435A6"/>
    <w:rsid w:val="00F471D1"/>
    <w:rsid w:val="00F5007A"/>
    <w:rsid w:val="00F75DCD"/>
    <w:rsid w:val="00F779D0"/>
    <w:rsid w:val="00F84570"/>
    <w:rsid w:val="00F84786"/>
    <w:rsid w:val="00F87ECA"/>
    <w:rsid w:val="00FA00B3"/>
    <w:rsid w:val="00FA46EC"/>
    <w:rsid w:val="00FA4999"/>
    <w:rsid w:val="00FA52CA"/>
    <w:rsid w:val="00FA5677"/>
    <w:rsid w:val="00FB250B"/>
    <w:rsid w:val="00FC5EE7"/>
    <w:rsid w:val="00FC709A"/>
    <w:rsid w:val="00FD4183"/>
    <w:rsid w:val="00FD43D5"/>
    <w:rsid w:val="00FD473C"/>
    <w:rsid w:val="00FD72F1"/>
    <w:rsid w:val="00FD7850"/>
    <w:rsid w:val="00FE0657"/>
    <w:rsid w:val="00FE1F7B"/>
    <w:rsid w:val="00FE3753"/>
    <w:rsid w:val="00FF0F14"/>
    <w:rsid w:val="00FF185E"/>
    <w:rsid w:val="00FF23B9"/>
    <w:rsid w:val="00FF3D3C"/>
    <w:rsid w:val="00FF3F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A7"/>
    <w:pPr>
      <w:spacing w:after="200" w:line="276" w:lineRule="auto"/>
    </w:pPr>
    <w:rPr>
      <w:sz w:val="22"/>
      <w:szCs w:val="22"/>
      <w:lang w:eastAsia="en-US"/>
    </w:rPr>
  </w:style>
  <w:style w:type="paragraph" w:styleId="Heading3">
    <w:name w:val="heading 3"/>
    <w:basedOn w:val="Normal"/>
    <w:link w:val="Heading3Char"/>
    <w:uiPriority w:val="9"/>
    <w:qFormat/>
    <w:locked/>
    <w:rsid w:val="00375DFE"/>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C1E"/>
    <w:rPr>
      <w:rFonts w:ascii="Tahoma" w:hAnsi="Tahoma" w:cs="Tahoma"/>
      <w:sz w:val="16"/>
      <w:szCs w:val="16"/>
    </w:rPr>
  </w:style>
  <w:style w:type="character" w:customStyle="1" w:styleId="BalloonTextChar">
    <w:name w:val="Balloon Text Char"/>
    <w:link w:val="BalloonText"/>
    <w:uiPriority w:val="99"/>
    <w:semiHidden/>
    <w:locked/>
    <w:rsid w:val="009559C1"/>
    <w:rPr>
      <w:rFonts w:ascii="Times New Roman" w:hAnsi="Times New Roman" w:cs="Times New Roman"/>
      <w:sz w:val="2"/>
      <w:lang w:eastAsia="en-US"/>
    </w:rPr>
  </w:style>
  <w:style w:type="paragraph" w:styleId="BodyText">
    <w:name w:val="Body Text"/>
    <w:basedOn w:val="Normal"/>
    <w:link w:val="BodyTextChar"/>
    <w:uiPriority w:val="99"/>
    <w:semiHidden/>
    <w:rsid w:val="00433FE2"/>
    <w:pPr>
      <w:spacing w:after="120"/>
    </w:pPr>
  </w:style>
  <w:style w:type="character" w:customStyle="1" w:styleId="BodyTextChar">
    <w:name w:val="Body Text Char"/>
    <w:link w:val="BodyText"/>
    <w:uiPriority w:val="99"/>
    <w:semiHidden/>
    <w:locked/>
    <w:rsid w:val="00433FE2"/>
    <w:rPr>
      <w:rFonts w:cs="Times New Roman"/>
    </w:rPr>
  </w:style>
  <w:style w:type="table" w:styleId="TableGrid">
    <w:name w:val="Table Grid"/>
    <w:basedOn w:val="TableNormal"/>
    <w:uiPriority w:val="99"/>
    <w:rsid w:val="00433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058"/>
    <w:pPr>
      <w:tabs>
        <w:tab w:val="center" w:pos="4819"/>
        <w:tab w:val="right" w:pos="9638"/>
      </w:tabs>
    </w:pPr>
  </w:style>
  <w:style w:type="character" w:customStyle="1" w:styleId="HeaderChar">
    <w:name w:val="Header Char"/>
    <w:link w:val="Header"/>
    <w:uiPriority w:val="99"/>
    <w:rsid w:val="00A75058"/>
    <w:rPr>
      <w:lang w:eastAsia="en-US"/>
    </w:rPr>
  </w:style>
  <w:style w:type="paragraph" w:styleId="Footer">
    <w:name w:val="footer"/>
    <w:basedOn w:val="Normal"/>
    <w:link w:val="FooterChar"/>
    <w:uiPriority w:val="99"/>
    <w:unhideWhenUsed/>
    <w:rsid w:val="00A75058"/>
    <w:pPr>
      <w:tabs>
        <w:tab w:val="center" w:pos="4819"/>
        <w:tab w:val="right" w:pos="9638"/>
      </w:tabs>
    </w:pPr>
  </w:style>
  <w:style w:type="character" w:customStyle="1" w:styleId="FooterChar">
    <w:name w:val="Footer Char"/>
    <w:link w:val="Footer"/>
    <w:uiPriority w:val="99"/>
    <w:rsid w:val="00A75058"/>
    <w:rPr>
      <w:lang w:eastAsia="en-US"/>
    </w:rPr>
  </w:style>
  <w:style w:type="character" w:styleId="CommentReference">
    <w:name w:val="annotation reference"/>
    <w:basedOn w:val="DefaultParagraphFont"/>
    <w:semiHidden/>
    <w:unhideWhenUsed/>
    <w:rsid w:val="006A6949"/>
    <w:rPr>
      <w:sz w:val="16"/>
      <w:szCs w:val="16"/>
    </w:rPr>
  </w:style>
  <w:style w:type="paragraph" w:styleId="CommentText">
    <w:name w:val="annotation text"/>
    <w:basedOn w:val="Normal"/>
    <w:link w:val="CommentTextChar"/>
    <w:uiPriority w:val="99"/>
    <w:semiHidden/>
    <w:unhideWhenUsed/>
    <w:rsid w:val="006A6949"/>
    <w:pPr>
      <w:spacing w:line="240" w:lineRule="auto"/>
    </w:pPr>
    <w:rPr>
      <w:sz w:val="20"/>
      <w:szCs w:val="20"/>
    </w:rPr>
  </w:style>
  <w:style w:type="character" w:customStyle="1" w:styleId="CommentTextChar">
    <w:name w:val="Comment Text Char"/>
    <w:basedOn w:val="DefaultParagraphFont"/>
    <w:link w:val="CommentText"/>
    <w:uiPriority w:val="99"/>
    <w:semiHidden/>
    <w:rsid w:val="006A6949"/>
    <w:rPr>
      <w:lang w:eastAsia="en-US"/>
    </w:rPr>
  </w:style>
  <w:style w:type="paragraph" w:styleId="CommentSubject">
    <w:name w:val="annotation subject"/>
    <w:basedOn w:val="CommentText"/>
    <w:next w:val="CommentText"/>
    <w:link w:val="CommentSubjectChar"/>
    <w:uiPriority w:val="99"/>
    <w:semiHidden/>
    <w:unhideWhenUsed/>
    <w:rsid w:val="006A6949"/>
    <w:rPr>
      <w:b/>
      <w:bCs/>
    </w:rPr>
  </w:style>
  <w:style w:type="character" w:customStyle="1" w:styleId="CommentSubjectChar">
    <w:name w:val="Comment Subject Char"/>
    <w:basedOn w:val="CommentTextChar"/>
    <w:link w:val="CommentSubject"/>
    <w:uiPriority w:val="99"/>
    <w:semiHidden/>
    <w:rsid w:val="006A6949"/>
    <w:rPr>
      <w:b/>
      <w:bCs/>
      <w:lang w:eastAsia="en-US"/>
    </w:rPr>
  </w:style>
  <w:style w:type="paragraph" w:styleId="ListParagraph">
    <w:name w:val="List Paragraph"/>
    <w:basedOn w:val="Normal"/>
    <w:uiPriority w:val="34"/>
    <w:qFormat/>
    <w:rsid w:val="0018441F"/>
    <w:pPr>
      <w:ind w:left="720"/>
      <w:contextualSpacing/>
    </w:pPr>
  </w:style>
  <w:style w:type="character" w:styleId="Hyperlink">
    <w:name w:val="Hyperlink"/>
    <w:basedOn w:val="DefaultParagraphFont"/>
    <w:uiPriority w:val="99"/>
    <w:unhideWhenUsed/>
    <w:rsid w:val="003D6864"/>
    <w:rPr>
      <w:color w:val="0000FF" w:themeColor="hyperlink"/>
      <w:u w:val="single"/>
    </w:rPr>
  </w:style>
  <w:style w:type="character" w:styleId="Strong">
    <w:name w:val="Strong"/>
    <w:basedOn w:val="DefaultParagraphFont"/>
    <w:uiPriority w:val="22"/>
    <w:qFormat/>
    <w:locked/>
    <w:rsid w:val="00370411"/>
    <w:rPr>
      <w:b/>
      <w:bCs/>
    </w:rPr>
  </w:style>
  <w:style w:type="paragraph" w:customStyle="1" w:styleId="Default">
    <w:name w:val="Default"/>
    <w:rsid w:val="009912DB"/>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rsid w:val="00375DFE"/>
    <w:rPr>
      <w:rFonts w:ascii="Times New Roman" w:eastAsia="Times New Roman" w:hAnsi="Times New Roman"/>
      <w:b/>
      <w:bCs/>
      <w:sz w:val="27"/>
      <w:szCs w:val="27"/>
    </w:rPr>
  </w:style>
  <w:style w:type="character" w:customStyle="1" w:styleId="clear">
    <w:name w:val="clear"/>
    <w:basedOn w:val="DefaultParagraphFont"/>
    <w:rsid w:val="00A2152A"/>
  </w:style>
  <w:style w:type="paragraph" w:customStyle="1" w:styleId="normal-p">
    <w:name w:val="normal-p"/>
    <w:basedOn w:val="Normal"/>
    <w:rsid w:val="00A9166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WW8Num5z2">
    <w:name w:val="WW8Num5z2"/>
    <w:rsid w:val="00A17793"/>
    <w:rPr>
      <w:rFonts w:ascii="Wingdings" w:hAnsi="Wingdings" w:cs="Wingdings"/>
    </w:rPr>
  </w:style>
  <w:style w:type="paragraph" w:customStyle="1" w:styleId="tajtip">
    <w:name w:val="tajtip"/>
    <w:basedOn w:val="Normal"/>
    <w:rsid w:val="00040F8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p">
    <w:name w:val="tip"/>
    <w:basedOn w:val="Normal"/>
    <w:rsid w:val="00E110AD"/>
    <w:pPr>
      <w:spacing w:before="100" w:beforeAutospacing="1" w:after="100" w:afterAutospacing="1" w:line="240" w:lineRule="auto"/>
    </w:pPr>
    <w:rPr>
      <w:rFonts w:ascii="Times New Roman" w:eastAsia="Times New Roman" w:hAnsi="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A7"/>
    <w:pPr>
      <w:spacing w:after="200" w:line="276" w:lineRule="auto"/>
    </w:pPr>
    <w:rPr>
      <w:sz w:val="22"/>
      <w:szCs w:val="22"/>
      <w:lang w:eastAsia="en-US"/>
    </w:rPr>
  </w:style>
  <w:style w:type="paragraph" w:styleId="Heading3">
    <w:name w:val="heading 3"/>
    <w:basedOn w:val="Normal"/>
    <w:link w:val="Heading3Char"/>
    <w:uiPriority w:val="9"/>
    <w:qFormat/>
    <w:locked/>
    <w:rsid w:val="00375DFE"/>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C1E"/>
    <w:rPr>
      <w:rFonts w:ascii="Tahoma" w:hAnsi="Tahoma" w:cs="Tahoma"/>
      <w:sz w:val="16"/>
      <w:szCs w:val="16"/>
    </w:rPr>
  </w:style>
  <w:style w:type="character" w:customStyle="1" w:styleId="BalloonTextChar">
    <w:name w:val="Balloon Text Char"/>
    <w:link w:val="BalloonText"/>
    <w:uiPriority w:val="99"/>
    <w:semiHidden/>
    <w:locked/>
    <w:rsid w:val="009559C1"/>
    <w:rPr>
      <w:rFonts w:ascii="Times New Roman" w:hAnsi="Times New Roman" w:cs="Times New Roman"/>
      <w:sz w:val="2"/>
      <w:lang w:eastAsia="en-US"/>
    </w:rPr>
  </w:style>
  <w:style w:type="paragraph" w:styleId="BodyText">
    <w:name w:val="Body Text"/>
    <w:basedOn w:val="Normal"/>
    <w:link w:val="BodyTextChar"/>
    <w:uiPriority w:val="99"/>
    <w:semiHidden/>
    <w:rsid w:val="00433FE2"/>
    <w:pPr>
      <w:spacing w:after="120"/>
    </w:pPr>
  </w:style>
  <w:style w:type="character" w:customStyle="1" w:styleId="BodyTextChar">
    <w:name w:val="Body Text Char"/>
    <w:link w:val="BodyText"/>
    <w:uiPriority w:val="99"/>
    <w:semiHidden/>
    <w:locked/>
    <w:rsid w:val="00433FE2"/>
    <w:rPr>
      <w:rFonts w:cs="Times New Roman"/>
    </w:rPr>
  </w:style>
  <w:style w:type="table" w:styleId="TableGrid">
    <w:name w:val="Table Grid"/>
    <w:basedOn w:val="TableNormal"/>
    <w:uiPriority w:val="99"/>
    <w:rsid w:val="00433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058"/>
    <w:pPr>
      <w:tabs>
        <w:tab w:val="center" w:pos="4819"/>
        <w:tab w:val="right" w:pos="9638"/>
      </w:tabs>
    </w:pPr>
  </w:style>
  <w:style w:type="character" w:customStyle="1" w:styleId="HeaderChar">
    <w:name w:val="Header Char"/>
    <w:link w:val="Header"/>
    <w:uiPriority w:val="99"/>
    <w:rsid w:val="00A75058"/>
    <w:rPr>
      <w:lang w:eastAsia="en-US"/>
    </w:rPr>
  </w:style>
  <w:style w:type="paragraph" w:styleId="Footer">
    <w:name w:val="footer"/>
    <w:basedOn w:val="Normal"/>
    <w:link w:val="FooterChar"/>
    <w:uiPriority w:val="99"/>
    <w:unhideWhenUsed/>
    <w:rsid w:val="00A75058"/>
    <w:pPr>
      <w:tabs>
        <w:tab w:val="center" w:pos="4819"/>
        <w:tab w:val="right" w:pos="9638"/>
      </w:tabs>
    </w:pPr>
  </w:style>
  <w:style w:type="character" w:customStyle="1" w:styleId="FooterChar">
    <w:name w:val="Footer Char"/>
    <w:link w:val="Footer"/>
    <w:uiPriority w:val="99"/>
    <w:rsid w:val="00A75058"/>
    <w:rPr>
      <w:lang w:eastAsia="en-US"/>
    </w:rPr>
  </w:style>
  <w:style w:type="character" w:styleId="CommentReference">
    <w:name w:val="annotation reference"/>
    <w:basedOn w:val="DefaultParagraphFont"/>
    <w:semiHidden/>
    <w:unhideWhenUsed/>
    <w:rsid w:val="006A6949"/>
    <w:rPr>
      <w:sz w:val="16"/>
      <w:szCs w:val="16"/>
    </w:rPr>
  </w:style>
  <w:style w:type="paragraph" w:styleId="CommentText">
    <w:name w:val="annotation text"/>
    <w:basedOn w:val="Normal"/>
    <w:link w:val="CommentTextChar"/>
    <w:uiPriority w:val="99"/>
    <w:semiHidden/>
    <w:unhideWhenUsed/>
    <w:rsid w:val="006A6949"/>
    <w:pPr>
      <w:spacing w:line="240" w:lineRule="auto"/>
    </w:pPr>
    <w:rPr>
      <w:sz w:val="20"/>
      <w:szCs w:val="20"/>
    </w:rPr>
  </w:style>
  <w:style w:type="character" w:customStyle="1" w:styleId="CommentTextChar">
    <w:name w:val="Comment Text Char"/>
    <w:basedOn w:val="DefaultParagraphFont"/>
    <w:link w:val="CommentText"/>
    <w:uiPriority w:val="99"/>
    <w:semiHidden/>
    <w:rsid w:val="006A6949"/>
    <w:rPr>
      <w:lang w:eastAsia="en-US"/>
    </w:rPr>
  </w:style>
  <w:style w:type="paragraph" w:styleId="CommentSubject">
    <w:name w:val="annotation subject"/>
    <w:basedOn w:val="CommentText"/>
    <w:next w:val="CommentText"/>
    <w:link w:val="CommentSubjectChar"/>
    <w:uiPriority w:val="99"/>
    <w:semiHidden/>
    <w:unhideWhenUsed/>
    <w:rsid w:val="006A6949"/>
    <w:rPr>
      <w:b/>
      <w:bCs/>
    </w:rPr>
  </w:style>
  <w:style w:type="character" w:customStyle="1" w:styleId="CommentSubjectChar">
    <w:name w:val="Comment Subject Char"/>
    <w:basedOn w:val="CommentTextChar"/>
    <w:link w:val="CommentSubject"/>
    <w:uiPriority w:val="99"/>
    <w:semiHidden/>
    <w:rsid w:val="006A6949"/>
    <w:rPr>
      <w:b/>
      <w:bCs/>
      <w:lang w:eastAsia="en-US"/>
    </w:rPr>
  </w:style>
  <w:style w:type="paragraph" w:styleId="ListParagraph">
    <w:name w:val="List Paragraph"/>
    <w:basedOn w:val="Normal"/>
    <w:uiPriority w:val="34"/>
    <w:qFormat/>
    <w:rsid w:val="0018441F"/>
    <w:pPr>
      <w:ind w:left="720"/>
      <w:contextualSpacing/>
    </w:pPr>
  </w:style>
  <w:style w:type="character" w:styleId="Hyperlink">
    <w:name w:val="Hyperlink"/>
    <w:basedOn w:val="DefaultParagraphFont"/>
    <w:uiPriority w:val="99"/>
    <w:unhideWhenUsed/>
    <w:rsid w:val="003D6864"/>
    <w:rPr>
      <w:color w:val="0000FF" w:themeColor="hyperlink"/>
      <w:u w:val="single"/>
    </w:rPr>
  </w:style>
  <w:style w:type="character" w:styleId="Strong">
    <w:name w:val="Strong"/>
    <w:basedOn w:val="DefaultParagraphFont"/>
    <w:uiPriority w:val="22"/>
    <w:qFormat/>
    <w:locked/>
    <w:rsid w:val="00370411"/>
    <w:rPr>
      <w:b/>
      <w:bCs/>
    </w:rPr>
  </w:style>
  <w:style w:type="paragraph" w:customStyle="1" w:styleId="Default">
    <w:name w:val="Default"/>
    <w:rsid w:val="009912DB"/>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rsid w:val="00375DFE"/>
    <w:rPr>
      <w:rFonts w:ascii="Times New Roman" w:eastAsia="Times New Roman" w:hAnsi="Times New Roman"/>
      <w:b/>
      <w:bCs/>
      <w:sz w:val="27"/>
      <w:szCs w:val="27"/>
    </w:rPr>
  </w:style>
  <w:style w:type="character" w:customStyle="1" w:styleId="clear">
    <w:name w:val="clear"/>
    <w:basedOn w:val="DefaultParagraphFont"/>
    <w:rsid w:val="00A2152A"/>
  </w:style>
  <w:style w:type="paragraph" w:customStyle="1" w:styleId="normal-p">
    <w:name w:val="normal-p"/>
    <w:basedOn w:val="Normal"/>
    <w:rsid w:val="00A9166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WW8Num5z2">
    <w:name w:val="WW8Num5z2"/>
    <w:rsid w:val="00A17793"/>
    <w:rPr>
      <w:rFonts w:ascii="Wingdings" w:hAnsi="Wingdings" w:cs="Wingdings"/>
    </w:rPr>
  </w:style>
  <w:style w:type="paragraph" w:customStyle="1" w:styleId="tajtip">
    <w:name w:val="tajtip"/>
    <w:basedOn w:val="Normal"/>
    <w:rsid w:val="00040F8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p">
    <w:name w:val="tip"/>
    <w:basedOn w:val="Normal"/>
    <w:rsid w:val="00E110AD"/>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210">
      <w:bodyDiv w:val="1"/>
      <w:marLeft w:val="0"/>
      <w:marRight w:val="0"/>
      <w:marTop w:val="0"/>
      <w:marBottom w:val="0"/>
      <w:divBdr>
        <w:top w:val="none" w:sz="0" w:space="0" w:color="auto"/>
        <w:left w:val="none" w:sz="0" w:space="0" w:color="auto"/>
        <w:bottom w:val="none" w:sz="0" w:space="0" w:color="auto"/>
        <w:right w:val="none" w:sz="0" w:space="0" w:color="auto"/>
      </w:divBdr>
    </w:div>
    <w:div w:id="392312392">
      <w:marLeft w:val="225"/>
      <w:marRight w:val="225"/>
      <w:marTop w:val="0"/>
      <w:marBottom w:val="0"/>
      <w:divBdr>
        <w:top w:val="none" w:sz="0" w:space="0" w:color="auto"/>
        <w:left w:val="none" w:sz="0" w:space="0" w:color="auto"/>
        <w:bottom w:val="none" w:sz="0" w:space="0" w:color="auto"/>
        <w:right w:val="none" w:sz="0" w:space="0" w:color="auto"/>
      </w:divBdr>
    </w:div>
    <w:div w:id="392312393">
      <w:marLeft w:val="0"/>
      <w:marRight w:val="0"/>
      <w:marTop w:val="0"/>
      <w:marBottom w:val="0"/>
      <w:divBdr>
        <w:top w:val="none" w:sz="0" w:space="0" w:color="auto"/>
        <w:left w:val="none" w:sz="0" w:space="0" w:color="auto"/>
        <w:bottom w:val="none" w:sz="0" w:space="0" w:color="auto"/>
        <w:right w:val="none" w:sz="0" w:space="0" w:color="auto"/>
      </w:divBdr>
    </w:div>
    <w:div w:id="392312394">
      <w:marLeft w:val="0"/>
      <w:marRight w:val="0"/>
      <w:marTop w:val="0"/>
      <w:marBottom w:val="0"/>
      <w:divBdr>
        <w:top w:val="none" w:sz="0" w:space="0" w:color="auto"/>
        <w:left w:val="none" w:sz="0" w:space="0" w:color="auto"/>
        <w:bottom w:val="none" w:sz="0" w:space="0" w:color="auto"/>
        <w:right w:val="none" w:sz="0" w:space="0" w:color="auto"/>
      </w:divBdr>
    </w:div>
    <w:div w:id="392312395">
      <w:marLeft w:val="0"/>
      <w:marRight w:val="0"/>
      <w:marTop w:val="0"/>
      <w:marBottom w:val="0"/>
      <w:divBdr>
        <w:top w:val="none" w:sz="0" w:space="0" w:color="auto"/>
        <w:left w:val="none" w:sz="0" w:space="0" w:color="auto"/>
        <w:bottom w:val="none" w:sz="0" w:space="0" w:color="auto"/>
        <w:right w:val="none" w:sz="0" w:space="0" w:color="auto"/>
      </w:divBdr>
    </w:div>
    <w:div w:id="392312396">
      <w:marLeft w:val="0"/>
      <w:marRight w:val="0"/>
      <w:marTop w:val="0"/>
      <w:marBottom w:val="0"/>
      <w:divBdr>
        <w:top w:val="none" w:sz="0" w:space="0" w:color="auto"/>
        <w:left w:val="none" w:sz="0" w:space="0" w:color="auto"/>
        <w:bottom w:val="none" w:sz="0" w:space="0" w:color="auto"/>
        <w:right w:val="none" w:sz="0" w:space="0" w:color="auto"/>
      </w:divBdr>
    </w:div>
    <w:div w:id="417026241">
      <w:bodyDiv w:val="1"/>
      <w:marLeft w:val="0"/>
      <w:marRight w:val="0"/>
      <w:marTop w:val="0"/>
      <w:marBottom w:val="0"/>
      <w:divBdr>
        <w:top w:val="none" w:sz="0" w:space="0" w:color="auto"/>
        <w:left w:val="none" w:sz="0" w:space="0" w:color="auto"/>
        <w:bottom w:val="none" w:sz="0" w:space="0" w:color="auto"/>
        <w:right w:val="none" w:sz="0" w:space="0" w:color="auto"/>
      </w:divBdr>
    </w:div>
    <w:div w:id="434711643">
      <w:bodyDiv w:val="1"/>
      <w:marLeft w:val="0"/>
      <w:marRight w:val="0"/>
      <w:marTop w:val="0"/>
      <w:marBottom w:val="0"/>
      <w:divBdr>
        <w:top w:val="none" w:sz="0" w:space="0" w:color="auto"/>
        <w:left w:val="none" w:sz="0" w:space="0" w:color="auto"/>
        <w:bottom w:val="none" w:sz="0" w:space="0" w:color="auto"/>
        <w:right w:val="none" w:sz="0" w:space="0" w:color="auto"/>
      </w:divBdr>
    </w:div>
    <w:div w:id="689985687">
      <w:bodyDiv w:val="1"/>
      <w:marLeft w:val="0"/>
      <w:marRight w:val="0"/>
      <w:marTop w:val="0"/>
      <w:marBottom w:val="0"/>
      <w:divBdr>
        <w:top w:val="none" w:sz="0" w:space="0" w:color="auto"/>
        <w:left w:val="none" w:sz="0" w:space="0" w:color="auto"/>
        <w:bottom w:val="none" w:sz="0" w:space="0" w:color="auto"/>
        <w:right w:val="none" w:sz="0" w:space="0" w:color="auto"/>
      </w:divBdr>
    </w:div>
    <w:div w:id="703671894">
      <w:bodyDiv w:val="1"/>
      <w:marLeft w:val="0"/>
      <w:marRight w:val="0"/>
      <w:marTop w:val="0"/>
      <w:marBottom w:val="0"/>
      <w:divBdr>
        <w:top w:val="none" w:sz="0" w:space="0" w:color="auto"/>
        <w:left w:val="none" w:sz="0" w:space="0" w:color="auto"/>
        <w:bottom w:val="none" w:sz="0" w:space="0" w:color="auto"/>
        <w:right w:val="none" w:sz="0" w:space="0" w:color="auto"/>
      </w:divBdr>
    </w:div>
    <w:div w:id="847982036">
      <w:bodyDiv w:val="1"/>
      <w:marLeft w:val="0"/>
      <w:marRight w:val="0"/>
      <w:marTop w:val="0"/>
      <w:marBottom w:val="0"/>
      <w:divBdr>
        <w:top w:val="none" w:sz="0" w:space="0" w:color="auto"/>
        <w:left w:val="none" w:sz="0" w:space="0" w:color="auto"/>
        <w:bottom w:val="none" w:sz="0" w:space="0" w:color="auto"/>
        <w:right w:val="none" w:sz="0" w:space="0" w:color="auto"/>
      </w:divBdr>
    </w:div>
    <w:div w:id="852958341">
      <w:bodyDiv w:val="1"/>
      <w:marLeft w:val="0"/>
      <w:marRight w:val="0"/>
      <w:marTop w:val="0"/>
      <w:marBottom w:val="0"/>
      <w:divBdr>
        <w:top w:val="none" w:sz="0" w:space="0" w:color="auto"/>
        <w:left w:val="none" w:sz="0" w:space="0" w:color="auto"/>
        <w:bottom w:val="none" w:sz="0" w:space="0" w:color="auto"/>
        <w:right w:val="none" w:sz="0" w:space="0" w:color="auto"/>
      </w:divBdr>
      <w:divsChild>
        <w:div w:id="859011832">
          <w:marLeft w:val="0"/>
          <w:marRight w:val="0"/>
          <w:marTop w:val="0"/>
          <w:marBottom w:val="0"/>
          <w:divBdr>
            <w:top w:val="none" w:sz="0" w:space="0" w:color="auto"/>
            <w:left w:val="none" w:sz="0" w:space="0" w:color="auto"/>
            <w:bottom w:val="none" w:sz="0" w:space="0" w:color="auto"/>
            <w:right w:val="none" w:sz="0" w:space="0" w:color="auto"/>
          </w:divBdr>
        </w:div>
      </w:divsChild>
    </w:div>
    <w:div w:id="866455353">
      <w:bodyDiv w:val="1"/>
      <w:marLeft w:val="0"/>
      <w:marRight w:val="0"/>
      <w:marTop w:val="0"/>
      <w:marBottom w:val="0"/>
      <w:divBdr>
        <w:top w:val="none" w:sz="0" w:space="0" w:color="auto"/>
        <w:left w:val="none" w:sz="0" w:space="0" w:color="auto"/>
        <w:bottom w:val="none" w:sz="0" w:space="0" w:color="auto"/>
        <w:right w:val="none" w:sz="0" w:space="0" w:color="auto"/>
      </w:divBdr>
    </w:div>
    <w:div w:id="1047993588">
      <w:bodyDiv w:val="1"/>
      <w:marLeft w:val="0"/>
      <w:marRight w:val="0"/>
      <w:marTop w:val="0"/>
      <w:marBottom w:val="0"/>
      <w:divBdr>
        <w:top w:val="none" w:sz="0" w:space="0" w:color="auto"/>
        <w:left w:val="none" w:sz="0" w:space="0" w:color="auto"/>
        <w:bottom w:val="none" w:sz="0" w:space="0" w:color="auto"/>
        <w:right w:val="none" w:sz="0" w:space="0" w:color="auto"/>
      </w:divBdr>
    </w:div>
    <w:div w:id="1580216603">
      <w:bodyDiv w:val="1"/>
      <w:marLeft w:val="0"/>
      <w:marRight w:val="0"/>
      <w:marTop w:val="0"/>
      <w:marBottom w:val="0"/>
      <w:divBdr>
        <w:top w:val="none" w:sz="0" w:space="0" w:color="auto"/>
        <w:left w:val="none" w:sz="0" w:space="0" w:color="auto"/>
        <w:bottom w:val="none" w:sz="0" w:space="0" w:color="auto"/>
        <w:right w:val="none" w:sz="0" w:space="0" w:color="auto"/>
      </w:divBdr>
    </w:div>
    <w:div w:id="1721129351">
      <w:bodyDiv w:val="1"/>
      <w:marLeft w:val="0"/>
      <w:marRight w:val="0"/>
      <w:marTop w:val="0"/>
      <w:marBottom w:val="0"/>
      <w:divBdr>
        <w:top w:val="none" w:sz="0" w:space="0" w:color="auto"/>
        <w:left w:val="none" w:sz="0" w:space="0" w:color="auto"/>
        <w:bottom w:val="none" w:sz="0" w:space="0" w:color="auto"/>
        <w:right w:val="none" w:sz="0" w:space="0" w:color="auto"/>
      </w:divBdr>
    </w:div>
    <w:div w:id="1874221584">
      <w:bodyDiv w:val="1"/>
      <w:marLeft w:val="0"/>
      <w:marRight w:val="0"/>
      <w:marTop w:val="0"/>
      <w:marBottom w:val="0"/>
      <w:divBdr>
        <w:top w:val="none" w:sz="0" w:space="0" w:color="auto"/>
        <w:left w:val="none" w:sz="0" w:space="0" w:color="auto"/>
        <w:bottom w:val="none" w:sz="0" w:space="0" w:color="auto"/>
        <w:right w:val="none" w:sz="0" w:space="0" w:color="auto"/>
      </w:divBdr>
    </w:div>
    <w:div w:id="1973512977">
      <w:bodyDiv w:val="1"/>
      <w:marLeft w:val="0"/>
      <w:marRight w:val="0"/>
      <w:marTop w:val="0"/>
      <w:marBottom w:val="0"/>
      <w:divBdr>
        <w:top w:val="none" w:sz="0" w:space="0" w:color="auto"/>
        <w:left w:val="none" w:sz="0" w:space="0" w:color="auto"/>
        <w:bottom w:val="none" w:sz="0" w:space="0" w:color="auto"/>
        <w:right w:val="none" w:sz="0" w:space="0" w:color="auto"/>
      </w:divBdr>
    </w:div>
    <w:div w:id="1979340729">
      <w:bodyDiv w:val="1"/>
      <w:marLeft w:val="0"/>
      <w:marRight w:val="0"/>
      <w:marTop w:val="0"/>
      <w:marBottom w:val="0"/>
      <w:divBdr>
        <w:top w:val="none" w:sz="0" w:space="0" w:color="auto"/>
        <w:left w:val="none" w:sz="0" w:space="0" w:color="auto"/>
        <w:bottom w:val="none" w:sz="0" w:space="0" w:color="auto"/>
        <w:right w:val="none" w:sz="0" w:space="0" w:color="auto"/>
      </w:divBdr>
    </w:div>
    <w:div w:id="20805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81C2A-613C-424E-B741-6025E030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13847</Words>
  <Characters>7893</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DERINIMO PAŽYMA</vt:lpstr>
    </vt:vector>
  </TitlesOfParts>
  <Company/>
  <LinksUpToDate>false</LinksUpToDate>
  <CharactersWithSpaces>21697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DERINIMO PAŽYMA</dc:title>
  <dc:creator>Vilma Mociūnaitė</dc:creator>
  <cp:lastModifiedBy>Andrius Jautakis</cp:lastModifiedBy>
  <cp:revision>2</cp:revision>
  <cp:lastPrinted>2016-08-22T14:16:00Z</cp:lastPrinted>
  <dcterms:created xsi:type="dcterms:W3CDTF">2018-03-15T08:52:00Z</dcterms:created>
  <dcterms:modified xsi:type="dcterms:W3CDTF">2018-03-15T08:52:00Z</dcterms:modified>
</cp:coreProperties>
</file>