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00B78" w14:textId="77777777" w:rsidR="00F337B8" w:rsidRDefault="00F337B8">
      <w:pPr>
        <w:rPr>
          <w:sz w:val="18"/>
          <w:szCs w:val="18"/>
        </w:rPr>
      </w:pPr>
    </w:p>
    <w:p w14:paraId="3E84AF92" w14:textId="77777777" w:rsidR="00F337B8" w:rsidRPr="00A16362" w:rsidRDefault="004D5CB0">
      <w:pPr>
        <w:tabs>
          <w:tab w:val="left" w:pos="1276"/>
        </w:tabs>
        <w:jc w:val="center"/>
        <w:rPr>
          <w:rFonts w:eastAsia="Calibri"/>
          <w:b/>
          <w:kern w:val="16"/>
          <w:szCs w:val="24"/>
        </w:rPr>
      </w:pPr>
      <w:r w:rsidRPr="00A16362">
        <w:rPr>
          <w:rFonts w:eastAsia="Calibri"/>
          <w:b/>
          <w:kern w:val="16"/>
          <w:szCs w:val="24"/>
        </w:rPr>
        <w:t>2014–2020 METŲ EUROPOS SĄJUNGOS FONDŲ INVESTICIJŲ VEIKSMŲ PROGRAMOS 5</w:t>
      </w:r>
      <w:r w:rsidRPr="00A16362">
        <w:rPr>
          <w:rFonts w:eastAsia="Calibri"/>
          <w:b/>
          <w:szCs w:val="24"/>
        </w:rPr>
        <w:t xml:space="preserve"> PRIORITETO „APLINKOSAUGA, GAMTOS IŠTEKLIŲ DARNUS NAUDOJIMAS IR PRISITAIKYMAS PRIE KLIMATO KAITOS“ NR. 05.4.1-CPVA-K-303 PRIEMONĖS „AKTUALIZUOTI VIEŠĄJĮ IR PRIVATŲ KULTŪROS PAVELDĄ“ PROJEKTŲ FINANSAVIMO SĄLYGŲ APRAŠAS NR. 1</w:t>
      </w:r>
    </w:p>
    <w:p w14:paraId="035037A1" w14:textId="77777777" w:rsidR="00F337B8" w:rsidRPr="00A16362" w:rsidRDefault="00F337B8">
      <w:pPr>
        <w:tabs>
          <w:tab w:val="left" w:pos="1276"/>
        </w:tabs>
        <w:jc w:val="center"/>
        <w:rPr>
          <w:rFonts w:eastAsia="Calibri"/>
          <w:b/>
          <w:szCs w:val="24"/>
        </w:rPr>
      </w:pPr>
    </w:p>
    <w:p w14:paraId="3772C8D2" w14:textId="77777777" w:rsidR="00F337B8" w:rsidRPr="00A16362" w:rsidRDefault="00F337B8">
      <w:pPr>
        <w:tabs>
          <w:tab w:val="left" w:pos="1276"/>
        </w:tabs>
        <w:jc w:val="center"/>
        <w:rPr>
          <w:rFonts w:eastAsia="Calibri"/>
          <w:b/>
          <w:szCs w:val="24"/>
        </w:rPr>
      </w:pPr>
    </w:p>
    <w:p w14:paraId="498EF602" w14:textId="77777777" w:rsidR="00F337B8" w:rsidRPr="00A16362" w:rsidRDefault="004D5CB0">
      <w:pPr>
        <w:tabs>
          <w:tab w:val="left" w:pos="1276"/>
        </w:tabs>
        <w:contextualSpacing/>
        <w:jc w:val="center"/>
        <w:rPr>
          <w:rFonts w:eastAsia="Calibri"/>
          <w:b/>
          <w:szCs w:val="24"/>
        </w:rPr>
      </w:pPr>
      <w:r w:rsidRPr="00A16362">
        <w:rPr>
          <w:rFonts w:eastAsia="Calibri"/>
          <w:b/>
          <w:szCs w:val="24"/>
        </w:rPr>
        <w:t>I SKYRIUS</w:t>
      </w:r>
    </w:p>
    <w:p w14:paraId="0C8093C8" w14:textId="77777777" w:rsidR="00F337B8" w:rsidRPr="00A16362" w:rsidRDefault="004D5CB0">
      <w:pPr>
        <w:tabs>
          <w:tab w:val="left" w:pos="1276"/>
        </w:tabs>
        <w:contextualSpacing/>
        <w:jc w:val="center"/>
        <w:rPr>
          <w:rFonts w:eastAsia="Calibri"/>
          <w:b/>
          <w:szCs w:val="24"/>
        </w:rPr>
      </w:pPr>
      <w:r w:rsidRPr="00A16362">
        <w:rPr>
          <w:rFonts w:eastAsia="Calibri"/>
          <w:b/>
          <w:szCs w:val="24"/>
        </w:rPr>
        <w:t>BENDROSIOS NUOSTATOS</w:t>
      </w:r>
    </w:p>
    <w:p w14:paraId="3BB20618" w14:textId="77777777" w:rsidR="00F337B8" w:rsidRPr="00A16362" w:rsidRDefault="00F337B8">
      <w:pPr>
        <w:tabs>
          <w:tab w:val="left" w:pos="1276"/>
        </w:tabs>
        <w:jc w:val="center"/>
        <w:rPr>
          <w:rFonts w:eastAsia="Calibri"/>
          <w:b/>
          <w:szCs w:val="24"/>
        </w:rPr>
      </w:pPr>
    </w:p>
    <w:p w14:paraId="526F27DF" w14:textId="3D3C7375" w:rsidR="00F337B8" w:rsidRPr="00A16362" w:rsidRDefault="003625C0">
      <w:pPr>
        <w:rPr>
          <w:sz w:val="18"/>
          <w:szCs w:val="18"/>
        </w:rPr>
      </w:pPr>
      <w:r>
        <w:rPr>
          <w:rFonts w:eastAsia="Calibri"/>
          <w:szCs w:val="24"/>
        </w:rPr>
        <w:t>&lt;...&gt;</w:t>
      </w:r>
      <w:bookmarkStart w:id="0" w:name="_GoBack"/>
      <w:bookmarkEnd w:id="0"/>
    </w:p>
    <w:p w14:paraId="0D597CBE" w14:textId="77777777" w:rsidR="00F337B8" w:rsidRPr="00A16362" w:rsidRDefault="004D5CB0">
      <w:pPr>
        <w:tabs>
          <w:tab w:val="left" w:pos="851"/>
        </w:tabs>
        <w:spacing w:line="276" w:lineRule="auto"/>
        <w:ind w:firstLine="567"/>
        <w:contextualSpacing/>
        <w:jc w:val="both"/>
        <w:rPr>
          <w:rFonts w:eastAsia="Calibri"/>
          <w:szCs w:val="24"/>
        </w:rPr>
      </w:pPr>
      <w:r w:rsidRPr="00A16362">
        <w:rPr>
          <w:rFonts w:eastAsia="Calibri"/>
          <w:szCs w:val="24"/>
        </w:rPr>
        <w:t>4.</w:t>
      </w:r>
      <w:r w:rsidRPr="00A16362">
        <w:rPr>
          <w:rFonts w:eastAsia="Calibri"/>
          <w:szCs w:val="24"/>
        </w:rPr>
        <w:tab/>
        <w:t>Apraše vartojamos kitos sąvokos:</w:t>
      </w:r>
    </w:p>
    <w:p w14:paraId="3D1339A0" w14:textId="77777777" w:rsidR="00F337B8" w:rsidRPr="00A16362" w:rsidRDefault="00F337B8">
      <w:pPr>
        <w:rPr>
          <w:sz w:val="18"/>
          <w:szCs w:val="18"/>
        </w:rPr>
      </w:pPr>
    </w:p>
    <w:p w14:paraId="7D93AE67" w14:textId="332F6B84" w:rsidR="00F337B8" w:rsidRPr="00A4650A" w:rsidRDefault="003625C0">
      <w:pPr>
        <w:rPr>
          <w:szCs w:val="24"/>
        </w:rPr>
      </w:pPr>
      <w:r>
        <w:rPr>
          <w:color w:val="000000"/>
          <w:szCs w:val="24"/>
        </w:rPr>
        <w:t>&lt;...&gt;</w:t>
      </w:r>
    </w:p>
    <w:p w14:paraId="2596AB18" w14:textId="66F4BFEA" w:rsidR="00F337B8" w:rsidRDefault="004D5CB0">
      <w:pPr>
        <w:widowControl w:val="0"/>
        <w:suppressAutoHyphens/>
        <w:ind w:firstLine="567"/>
        <w:jc w:val="both"/>
        <w:textAlignment w:val="center"/>
        <w:rPr>
          <w:szCs w:val="24"/>
        </w:rPr>
      </w:pPr>
      <w:r w:rsidRPr="00545E1A">
        <w:rPr>
          <w:color w:val="000000"/>
          <w:szCs w:val="24"/>
        </w:rPr>
        <w:t xml:space="preserve">4.6. </w:t>
      </w:r>
      <w:r w:rsidRPr="00545E1A">
        <w:rPr>
          <w:b/>
          <w:szCs w:val="24"/>
        </w:rPr>
        <w:t>Viešoji paslauga</w:t>
      </w:r>
      <w:r w:rsidRPr="00545E1A">
        <w:rPr>
          <w:szCs w:val="24"/>
        </w:rPr>
        <w:t xml:space="preserve"> </w:t>
      </w:r>
      <w:r w:rsidRPr="00545E1A">
        <w:rPr>
          <w:b/>
          <w:szCs w:val="24"/>
        </w:rPr>
        <w:t>– tai paslauga, k</w:t>
      </w:r>
      <w:r w:rsidR="00B35FE7">
        <w:rPr>
          <w:b/>
          <w:szCs w:val="24"/>
        </w:rPr>
        <w:t>aip</w:t>
      </w:r>
      <w:r w:rsidRPr="00545E1A">
        <w:rPr>
          <w:b/>
          <w:szCs w:val="24"/>
        </w:rPr>
        <w:t xml:space="preserve"> apibrėžta Lietuvos Respublikos viešojo administravimo įstatyme arba religinės apeigos, atliekamos viešai kultūros paveldo objekte, kurio bent vienas reikšmingumą lementis vertingųjų savybių pobūdis – sakralinis.</w:t>
      </w:r>
      <w:r w:rsidRPr="00545E1A">
        <w:rPr>
          <w:szCs w:val="24"/>
        </w:rPr>
        <w:t xml:space="preserve"> </w:t>
      </w:r>
    </w:p>
    <w:p w14:paraId="2B0281D1" w14:textId="77777777" w:rsidR="00545E1A" w:rsidRPr="00545E1A" w:rsidRDefault="00545E1A">
      <w:pPr>
        <w:widowControl w:val="0"/>
        <w:suppressAutoHyphens/>
        <w:ind w:firstLine="567"/>
        <w:jc w:val="both"/>
        <w:textAlignment w:val="center"/>
        <w:rPr>
          <w:szCs w:val="24"/>
        </w:rPr>
      </w:pPr>
    </w:p>
    <w:p w14:paraId="202E6CFF" w14:textId="77777777" w:rsidR="00D419EB" w:rsidRPr="00545E1A" w:rsidRDefault="00D419EB" w:rsidP="00D419EB">
      <w:pPr>
        <w:widowControl w:val="0"/>
        <w:suppressAutoHyphens/>
        <w:ind w:firstLine="567"/>
        <w:jc w:val="both"/>
        <w:textAlignment w:val="center"/>
        <w:rPr>
          <w:strike/>
          <w:szCs w:val="24"/>
        </w:rPr>
      </w:pPr>
      <w:r w:rsidRPr="00545E1A">
        <w:rPr>
          <w:strike/>
          <w:color w:val="000000"/>
          <w:szCs w:val="24"/>
        </w:rPr>
        <w:t>4.6.</w:t>
      </w:r>
      <w:r w:rsidRPr="00545E1A">
        <w:rPr>
          <w:b/>
          <w:strike/>
          <w:color w:val="000000"/>
          <w:szCs w:val="24"/>
        </w:rPr>
        <w:t xml:space="preserve"> </w:t>
      </w:r>
      <w:r w:rsidRPr="00545E1A">
        <w:rPr>
          <w:b/>
          <w:strike/>
          <w:szCs w:val="24"/>
        </w:rPr>
        <w:t xml:space="preserve">Viešoji paslauga – </w:t>
      </w:r>
      <w:r w:rsidRPr="00545E1A">
        <w:rPr>
          <w:strike/>
          <w:szCs w:val="24"/>
        </w:rPr>
        <w:t>valstybės ar savivaldybių kontroliuojamų juridinių</w:t>
      </w:r>
      <w:r w:rsidRPr="00545E1A">
        <w:rPr>
          <w:bCs/>
          <w:strike/>
          <w:szCs w:val="24"/>
        </w:rPr>
        <w:t xml:space="preserve"> </w:t>
      </w:r>
      <w:r w:rsidRPr="00545E1A">
        <w:rPr>
          <w:strike/>
          <w:szCs w:val="24"/>
        </w:rPr>
        <w:t xml:space="preserve">asmenų kultūros, socialinės, švietimo, mokslo ir kitos veiklos, teikiant asmenims paslaugas arba religinės apeigos, atliekamos viešai kultūros paveldo objekte, kurio bent vienas reikšmingumą lemiantis vertingųjų savybių pobūdis – sakralinis. </w:t>
      </w:r>
    </w:p>
    <w:p w14:paraId="02B1C3A5" w14:textId="77777777" w:rsidR="00545E1A" w:rsidRPr="00A16362" w:rsidRDefault="00545E1A" w:rsidP="00545E1A">
      <w:pPr>
        <w:rPr>
          <w:sz w:val="18"/>
          <w:szCs w:val="18"/>
        </w:rPr>
      </w:pPr>
    </w:p>
    <w:p w14:paraId="2A528E82" w14:textId="640D0D0C" w:rsidR="00D419EB" w:rsidRPr="0082597D" w:rsidRDefault="00D419EB" w:rsidP="00D419EB">
      <w:pPr>
        <w:widowControl w:val="0"/>
        <w:suppressAutoHyphens/>
        <w:ind w:firstLine="567"/>
        <w:jc w:val="both"/>
        <w:textAlignment w:val="center"/>
        <w:rPr>
          <w:b/>
          <w:strike/>
          <w:szCs w:val="24"/>
        </w:rPr>
      </w:pPr>
      <w:r w:rsidRPr="0082597D">
        <w:rPr>
          <w:b/>
          <w:strike/>
          <w:szCs w:val="24"/>
        </w:rPr>
        <w:t>4.7. Valstybės ar savivaldybių kontroliuojami juridiniai</w:t>
      </w:r>
      <w:r w:rsidRPr="0082597D">
        <w:rPr>
          <w:b/>
          <w:bCs/>
          <w:strike/>
          <w:szCs w:val="24"/>
        </w:rPr>
        <w:t xml:space="preserve"> </w:t>
      </w:r>
      <w:r w:rsidRPr="0082597D">
        <w:rPr>
          <w:b/>
          <w:strike/>
          <w:szCs w:val="24"/>
        </w:rPr>
        <w:t xml:space="preserve">asmenys – </w:t>
      </w:r>
      <w:r w:rsidR="00EE7568" w:rsidRPr="0082597D">
        <w:rPr>
          <w:b/>
          <w:strike/>
        </w:rPr>
        <w:t>tokie juridiniai</w:t>
      </w:r>
      <w:r w:rsidR="00EE7568" w:rsidRPr="0082597D">
        <w:rPr>
          <w:b/>
          <w:bCs/>
          <w:strike/>
        </w:rPr>
        <w:t xml:space="preserve"> </w:t>
      </w:r>
      <w:r w:rsidR="00EE7568" w:rsidRPr="0082597D">
        <w:rPr>
          <w:b/>
          <w:strike/>
        </w:rPr>
        <w:t>asmenys, kurių daugiau nei 50 proc. dalininkų / akcininkų yra valstybė ir (arba) savivaldybė ir valstybė ir (arba) savivaldybė turi daugiau nei 50 proc. dalininkų / akcininkų balsų, taip pat biudžetinė įstaiga, įsteigta valstybės ar savivaldybės.</w:t>
      </w:r>
    </w:p>
    <w:p w14:paraId="78AB42B1" w14:textId="77777777" w:rsidR="00545E1A" w:rsidRPr="00A16362" w:rsidRDefault="00545E1A" w:rsidP="00545E1A">
      <w:pPr>
        <w:rPr>
          <w:sz w:val="18"/>
          <w:szCs w:val="18"/>
        </w:rPr>
      </w:pPr>
    </w:p>
    <w:p w14:paraId="61AF215F" w14:textId="1EC16D53" w:rsidR="00F337B8" w:rsidRPr="00545E1A" w:rsidRDefault="001270C7" w:rsidP="001270C7">
      <w:pPr>
        <w:widowControl w:val="0"/>
        <w:suppressAutoHyphens/>
        <w:ind w:firstLine="567"/>
        <w:jc w:val="both"/>
        <w:textAlignment w:val="center"/>
        <w:rPr>
          <w:color w:val="000000"/>
          <w:szCs w:val="24"/>
        </w:rPr>
      </w:pPr>
      <w:r w:rsidRPr="00545E1A">
        <w:rPr>
          <w:b/>
          <w:bCs/>
          <w:strike/>
          <w:color w:val="000000"/>
          <w:szCs w:val="24"/>
        </w:rPr>
        <w:t>4.8.</w:t>
      </w:r>
      <w:r w:rsidR="00545E1A">
        <w:rPr>
          <w:b/>
          <w:bCs/>
          <w:color w:val="000000"/>
          <w:szCs w:val="24"/>
        </w:rPr>
        <w:t xml:space="preserve"> 4.7.</w:t>
      </w:r>
      <w:r w:rsidRPr="00A4650A">
        <w:rPr>
          <w:b/>
          <w:bCs/>
          <w:color w:val="000000"/>
          <w:szCs w:val="24"/>
        </w:rPr>
        <w:t xml:space="preserve"> </w:t>
      </w:r>
      <w:r w:rsidR="00F27D9E" w:rsidRPr="00A4650A">
        <w:rPr>
          <w:b/>
          <w:szCs w:val="24"/>
        </w:rPr>
        <w:t>V</w:t>
      </w:r>
      <w:r w:rsidRPr="00A4650A">
        <w:rPr>
          <w:b/>
          <w:szCs w:val="24"/>
        </w:rPr>
        <w:t xml:space="preserve">iešoji kultūros paslauga </w:t>
      </w:r>
      <w:r w:rsidRPr="00545E1A">
        <w:rPr>
          <w:szCs w:val="24"/>
        </w:rPr>
        <w:t>–</w:t>
      </w:r>
      <w:r w:rsidR="00E16C73" w:rsidRPr="00545E1A">
        <w:rPr>
          <w:szCs w:val="24"/>
        </w:rPr>
        <w:t xml:space="preserve"> </w:t>
      </w:r>
      <w:r w:rsidR="00E16C73" w:rsidRPr="00A62710">
        <w:rPr>
          <w:b/>
          <w:strike/>
          <w:szCs w:val="24"/>
        </w:rPr>
        <w:t>valstybės ar savivaldybių kontroliuojamų</w:t>
      </w:r>
      <w:r w:rsidR="00E16C73" w:rsidRPr="00545E1A">
        <w:rPr>
          <w:szCs w:val="24"/>
        </w:rPr>
        <w:t xml:space="preserve"> juridinių asmenų vykdomos, lankytojams skirtos, kultūrinės veiklos, kaip jos apibrėžtos Reglamento (ES) Nr. 651/2014, 53 straipsnio 2 dalyje.</w:t>
      </w:r>
    </w:p>
    <w:p w14:paraId="5D2A7185" w14:textId="77777777" w:rsidR="00545E1A" w:rsidRPr="00A16362" w:rsidRDefault="00545E1A" w:rsidP="00545E1A">
      <w:pPr>
        <w:rPr>
          <w:sz w:val="18"/>
          <w:szCs w:val="18"/>
        </w:rPr>
      </w:pPr>
    </w:p>
    <w:p w14:paraId="7013D94C" w14:textId="736CE238" w:rsidR="00F337B8" w:rsidRPr="00A16362" w:rsidRDefault="003625C0">
      <w:pPr>
        <w:widowControl w:val="0"/>
        <w:tabs>
          <w:tab w:val="left" w:pos="993"/>
        </w:tabs>
        <w:ind w:firstLine="567"/>
        <w:jc w:val="both"/>
        <w:textAlignment w:val="baseline"/>
        <w:rPr>
          <w:sz w:val="18"/>
          <w:szCs w:val="18"/>
        </w:rPr>
      </w:pPr>
      <w:r>
        <w:rPr>
          <w:rFonts w:eastAsia="Calibri"/>
          <w:szCs w:val="24"/>
        </w:rPr>
        <w:t>&lt;...&gt;</w:t>
      </w:r>
    </w:p>
    <w:p w14:paraId="4051D767" w14:textId="77777777" w:rsidR="00545E1A" w:rsidRPr="00A16362" w:rsidRDefault="00545E1A" w:rsidP="00545E1A">
      <w:pPr>
        <w:rPr>
          <w:sz w:val="18"/>
          <w:szCs w:val="18"/>
        </w:rPr>
      </w:pPr>
    </w:p>
    <w:p w14:paraId="204D8C42" w14:textId="77777777" w:rsidR="00F337B8" w:rsidRPr="00A16362" w:rsidRDefault="004D5CB0">
      <w:pPr>
        <w:tabs>
          <w:tab w:val="left" w:pos="851"/>
        </w:tabs>
        <w:spacing w:line="276" w:lineRule="auto"/>
        <w:ind w:firstLine="567"/>
        <w:contextualSpacing/>
        <w:jc w:val="both"/>
        <w:rPr>
          <w:rFonts w:ascii="Calibri" w:eastAsia="Calibri" w:hAnsi="Calibri"/>
          <w:sz w:val="22"/>
          <w:szCs w:val="22"/>
        </w:rPr>
      </w:pPr>
      <w:r w:rsidRPr="00A16362">
        <w:rPr>
          <w:rFonts w:eastAsia="Calibri"/>
          <w:szCs w:val="24"/>
        </w:rPr>
        <w:t>9.</w:t>
      </w:r>
      <w:r w:rsidRPr="00A16362">
        <w:rPr>
          <w:rFonts w:eastAsia="Calibri"/>
          <w:szCs w:val="24"/>
        </w:rPr>
        <w:tab/>
        <w:t xml:space="preserve">Pagal Aprašą numatoma skelbti 2 kvietimus teikti paraiškas: </w:t>
      </w:r>
    </w:p>
    <w:p w14:paraId="5A0A8C67" w14:textId="77777777" w:rsidR="00F337B8" w:rsidRPr="00A16362" w:rsidRDefault="00F337B8">
      <w:pPr>
        <w:rPr>
          <w:sz w:val="18"/>
          <w:szCs w:val="18"/>
        </w:rPr>
      </w:pPr>
    </w:p>
    <w:p w14:paraId="61B92FBF" w14:textId="77777777" w:rsidR="00F337B8" w:rsidRPr="00A16362" w:rsidRDefault="004D5CB0">
      <w:pPr>
        <w:widowControl w:val="0"/>
        <w:tabs>
          <w:tab w:val="left" w:pos="993"/>
        </w:tabs>
        <w:ind w:firstLine="567"/>
        <w:jc w:val="both"/>
        <w:textAlignment w:val="baseline"/>
        <w:rPr>
          <w:rFonts w:eastAsia="Calibri"/>
          <w:szCs w:val="24"/>
        </w:rPr>
      </w:pPr>
      <w:r w:rsidRPr="00A16362">
        <w:rPr>
          <w:szCs w:val="24"/>
        </w:rPr>
        <w:t>9.1. Pirmajam kvietimui (pareiškėjams, kuriems, įgyvendinant Aprašo 11 punkto nuostatą, po projekto įgyvendinimo teiks ne viešąją paslaugą) numatoma skirti iki 14 711 249 eurų (keturiolikos milijonų septynių šimtų vienuolikos tūkstančių dviejų šimtų keturiasdešimt devynių eurų).</w:t>
      </w:r>
      <w:r w:rsidRPr="00A16362">
        <w:t xml:space="preserve"> </w:t>
      </w:r>
    </w:p>
    <w:p w14:paraId="1869948C" w14:textId="77777777" w:rsidR="00F337B8" w:rsidRPr="00A16362" w:rsidRDefault="00F337B8"/>
    <w:p w14:paraId="25747064" w14:textId="77777777" w:rsidR="00F337B8" w:rsidRPr="00A16362" w:rsidRDefault="004D5CB0">
      <w:pPr>
        <w:widowControl w:val="0"/>
        <w:tabs>
          <w:tab w:val="left" w:pos="993"/>
        </w:tabs>
        <w:ind w:firstLine="567"/>
        <w:jc w:val="both"/>
        <w:textAlignment w:val="baseline"/>
        <w:rPr>
          <w:rFonts w:eastAsia="Calibri"/>
          <w:szCs w:val="24"/>
        </w:rPr>
      </w:pPr>
      <w:r w:rsidRPr="00A16362">
        <w:rPr>
          <w:szCs w:val="24"/>
        </w:rPr>
        <w:t>9.2. Antrajam kvietimui (pareiškėjams, kuriems, įgyvendinant Aprašo 11 punkto nuostatą, po projekto įgyvendinimo teiks viešąją paslaugą) numatoma skirti iki 14 711 249 eurų (keturiolikos milijonų septynių šimtų vienuolikos tūkstančių dviejų šimtų keturiasdešimt devynių eurų).</w:t>
      </w:r>
      <w:r w:rsidRPr="00A16362">
        <w:t xml:space="preserve"> </w:t>
      </w:r>
    </w:p>
    <w:p w14:paraId="7F086246" w14:textId="77777777" w:rsidR="00F337B8" w:rsidRPr="00A16362" w:rsidRDefault="00F337B8"/>
    <w:p w14:paraId="7FAF0F3D" w14:textId="1ED4E696" w:rsidR="00F337B8" w:rsidRPr="00A16362" w:rsidRDefault="004D5CB0">
      <w:pPr>
        <w:tabs>
          <w:tab w:val="left" w:pos="851"/>
        </w:tabs>
        <w:ind w:firstLine="567"/>
        <w:contextualSpacing/>
        <w:jc w:val="both"/>
        <w:rPr>
          <w:rFonts w:eastAsia="Calibri"/>
          <w:szCs w:val="24"/>
        </w:rPr>
      </w:pPr>
      <w:r w:rsidRPr="00A16362">
        <w:rPr>
          <w:rFonts w:eastAsia="Calibri"/>
          <w:szCs w:val="24"/>
        </w:rPr>
        <w:t xml:space="preserve">9.4. </w:t>
      </w:r>
      <w:r w:rsidRPr="00B70C9C">
        <w:rPr>
          <w:rFonts w:eastAsia="Calibri"/>
          <w:szCs w:val="24"/>
        </w:rPr>
        <w:t>Jeigu pagal Aprašo 9.1 papunktyje nurodytą kvietimą pasirašius projektų sutartis lieka nepanaudotų finansavimo lėšų, šios lėšos</w:t>
      </w:r>
      <w:r w:rsidRPr="002924EE">
        <w:rPr>
          <w:rFonts w:eastAsia="Calibri"/>
          <w:b/>
          <w:szCs w:val="24"/>
        </w:rPr>
        <w:t xml:space="preserve"> </w:t>
      </w:r>
      <w:r w:rsidR="002924EE" w:rsidRPr="002924EE">
        <w:rPr>
          <w:rFonts w:eastAsia="Calibri"/>
          <w:b/>
          <w:strike/>
          <w:szCs w:val="24"/>
        </w:rPr>
        <w:t>yra</w:t>
      </w:r>
      <w:r w:rsidR="002924EE">
        <w:rPr>
          <w:rFonts w:eastAsia="Calibri"/>
          <w:b/>
          <w:szCs w:val="24"/>
        </w:rPr>
        <w:t xml:space="preserve"> gali būti</w:t>
      </w:r>
      <w:r w:rsidRPr="002924EE">
        <w:rPr>
          <w:rFonts w:eastAsia="Calibri"/>
          <w:b/>
          <w:szCs w:val="24"/>
        </w:rPr>
        <w:t xml:space="preserve"> </w:t>
      </w:r>
      <w:r w:rsidRPr="00B70C9C">
        <w:rPr>
          <w:rFonts w:eastAsia="Calibri"/>
          <w:szCs w:val="24"/>
        </w:rPr>
        <w:t>perkeliamos į Aprašo 9.2 papunktyje numatomas skirti finansavimo lėšas.</w:t>
      </w:r>
      <w:r w:rsidRPr="00A16362">
        <w:rPr>
          <w:rFonts w:eastAsia="Calibri"/>
          <w:szCs w:val="24"/>
        </w:rPr>
        <w:t xml:space="preserve"> </w:t>
      </w:r>
      <w:r w:rsidR="00D905ED" w:rsidRPr="00D905ED">
        <w:rPr>
          <w:b/>
        </w:rPr>
        <w:t xml:space="preserve">Pagal Aprašo 9.2 papunktyje nurodytą kvietimą atrinktų projektų ataskaitoje nurodytus projektus, kuriems finansuoti nepakanka kvietimo lėšų, Ministerija </w:t>
      </w:r>
      <w:r w:rsidR="008D49CC">
        <w:rPr>
          <w:b/>
        </w:rPr>
        <w:t>gali įtraukti</w:t>
      </w:r>
      <w:r w:rsidR="00D905ED" w:rsidRPr="00D905ED">
        <w:rPr>
          <w:b/>
        </w:rPr>
        <w:t xml:space="preserve"> į rezervinių projektų sąrašą. </w:t>
      </w:r>
      <w:r w:rsidR="00703FC0">
        <w:rPr>
          <w:b/>
        </w:rPr>
        <w:t>Ministerijai priėmus sprendimą</w:t>
      </w:r>
      <w:r w:rsidR="008D49CC">
        <w:rPr>
          <w:b/>
        </w:rPr>
        <w:t xml:space="preserve"> </w:t>
      </w:r>
      <w:r w:rsidR="00703FC0">
        <w:rPr>
          <w:b/>
        </w:rPr>
        <w:t xml:space="preserve">sudaryti </w:t>
      </w:r>
      <w:r w:rsidR="008D49CC">
        <w:rPr>
          <w:b/>
        </w:rPr>
        <w:t>rezervinių projektų sąraš</w:t>
      </w:r>
      <w:r w:rsidR="00703FC0">
        <w:rPr>
          <w:b/>
        </w:rPr>
        <w:t>ą</w:t>
      </w:r>
      <w:r w:rsidR="008D49CC">
        <w:rPr>
          <w:b/>
        </w:rPr>
        <w:t>, į</w:t>
      </w:r>
      <w:r w:rsidR="00D905ED" w:rsidRPr="00D905ED">
        <w:rPr>
          <w:b/>
        </w:rPr>
        <w:t xml:space="preserve"> </w:t>
      </w:r>
      <w:r w:rsidR="008D49CC">
        <w:rPr>
          <w:b/>
        </w:rPr>
        <w:t xml:space="preserve">jį </w:t>
      </w:r>
      <w:r w:rsidR="00D905ED" w:rsidRPr="00D905ED">
        <w:rPr>
          <w:b/>
        </w:rPr>
        <w:t xml:space="preserve">projektai </w:t>
      </w:r>
      <w:r w:rsidR="008D49CC">
        <w:rPr>
          <w:b/>
        </w:rPr>
        <w:t xml:space="preserve">būtų </w:t>
      </w:r>
      <w:r w:rsidR="00D905ED" w:rsidRPr="00D905ED">
        <w:rPr>
          <w:b/>
        </w:rPr>
        <w:t xml:space="preserve">įrašomi ta pačia eile, kokia buvo išdėstyti atrinktų projektų ataskaitoje. Ministerija priima sprendimą finansuoti projektus iš rezervinių projektų sąrašo, laikydamasi nustatytos projektų eilės. Nebus finansuojami tie projektai, </w:t>
      </w:r>
      <w:r w:rsidR="00D905ED" w:rsidRPr="00D905ED">
        <w:rPr>
          <w:b/>
        </w:rPr>
        <w:lastRenderedPageBreak/>
        <w:t xml:space="preserve">kuriems </w:t>
      </w:r>
      <w:r w:rsidR="00703FC0">
        <w:rPr>
          <w:b/>
        </w:rPr>
        <w:t xml:space="preserve">neužteks pagal pirmą kvietimą sutaupytų </w:t>
      </w:r>
      <w:r w:rsidR="002924EE">
        <w:rPr>
          <w:b/>
        </w:rPr>
        <w:t xml:space="preserve">ir į antrąjį kvietimą perkeltų </w:t>
      </w:r>
      <w:r w:rsidR="00703FC0">
        <w:rPr>
          <w:b/>
        </w:rPr>
        <w:t>Priemonės lėšų</w:t>
      </w:r>
      <w:r w:rsidR="00D905ED" w:rsidRPr="00D905ED">
        <w:rPr>
          <w:b/>
        </w:rPr>
        <w:t xml:space="preserve">. </w:t>
      </w:r>
      <w:r w:rsidRPr="00B70C9C">
        <w:rPr>
          <w:rFonts w:eastAsia="Calibri"/>
          <w:szCs w:val="24"/>
        </w:rPr>
        <w:t>Priimdama sprendimą dėl projektų finansavimo Ministerija turi teisę Aprašo</w:t>
      </w:r>
      <w:r w:rsidRPr="002924EE">
        <w:rPr>
          <w:rFonts w:eastAsia="Calibri"/>
          <w:b/>
          <w:szCs w:val="24"/>
        </w:rPr>
        <w:t xml:space="preserve"> </w:t>
      </w:r>
      <w:r w:rsidR="002924EE" w:rsidRPr="002924EE">
        <w:rPr>
          <w:rFonts w:eastAsia="Calibri"/>
          <w:b/>
          <w:strike/>
          <w:szCs w:val="24"/>
        </w:rPr>
        <w:t xml:space="preserve">8 </w:t>
      </w:r>
      <w:r w:rsidRPr="002924EE">
        <w:rPr>
          <w:rFonts w:eastAsia="Calibri"/>
          <w:b/>
          <w:strike/>
          <w:szCs w:val="24"/>
        </w:rPr>
        <w:t>punkte</w:t>
      </w:r>
      <w:r w:rsidRPr="002924EE">
        <w:rPr>
          <w:rFonts w:eastAsia="Calibri"/>
          <w:b/>
          <w:szCs w:val="24"/>
        </w:rPr>
        <w:t xml:space="preserve"> </w:t>
      </w:r>
      <w:r w:rsidR="002924EE" w:rsidRPr="002924EE">
        <w:rPr>
          <w:rFonts w:eastAsia="Calibri"/>
          <w:b/>
          <w:szCs w:val="24"/>
        </w:rPr>
        <w:t xml:space="preserve">9.2 </w:t>
      </w:r>
      <w:r w:rsidR="002924EE">
        <w:rPr>
          <w:rFonts w:eastAsia="Calibri"/>
          <w:b/>
          <w:szCs w:val="24"/>
        </w:rPr>
        <w:t xml:space="preserve">papunktyje </w:t>
      </w:r>
      <w:r w:rsidR="002924EE" w:rsidRPr="002924EE">
        <w:rPr>
          <w:rFonts w:eastAsia="Calibri"/>
          <w:b/>
          <w:strike/>
          <w:szCs w:val="24"/>
        </w:rPr>
        <w:t>nurodytas sumas</w:t>
      </w:r>
      <w:r w:rsidR="002924EE">
        <w:rPr>
          <w:rFonts w:eastAsia="Calibri"/>
          <w:b/>
          <w:szCs w:val="24"/>
        </w:rPr>
        <w:t xml:space="preserve"> </w:t>
      </w:r>
      <w:r w:rsidRPr="002924EE">
        <w:rPr>
          <w:rFonts w:eastAsia="Calibri"/>
          <w:b/>
          <w:szCs w:val="24"/>
        </w:rPr>
        <w:t>nurodyt</w:t>
      </w:r>
      <w:r w:rsidR="002924EE" w:rsidRPr="002924EE">
        <w:rPr>
          <w:rFonts w:eastAsia="Calibri"/>
          <w:b/>
          <w:szCs w:val="24"/>
        </w:rPr>
        <w:t>ą</w:t>
      </w:r>
      <w:r w:rsidRPr="002924EE">
        <w:rPr>
          <w:rFonts w:eastAsia="Calibri"/>
          <w:b/>
          <w:szCs w:val="24"/>
        </w:rPr>
        <w:t xml:space="preserve"> sum</w:t>
      </w:r>
      <w:r w:rsidR="002924EE" w:rsidRPr="002924EE">
        <w:rPr>
          <w:rFonts w:eastAsia="Calibri"/>
          <w:b/>
          <w:szCs w:val="24"/>
        </w:rPr>
        <w:t>ą</w:t>
      </w:r>
      <w:r w:rsidRPr="002924EE">
        <w:rPr>
          <w:rFonts w:eastAsia="Calibri"/>
          <w:b/>
          <w:szCs w:val="24"/>
        </w:rPr>
        <w:t xml:space="preserve"> </w:t>
      </w:r>
      <w:r w:rsidRPr="00B70C9C">
        <w:rPr>
          <w:rFonts w:eastAsia="Calibri"/>
          <w:szCs w:val="24"/>
        </w:rPr>
        <w:t>padidinti, skirdama</w:t>
      </w:r>
      <w:r w:rsidR="002924EE" w:rsidRPr="002924EE">
        <w:rPr>
          <w:rFonts w:ascii="Arial" w:hAnsi="Arial" w:cs="Arial"/>
          <w:sz w:val="22"/>
          <w:szCs w:val="22"/>
        </w:rPr>
        <w:t xml:space="preserve"> </w:t>
      </w:r>
      <w:r w:rsidR="002924EE" w:rsidRPr="002924EE">
        <w:rPr>
          <w:rFonts w:eastAsia="Calibri"/>
          <w:b/>
          <w:strike/>
          <w:szCs w:val="24"/>
        </w:rPr>
        <w:t>Aprašo 9.2 papunktyje nurodytam</w:t>
      </w:r>
      <w:r w:rsidRPr="002924EE">
        <w:rPr>
          <w:rFonts w:eastAsia="Calibri"/>
          <w:b/>
          <w:szCs w:val="24"/>
        </w:rPr>
        <w:t xml:space="preserve"> </w:t>
      </w:r>
      <w:r w:rsidR="002924EE" w:rsidRPr="002924EE">
        <w:rPr>
          <w:rFonts w:eastAsia="Calibri"/>
          <w:b/>
          <w:szCs w:val="24"/>
        </w:rPr>
        <w:t>pirmojo</w:t>
      </w:r>
      <w:r w:rsidRPr="002924EE">
        <w:rPr>
          <w:rFonts w:eastAsia="Calibri"/>
          <w:b/>
          <w:szCs w:val="24"/>
        </w:rPr>
        <w:t xml:space="preserve"> kvietim</w:t>
      </w:r>
      <w:r w:rsidR="002924EE" w:rsidRPr="002924EE">
        <w:rPr>
          <w:rFonts w:eastAsia="Calibri"/>
          <w:b/>
          <w:szCs w:val="24"/>
        </w:rPr>
        <w:t xml:space="preserve">o sutaupytas lėšas antrajam </w:t>
      </w:r>
      <w:r w:rsidR="002924EE" w:rsidRPr="00BD3CE7">
        <w:rPr>
          <w:rFonts w:eastAsia="Calibri"/>
          <w:szCs w:val="24"/>
        </w:rPr>
        <w:t>kvietimui</w:t>
      </w:r>
      <w:r w:rsidRPr="00BD3CE7">
        <w:rPr>
          <w:rFonts w:eastAsia="Calibri"/>
          <w:szCs w:val="24"/>
        </w:rPr>
        <w:t>, neviršydama</w:t>
      </w:r>
      <w:r w:rsidRPr="002924EE">
        <w:rPr>
          <w:rFonts w:eastAsia="Calibri"/>
          <w:b/>
          <w:szCs w:val="24"/>
        </w:rPr>
        <w:t xml:space="preserve"> </w:t>
      </w:r>
      <w:r w:rsidRPr="00BD3CE7">
        <w:rPr>
          <w:rFonts w:eastAsia="Calibri"/>
          <w:szCs w:val="24"/>
        </w:rPr>
        <w:t>Priemonių įgyvendinimo plane nurodytos Priemonei skirtos lėšų sumos ir nepažeisdama teisėtų pareiškėjų lūkesčių</w:t>
      </w:r>
      <w:r w:rsidRPr="002924EE">
        <w:rPr>
          <w:rFonts w:eastAsia="Calibri"/>
          <w:b/>
          <w:szCs w:val="24"/>
        </w:rPr>
        <w:t>.</w:t>
      </w:r>
    </w:p>
    <w:p w14:paraId="396A21D7" w14:textId="77777777" w:rsidR="002924EE" w:rsidRDefault="002924EE">
      <w:pPr>
        <w:tabs>
          <w:tab w:val="left" w:pos="993"/>
        </w:tabs>
        <w:spacing w:line="276" w:lineRule="auto"/>
        <w:ind w:firstLine="567"/>
        <w:contextualSpacing/>
        <w:jc w:val="both"/>
        <w:rPr>
          <w:rFonts w:eastAsia="MS Mincho"/>
          <w:i/>
          <w:iCs/>
          <w:sz w:val="20"/>
        </w:rPr>
      </w:pPr>
    </w:p>
    <w:p w14:paraId="682AB6F4" w14:textId="49B98E66" w:rsidR="003625C0" w:rsidRPr="00A16362" w:rsidRDefault="003625C0">
      <w:pPr>
        <w:tabs>
          <w:tab w:val="left" w:pos="993"/>
        </w:tabs>
        <w:spacing w:line="276" w:lineRule="auto"/>
        <w:ind w:firstLine="567"/>
        <w:contextualSpacing/>
        <w:jc w:val="both"/>
        <w:rPr>
          <w:rFonts w:eastAsia="MS Mincho"/>
          <w:i/>
          <w:iCs/>
          <w:sz w:val="20"/>
        </w:rPr>
      </w:pPr>
      <w:r>
        <w:rPr>
          <w:rFonts w:eastAsia="MS Mincho"/>
          <w:i/>
          <w:iCs/>
          <w:sz w:val="20"/>
        </w:rPr>
        <w:t>&lt;...&gt;</w:t>
      </w:r>
    </w:p>
    <w:p w14:paraId="4ECE56EA" w14:textId="77777777" w:rsidR="00F337B8" w:rsidRPr="00A16362" w:rsidRDefault="00F337B8">
      <w:pPr>
        <w:tabs>
          <w:tab w:val="left" w:pos="1418"/>
        </w:tabs>
        <w:ind w:firstLine="567"/>
        <w:jc w:val="both"/>
        <w:rPr>
          <w:szCs w:val="24"/>
          <w:lang w:eastAsia="lt-LT"/>
        </w:rPr>
      </w:pPr>
    </w:p>
    <w:p w14:paraId="5CE926BF" w14:textId="77777777" w:rsidR="00F337B8" w:rsidRDefault="004D5CB0">
      <w:pPr>
        <w:tabs>
          <w:tab w:val="left" w:pos="1418"/>
        </w:tabs>
        <w:ind w:firstLine="567"/>
        <w:jc w:val="center"/>
        <w:rPr>
          <w:rFonts w:eastAsia="Calibri"/>
          <w:szCs w:val="24"/>
        </w:rPr>
      </w:pPr>
      <w:r w:rsidRPr="00A16362">
        <w:rPr>
          <w:rFonts w:eastAsia="Calibri"/>
          <w:szCs w:val="24"/>
        </w:rPr>
        <w:t>____________________</w:t>
      </w:r>
    </w:p>
    <w:p w14:paraId="13413F51" w14:textId="77777777" w:rsidR="00F337B8" w:rsidRDefault="00F337B8" w:rsidP="00A638BB">
      <w:pPr>
        <w:overflowPunct w:val="0"/>
        <w:jc w:val="both"/>
        <w:textAlignment w:val="baseline"/>
        <w:rPr>
          <w:snapToGrid w:val="0"/>
        </w:rPr>
      </w:pPr>
    </w:p>
    <w:sectPr w:rsidR="00F337B8" w:rsidSect="004B060A">
      <w:headerReference w:type="default" r:id="rId9"/>
      <w:headerReference w:type="first" r:id="rId10"/>
      <w:pgSz w:w="11906" w:h="16838" w:code="9"/>
      <w:pgMar w:top="567" w:right="1134" w:bottom="1701" w:left="992" w:header="454" w:footer="567" w:gutter="0"/>
      <w:pgNumType w:start="1" w:chapStyle="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D9BEF4" w15:done="0"/>
  <w15:commentEx w15:paraId="36E0783A" w15:done="0"/>
  <w15:commentEx w15:paraId="78F6919A" w15:done="0"/>
  <w15:commentEx w15:paraId="02C817D2" w15:done="0"/>
  <w15:commentEx w15:paraId="6A5DF5B1" w15:done="0"/>
  <w15:commentEx w15:paraId="31A78388" w15:done="0"/>
  <w15:commentEx w15:paraId="3CD60E60" w15:done="0"/>
  <w15:commentEx w15:paraId="7AF25675" w15:done="0"/>
  <w15:commentEx w15:paraId="18724818" w15:done="0"/>
  <w15:commentEx w15:paraId="73447B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7E0E2" w14:textId="77777777" w:rsidR="00D944F6" w:rsidRDefault="00D944F6">
      <w:pPr>
        <w:overflowPunct w:val="0"/>
        <w:textAlignment w:val="baseline"/>
        <w:rPr>
          <w:rFonts w:ascii="HelveticaLT" w:hAnsi="HelveticaLT"/>
          <w:sz w:val="20"/>
        </w:rPr>
      </w:pPr>
      <w:r>
        <w:rPr>
          <w:rFonts w:ascii="HelveticaLT" w:hAnsi="HelveticaLT"/>
          <w:sz w:val="20"/>
        </w:rPr>
        <w:separator/>
      </w:r>
    </w:p>
  </w:endnote>
  <w:endnote w:type="continuationSeparator" w:id="0">
    <w:p w14:paraId="110E26E2" w14:textId="77777777" w:rsidR="00D944F6" w:rsidRDefault="00D944F6">
      <w:pPr>
        <w:overflowPunct w:val="0"/>
        <w:textAlignment w:val="baseline"/>
        <w:rPr>
          <w:rFonts w:ascii="HelveticaLT" w:hAnsi="HelveticaLT"/>
          <w:sz w:val="20"/>
        </w:rPr>
      </w:pPr>
      <w:r>
        <w:rPr>
          <w:rFonts w:ascii="HelveticaLT" w:hAnsi="Helvetica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7C727" w14:textId="77777777" w:rsidR="00D944F6" w:rsidRDefault="00D944F6">
      <w:pPr>
        <w:overflowPunct w:val="0"/>
        <w:textAlignment w:val="baseline"/>
        <w:rPr>
          <w:rFonts w:ascii="HelveticaLT" w:hAnsi="HelveticaLT"/>
          <w:sz w:val="20"/>
        </w:rPr>
      </w:pPr>
      <w:r>
        <w:rPr>
          <w:rFonts w:ascii="HelveticaLT" w:hAnsi="HelveticaLT"/>
          <w:sz w:val="20"/>
        </w:rPr>
        <w:separator/>
      </w:r>
    </w:p>
  </w:footnote>
  <w:footnote w:type="continuationSeparator" w:id="0">
    <w:p w14:paraId="771318FC" w14:textId="77777777" w:rsidR="00D944F6" w:rsidRDefault="00D944F6">
      <w:pPr>
        <w:overflowPunct w:val="0"/>
        <w:textAlignment w:val="baseline"/>
        <w:rPr>
          <w:rFonts w:ascii="HelveticaLT" w:hAnsi="HelveticaLT"/>
          <w:sz w:val="20"/>
        </w:rPr>
      </w:pPr>
      <w:r>
        <w:rPr>
          <w:rFonts w:ascii="HelveticaLT" w:hAnsi="Helvetica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8F1DB" w14:textId="77777777" w:rsidR="00F337B8" w:rsidRDefault="004D5CB0">
    <w:pPr>
      <w:tabs>
        <w:tab w:val="center" w:pos="4819"/>
        <w:tab w:val="right" w:pos="9071"/>
      </w:tabs>
      <w:overflowPunct w:val="0"/>
      <w:jc w:val="center"/>
      <w:textAlignment w:val="baseline"/>
      <w:rPr>
        <w:szCs w:val="24"/>
      </w:rPr>
    </w:pPr>
    <w:r>
      <w:rPr>
        <w:szCs w:val="24"/>
      </w:rPr>
      <w:fldChar w:fldCharType="begin"/>
    </w:r>
    <w:r>
      <w:rPr>
        <w:szCs w:val="24"/>
      </w:rPr>
      <w:instrText xml:space="preserve"> PAGE   \* MERGEFORMAT </w:instrText>
    </w:r>
    <w:r>
      <w:rPr>
        <w:szCs w:val="24"/>
      </w:rPr>
      <w:fldChar w:fldCharType="separate"/>
    </w:r>
    <w:r w:rsidR="003625C0">
      <w:rPr>
        <w:noProof/>
        <w:szCs w:val="24"/>
      </w:rPr>
      <w:t>2</w:t>
    </w:r>
    <w:r>
      <w:rPr>
        <w:szCs w:val="24"/>
      </w:rPr>
      <w:fldChar w:fldCharType="end"/>
    </w:r>
  </w:p>
  <w:p w14:paraId="19732CC9" w14:textId="77777777" w:rsidR="00F337B8" w:rsidRDefault="00F337B8">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705E9" w14:textId="77777777" w:rsidR="00F337B8" w:rsidRDefault="00F337B8">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122EC"/>
    <w:multiLevelType w:val="hybridMultilevel"/>
    <w:tmpl w:val="F724A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03"/>
    <w:rsid w:val="000005B2"/>
    <w:rsid w:val="000072D8"/>
    <w:rsid w:val="000B01A2"/>
    <w:rsid w:val="001270C7"/>
    <w:rsid w:val="001C266E"/>
    <w:rsid w:val="00222B0E"/>
    <w:rsid w:val="002924EE"/>
    <w:rsid w:val="002C2C82"/>
    <w:rsid w:val="00300275"/>
    <w:rsid w:val="003133B8"/>
    <w:rsid w:val="003172C9"/>
    <w:rsid w:val="00317CB9"/>
    <w:rsid w:val="003339B7"/>
    <w:rsid w:val="003625C0"/>
    <w:rsid w:val="003917E5"/>
    <w:rsid w:val="003C0286"/>
    <w:rsid w:val="00444445"/>
    <w:rsid w:val="00462152"/>
    <w:rsid w:val="004B060A"/>
    <w:rsid w:val="004D5CB0"/>
    <w:rsid w:val="00545E1A"/>
    <w:rsid w:val="00552951"/>
    <w:rsid w:val="00562919"/>
    <w:rsid w:val="005F5877"/>
    <w:rsid w:val="00703FC0"/>
    <w:rsid w:val="00704DF4"/>
    <w:rsid w:val="008135C3"/>
    <w:rsid w:val="0082597D"/>
    <w:rsid w:val="008B6AED"/>
    <w:rsid w:val="008D49CC"/>
    <w:rsid w:val="008F1889"/>
    <w:rsid w:val="009103FD"/>
    <w:rsid w:val="009C0CDE"/>
    <w:rsid w:val="00A01C19"/>
    <w:rsid w:val="00A16362"/>
    <w:rsid w:val="00A4650A"/>
    <w:rsid w:val="00A62710"/>
    <w:rsid w:val="00A638BB"/>
    <w:rsid w:val="00A703B1"/>
    <w:rsid w:val="00A833BA"/>
    <w:rsid w:val="00AF2ACD"/>
    <w:rsid w:val="00B35FE7"/>
    <w:rsid w:val="00B70C9C"/>
    <w:rsid w:val="00BC4304"/>
    <w:rsid w:val="00BD3CE7"/>
    <w:rsid w:val="00C32C03"/>
    <w:rsid w:val="00C36473"/>
    <w:rsid w:val="00D06826"/>
    <w:rsid w:val="00D34A6C"/>
    <w:rsid w:val="00D419EB"/>
    <w:rsid w:val="00D82762"/>
    <w:rsid w:val="00D905ED"/>
    <w:rsid w:val="00D944F6"/>
    <w:rsid w:val="00DD6E7E"/>
    <w:rsid w:val="00DF1128"/>
    <w:rsid w:val="00E16C73"/>
    <w:rsid w:val="00EC59C4"/>
    <w:rsid w:val="00EE7568"/>
    <w:rsid w:val="00F27D9E"/>
    <w:rsid w:val="00F337B8"/>
    <w:rsid w:val="00F418F3"/>
    <w:rsid w:val="00F80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A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BC4304"/>
    <w:pPr>
      <w:widowControl w:val="0"/>
      <w:adjustRightInd w:val="0"/>
      <w:spacing w:line="360" w:lineRule="atLeast"/>
      <w:ind w:left="720"/>
      <w:contextualSpacing/>
      <w:jc w:val="both"/>
      <w:textAlignment w:val="baseline"/>
    </w:pPr>
    <w:rPr>
      <w:szCs w:val="24"/>
    </w:rPr>
  </w:style>
  <w:style w:type="character" w:styleId="CommentReference">
    <w:name w:val="annotation reference"/>
    <w:basedOn w:val="DefaultParagraphFont"/>
    <w:semiHidden/>
    <w:unhideWhenUsed/>
    <w:rsid w:val="001270C7"/>
    <w:rPr>
      <w:sz w:val="16"/>
      <w:szCs w:val="16"/>
    </w:rPr>
  </w:style>
  <w:style w:type="paragraph" w:styleId="CommentText">
    <w:name w:val="annotation text"/>
    <w:basedOn w:val="Normal"/>
    <w:link w:val="CommentTextChar"/>
    <w:semiHidden/>
    <w:unhideWhenUsed/>
    <w:rsid w:val="001270C7"/>
    <w:rPr>
      <w:sz w:val="20"/>
    </w:rPr>
  </w:style>
  <w:style w:type="character" w:customStyle="1" w:styleId="CommentTextChar">
    <w:name w:val="Comment Text Char"/>
    <w:basedOn w:val="DefaultParagraphFont"/>
    <w:link w:val="CommentText"/>
    <w:semiHidden/>
    <w:rsid w:val="001270C7"/>
    <w:rPr>
      <w:sz w:val="20"/>
    </w:rPr>
  </w:style>
  <w:style w:type="paragraph" w:styleId="CommentSubject">
    <w:name w:val="annotation subject"/>
    <w:basedOn w:val="CommentText"/>
    <w:next w:val="CommentText"/>
    <w:link w:val="CommentSubjectChar"/>
    <w:semiHidden/>
    <w:unhideWhenUsed/>
    <w:rsid w:val="001270C7"/>
    <w:rPr>
      <w:b/>
      <w:bCs/>
    </w:rPr>
  </w:style>
  <w:style w:type="character" w:customStyle="1" w:styleId="CommentSubjectChar">
    <w:name w:val="Comment Subject Char"/>
    <w:basedOn w:val="CommentTextChar"/>
    <w:link w:val="CommentSubject"/>
    <w:semiHidden/>
    <w:rsid w:val="001270C7"/>
    <w:rPr>
      <w:b/>
      <w:bCs/>
      <w:sz w:val="20"/>
    </w:rPr>
  </w:style>
  <w:style w:type="paragraph" w:styleId="BalloonText">
    <w:name w:val="Balloon Text"/>
    <w:basedOn w:val="Normal"/>
    <w:link w:val="BalloonTextChar"/>
    <w:semiHidden/>
    <w:unhideWhenUsed/>
    <w:rsid w:val="001270C7"/>
    <w:rPr>
      <w:rFonts w:ascii="Segoe UI" w:hAnsi="Segoe UI" w:cs="Segoe UI"/>
      <w:sz w:val="18"/>
      <w:szCs w:val="18"/>
    </w:rPr>
  </w:style>
  <w:style w:type="character" w:customStyle="1" w:styleId="BalloonTextChar">
    <w:name w:val="Balloon Text Char"/>
    <w:basedOn w:val="DefaultParagraphFont"/>
    <w:link w:val="BalloonText"/>
    <w:semiHidden/>
    <w:rsid w:val="001270C7"/>
    <w:rPr>
      <w:rFonts w:ascii="Segoe UI" w:hAnsi="Segoe UI" w:cs="Segoe UI"/>
      <w:sz w:val="18"/>
      <w:szCs w:val="18"/>
    </w:rPr>
  </w:style>
  <w:style w:type="character" w:styleId="Hyperlink">
    <w:name w:val="Hyperlink"/>
    <w:basedOn w:val="DefaultParagraphFont"/>
    <w:unhideWhenUsed/>
    <w:rsid w:val="003002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BC4304"/>
    <w:pPr>
      <w:widowControl w:val="0"/>
      <w:adjustRightInd w:val="0"/>
      <w:spacing w:line="360" w:lineRule="atLeast"/>
      <w:ind w:left="720"/>
      <w:contextualSpacing/>
      <w:jc w:val="both"/>
      <w:textAlignment w:val="baseline"/>
    </w:pPr>
    <w:rPr>
      <w:szCs w:val="24"/>
    </w:rPr>
  </w:style>
  <w:style w:type="character" w:styleId="CommentReference">
    <w:name w:val="annotation reference"/>
    <w:basedOn w:val="DefaultParagraphFont"/>
    <w:semiHidden/>
    <w:unhideWhenUsed/>
    <w:rsid w:val="001270C7"/>
    <w:rPr>
      <w:sz w:val="16"/>
      <w:szCs w:val="16"/>
    </w:rPr>
  </w:style>
  <w:style w:type="paragraph" w:styleId="CommentText">
    <w:name w:val="annotation text"/>
    <w:basedOn w:val="Normal"/>
    <w:link w:val="CommentTextChar"/>
    <w:semiHidden/>
    <w:unhideWhenUsed/>
    <w:rsid w:val="001270C7"/>
    <w:rPr>
      <w:sz w:val="20"/>
    </w:rPr>
  </w:style>
  <w:style w:type="character" w:customStyle="1" w:styleId="CommentTextChar">
    <w:name w:val="Comment Text Char"/>
    <w:basedOn w:val="DefaultParagraphFont"/>
    <w:link w:val="CommentText"/>
    <w:semiHidden/>
    <w:rsid w:val="001270C7"/>
    <w:rPr>
      <w:sz w:val="20"/>
    </w:rPr>
  </w:style>
  <w:style w:type="paragraph" w:styleId="CommentSubject">
    <w:name w:val="annotation subject"/>
    <w:basedOn w:val="CommentText"/>
    <w:next w:val="CommentText"/>
    <w:link w:val="CommentSubjectChar"/>
    <w:semiHidden/>
    <w:unhideWhenUsed/>
    <w:rsid w:val="001270C7"/>
    <w:rPr>
      <w:b/>
      <w:bCs/>
    </w:rPr>
  </w:style>
  <w:style w:type="character" w:customStyle="1" w:styleId="CommentSubjectChar">
    <w:name w:val="Comment Subject Char"/>
    <w:basedOn w:val="CommentTextChar"/>
    <w:link w:val="CommentSubject"/>
    <w:semiHidden/>
    <w:rsid w:val="001270C7"/>
    <w:rPr>
      <w:b/>
      <w:bCs/>
      <w:sz w:val="20"/>
    </w:rPr>
  </w:style>
  <w:style w:type="paragraph" w:styleId="BalloonText">
    <w:name w:val="Balloon Text"/>
    <w:basedOn w:val="Normal"/>
    <w:link w:val="BalloonTextChar"/>
    <w:semiHidden/>
    <w:unhideWhenUsed/>
    <w:rsid w:val="001270C7"/>
    <w:rPr>
      <w:rFonts w:ascii="Segoe UI" w:hAnsi="Segoe UI" w:cs="Segoe UI"/>
      <w:sz w:val="18"/>
      <w:szCs w:val="18"/>
    </w:rPr>
  </w:style>
  <w:style w:type="character" w:customStyle="1" w:styleId="BalloonTextChar">
    <w:name w:val="Balloon Text Char"/>
    <w:basedOn w:val="DefaultParagraphFont"/>
    <w:link w:val="BalloonText"/>
    <w:semiHidden/>
    <w:rsid w:val="001270C7"/>
    <w:rPr>
      <w:rFonts w:ascii="Segoe UI" w:hAnsi="Segoe UI" w:cs="Segoe UI"/>
      <w:sz w:val="18"/>
      <w:szCs w:val="18"/>
    </w:rPr>
  </w:style>
  <w:style w:type="character" w:styleId="Hyperlink">
    <w:name w:val="Hyperlink"/>
    <w:basedOn w:val="DefaultParagraphFont"/>
    <w:unhideWhenUsed/>
    <w:rsid w:val="003002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0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D1B1925-4AD9-4196-BE69-F1A4C8F7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2</Pages>
  <Words>2138</Words>
  <Characters>1220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VKS</Company>
  <LinksUpToDate>false</LinksUpToDate>
  <CharactersWithSpaces>3352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idzemyda</dc:creator>
  <cp:lastModifiedBy>Nerijus Mocevičius</cp:lastModifiedBy>
  <cp:revision>22</cp:revision>
  <cp:lastPrinted>2018-03-28T06:52:00Z</cp:lastPrinted>
  <dcterms:created xsi:type="dcterms:W3CDTF">2018-02-22T10:02:00Z</dcterms:created>
  <dcterms:modified xsi:type="dcterms:W3CDTF">2018-03-30T08:10:00Z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