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B99AC" w14:textId="77777777" w:rsidR="00B611BE" w:rsidRPr="00B611BE" w:rsidRDefault="00B611BE" w:rsidP="00B611BE">
      <w:pPr>
        <w:tabs>
          <w:tab w:val="left" w:pos="9356"/>
        </w:tabs>
        <w:spacing w:after="0" w:line="240" w:lineRule="auto"/>
        <w:ind w:left="9356" w:right="-31"/>
        <w:rPr>
          <w:rFonts w:ascii="Times New Roman" w:eastAsia="Calibri" w:hAnsi="Times New Roman" w:cs="Times New Roman"/>
          <w:sz w:val="24"/>
          <w:szCs w:val="24"/>
        </w:rPr>
      </w:pPr>
      <w:r w:rsidRPr="00B611BE">
        <w:rPr>
          <w:rFonts w:ascii="Times New Roman" w:eastAsia="Calibri" w:hAnsi="Times New Roman" w:cs="Times New Roman"/>
          <w:sz w:val="24"/>
          <w:szCs w:val="24"/>
          <w:lang w:eastAsia="lt-LT"/>
        </w:rPr>
        <w:t>2014–2020 metų Europos Sąjungos fondų investicijų veiksmų programos 9 prioriteto „Visuomenės švietimas ir žmogiškųjų išteklių potencialo didinimas“ 09.2.1-ESFA-K-728 priemonės „Ikimokyklinio ir bendrojo ugdymo mokyklų veiklos tobulinimas“ projektų finansavimo sąlygų aprašo Nr. 2</w:t>
      </w:r>
    </w:p>
    <w:p w14:paraId="758335FF" w14:textId="77777777" w:rsidR="00B611BE" w:rsidRPr="00B611BE" w:rsidRDefault="00B611BE" w:rsidP="00B611BE">
      <w:pPr>
        <w:spacing w:after="0" w:line="240" w:lineRule="auto"/>
        <w:ind w:left="9356" w:right="-3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611BE">
        <w:rPr>
          <w:rFonts w:ascii="Times New Roman" w:eastAsia="Calibri" w:hAnsi="Times New Roman" w:cs="Times New Roman"/>
          <w:sz w:val="24"/>
          <w:szCs w:val="24"/>
          <w:lang w:eastAsia="lt-LT"/>
        </w:rPr>
        <w:t>2</w:t>
      </w:r>
      <w:r w:rsidRPr="00B611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priedas</w:t>
      </w:r>
    </w:p>
    <w:p w14:paraId="45BB61A9" w14:textId="77777777" w:rsidR="00B611BE" w:rsidRPr="00B611BE" w:rsidRDefault="00B611BE" w:rsidP="00B611BE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149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940"/>
      </w:tblGrid>
      <w:tr w:rsidR="00B611BE" w:rsidRPr="006D213E" w14:paraId="5C7A059F" w14:textId="77777777" w:rsidTr="00CA056A">
        <w:trPr>
          <w:trHeight w:val="20"/>
        </w:trPr>
        <w:tc>
          <w:tcPr>
            <w:tcW w:w="14940" w:type="dxa"/>
            <w:tcBorders>
              <w:top w:val="nil"/>
              <w:left w:val="nil"/>
              <w:right w:val="nil"/>
            </w:tcBorders>
          </w:tcPr>
          <w:p w14:paraId="409E6B22" w14:textId="77777777" w:rsidR="00B611BE" w:rsidRPr="006D213E" w:rsidRDefault="00B611BE" w:rsidP="00C5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  <w:p w14:paraId="1880CFEB" w14:textId="77777777" w:rsidR="00B611BE" w:rsidRPr="006D213E" w:rsidRDefault="00B611BE" w:rsidP="00B611B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6D213E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Naudos ir kokybės vertinimo LENTELĖ</w:t>
            </w:r>
          </w:p>
          <w:p w14:paraId="20B538AC" w14:textId="77777777" w:rsidR="00B611BE" w:rsidRPr="006D213E" w:rsidRDefault="00B611BE" w:rsidP="00B611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10348"/>
            </w:tblGrid>
            <w:tr w:rsidR="00B611BE" w:rsidRPr="006D213E" w14:paraId="5B9B816D" w14:textId="77777777" w:rsidTr="00CA056A">
              <w:tc>
                <w:tcPr>
                  <w:tcW w:w="3856" w:type="dxa"/>
                  <w:shd w:val="clear" w:color="auto" w:fill="auto"/>
                </w:tcPr>
                <w:p w14:paraId="634BF134" w14:textId="77777777" w:rsidR="00B611BE" w:rsidRPr="006D213E" w:rsidRDefault="00B611BE" w:rsidP="00B611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caps/>
                      <w:sz w:val="24"/>
                      <w:szCs w:val="24"/>
                    </w:rPr>
                  </w:pPr>
                  <w:r w:rsidRPr="006D2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Paraiškos kodas</w:t>
                  </w:r>
                </w:p>
              </w:tc>
              <w:tc>
                <w:tcPr>
                  <w:tcW w:w="10348" w:type="dxa"/>
                  <w:shd w:val="clear" w:color="auto" w:fill="auto"/>
                </w:tcPr>
                <w:p w14:paraId="7371461B" w14:textId="77777777" w:rsidR="00B611BE" w:rsidRPr="006D213E" w:rsidRDefault="00B611BE" w:rsidP="00B611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caps/>
                      <w:sz w:val="24"/>
                      <w:szCs w:val="24"/>
                    </w:rPr>
                  </w:pPr>
                </w:p>
              </w:tc>
            </w:tr>
            <w:tr w:rsidR="00B611BE" w:rsidRPr="006D213E" w14:paraId="6F11CDA9" w14:textId="77777777" w:rsidTr="00CA056A">
              <w:tc>
                <w:tcPr>
                  <w:tcW w:w="3856" w:type="dxa"/>
                  <w:shd w:val="clear" w:color="auto" w:fill="auto"/>
                </w:tcPr>
                <w:p w14:paraId="77C12A1B" w14:textId="77777777" w:rsidR="00B611BE" w:rsidRPr="006D213E" w:rsidRDefault="00B611BE" w:rsidP="00B611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6D2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Pareiškėjo pavadinimas</w:t>
                  </w:r>
                </w:p>
              </w:tc>
              <w:tc>
                <w:tcPr>
                  <w:tcW w:w="10348" w:type="dxa"/>
                  <w:shd w:val="clear" w:color="auto" w:fill="auto"/>
                </w:tcPr>
                <w:p w14:paraId="48794325" w14:textId="77777777" w:rsidR="00B611BE" w:rsidRPr="006D213E" w:rsidRDefault="00B611BE" w:rsidP="00B611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B611BE" w:rsidRPr="006D213E" w14:paraId="692497CA" w14:textId="77777777" w:rsidTr="00CA056A">
              <w:tc>
                <w:tcPr>
                  <w:tcW w:w="3856" w:type="dxa"/>
                  <w:shd w:val="clear" w:color="auto" w:fill="auto"/>
                </w:tcPr>
                <w:p w14:paraId="190BC9D4" w14:textId="77777777" w:rsidR="00B611BE" w:rsidRPr="006D213E" w:rsidRDefault="00B611BE" w:rsidP="00B611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caps/>
                      <w:sz w:val="24"/>
                      <w:szCs w:val="24"/>
                    </w:rPr>
                  </w:pPr>
                  <w:r w:rsidRPr="006D2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Projekto pavadinimas</w:t>
                  </w:r>
                </w:p>
              </w:tc>
              <w:tc>
                <w:tcPr>
                  <w:tcW w:w="10348" w:type="dxa"/>
                  <w:shd w:val="clear" w:color="auto" w:fill="auto"/>
                </w:tcPr>
                <w:p w14:paraId="744A8030" w14:textId="77777777" w:rsidR="00B611BE" w:rsidRPr="006D213E" w:rsidRDefault="00B611BE" w:rsidP="00B611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caps/>
                      <w:sz w:val="24"/>
                      <w:szCs w:val="24"/>
                    </w:rPr>
                  </w:pPr>
                </w:p>
              </w:tc>
            </w:tr>
            <w:tr w:rsidR="00B611BE" w:rsidRPr="006D213E" w14:paraId="138D91A2" w14:textId="77777777" w:rsidTr="00CA056A">
              <w:tc>
                <w:tcPr>
                  <w:tcW w:w="14204" w:type="dxa"/>
                  <w:gridSpan w:val="2"/>
                  <w:shd w:val="clear" w:color="auto" w:fill="auto"/>
                </w:tcPr>
                <w:p w14:paraId="3BDFFF05" w14:textId="77777777" w:rsidR="00B611BE" w:rsidRPr="006D213E" w:rsidRDefault="00B611BE" w:rsidP="00B611B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6D2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Projektą planuojama įgyvendinti:</w:t>
                  </w:r>
                </w:p>
                <w:p w14:paraId="1B47261B" w14:textId="77777777" w:rsidR="00B611BE" w:rsidRPr="006D213E" w:rsidRDefault="00B611BE" w:rsidP="00B611B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6D2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 su partneriu (-</w:t>
                  </w:r>
                  <w:proofErr w:type="spellStart"/>
                  <w:r w:rsidRPr="006D2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iais</w:t>
                  </w:r>
                  <w:proofErr w:type="spellEnd"/>
                  <w:r w:rsidRPr="006D2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)              </w:t>
                  </w:r>
                  <w:r w:rsidRPr="006D2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 be partnerio (-</w:t>
                  </w:r>
                  <w:proofErr w:type="spellStart"/>
                  <w:r w:rsidRPr="006D2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ių</w:t>
                  </w:r>
                  <w:proofErr w:type="spellEnd"/>
                  <w:r w:rsidRPr="006D2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)</w:t>
                  </w:r>
                </w:p>
              </w:tc>
            </w:tr>
            <w:tr w:rsidR="00B611BE" w:rsidRPr="006D213E" w14:paraId="30CDD1B3" w14:textId="77777777" w:rsidTr="00CA056A">
              <w:tc>
                <w:tcPr>
                  <w:tcW w:w="14204" w:type="dxa"/>
                  <w:gridSpan w:val="2"/>
                  <w:shd w:val="clear" w:color="auto" w:fill="auto"/>
                </w:tcPr>
                <w:p w14:paraId="3918B3B1" w14:textId="77777777" w:rsidR="00B611BE" w:rsidRPr="006D213E" w:rsidRDefault="00B611BE" w:rsidP="00B611BE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</w:p>
                <w:p w14:paraId="03B25DDA" w14:textId="77777777" w:rsidR="00B611BE" w:rsidRPr="006D213E" w:rsidRDefault="00B611BE" w:rsidP="00B611B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6D2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 PIRMINĖ               </w:t>
                  </w:r>
                  <w:r w:rsidRPr="006D2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 PATIKSLINTA</w:t>
                  </w:r>
                </w:p>
                <w:p w14:paraId="6CC731C9" w14:textId="77777777" w:rsidR="00B611BE" w:rsidRPr="006D213E" w:rsidRDefault="00B611BE" w:rsidP="00B611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aps/>
                      <w:sz w:val="24"/>
                      <w:szCs w:val="24"/>
                    </w:rPr>
                  </w:pPr>
                </w:p>
              </w:tc>
            </w:tr>
          </w:tbl>
          <w:p w14:paraId="62F2863C" w14:textId="77777777" w:rsidR="00B611BE" w:rsidRPr="006D213E" w:rsidRDefault="00B611BE" w:rsidP="00B611BE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i/>
                <w:cap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4961"/>
              <w:gridCol w:w="1559"/>
              <w:gridCol w:w="1418"/>
              <w:gridCol w:w="1417"/>
              <w:gridCol w:w="2410"/>
            </w:tblGrid>
            <w:tr w:rsidR="00B611BE" w:rsidRPr="006D213E" w14:paraId="004754D8" w14:textId="77777777" w:rsidTr="00C5020C">
              <w:tc>
                <w:tcPr>
                  <w:tcW w:w="2473" w:type="dxa"/>
                  <w:shd w:val="clear" w:color="auto" w:fill="auto"/>
                </w:tcPr>
                <w:p w14:paraId="0D148D35" w14:textId="77777777" w:rsidR="00B611BE" w:rsidRPr="006D213E" w:rsidRDefault="00B611BE" w:rsidP="00B61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6D2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Prioritetinis projektų atrankos kriterijus (toliau – kriterijus)</w:t>
                  </w:r>
                </w:p>
              </w:tc>
              <w:tc>
                <w:tcPr>
                  <w:tcW w:w="4961" w:type="dxa"/>
                  <w:shd w:val="clear" w:color="auto" w:fill="auto"/>
                </w:tcPr>
                <w:p w14:paraId="6879E2D3" w14:textId="77777777" w:rsidR="00B611BE" w:rsidRPr="006D213E" w:rsidRDefault="00B611BE" w:rsidP="00B61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6D2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Kriterijaus </w:t>
                  </w:r>
                  <w:r w:rsidRPr="006D2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vertinimo aspektai ir paaiškinimai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6FF97D0" w14:textId="77777777" w:rsidR="00B611BE" w:rsidRPr="006D213E" w:rsidRDefault="00B611BE" w:rsidP="00B61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6D2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Maksimalus galimas kriterijaus vertinimo balas</w:t>
                  </w:r>
                </w:p>
              </w:tc>
              <w:tc>
                <w:tcPr>
                  <w:tcW w:w="1418" w:type="dxa"/>
                </w:tcPr>
                <w:p w14:paraId="366FD444" w14:textId="77777777" w:rsidR="00B611BE" w:rsidRPr="006D213E" w:rsidRDefault="00B611BE" w:rsidP="00B61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D2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Minimalus galimas kriterijaus vertinimo balas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7B2EF60A" w14:textId="77777777" w:rsidR="00B611BE" w:rsidRPr="006D213E" w:rsidRDefault="00B611BE" w:rsidP="00B61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6D2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Vertinimo metu suteiktų balų skaičius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53A1C675" w14:textId="77777777" w:rsidR="00B611BE" w:rsidRPr="006D213E" w:rsidRDefault="00B611BE" w:rsidP="00B61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6D2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Komentarai</w:t>
                  </w:r>
                </w:p>
              </w:tc>
            </w:tr>
            <w:tr w:rsidR="00B611BE" w:rsidRPr="006D213E" w14:paraId="1084D00C" w14:textId="77777777" w:rsidTr="00C5020C">
              <w:tc>
                <w:tcPr>
                  <w:tcW w:w="2473" w:type="dxa"/>
                  <w:shd w:val="clear" w:color="auto" w:fill="auto"/>
                </w:tcPr>
                <w:p w14:paraId="4B8E89E1" w14:textId="77777777" w:rsidR="00B611BE" w:rsidRPr="006D213E" w:rsidRDefault="00B611BE" w:rsidP="00B611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D2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1. Projekto ugdymo organizavimo ir (ar) ugdymo tobulinimo idėjos </w:t>
                  </w:r>
                  <w:proofErr w:type="spellStart"/>
                  <w:r w:rsidRPr="006D2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inovatyvumas</w:t>
                  </w:r>
                  <w:proofErr w:type="spellEnd"/>
                  <w:r w:rsidRPr="006D2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jos įgyvendinimo būdų panaudojant gerąją patirtį, mokslinius tyrimus ir </w:t>
                  </w:r>
                  <w:r w:rsidRPr="006D2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rekomendacijas pasirinkimas.</w:t>
                  </w:r>
                </w:p>
              </w:tc>
              <w:tc>
                <w:tcPr>
                  <w:tcW w:w="4961" w:type="dxa"/>
                  <w:shd w:val="clear" w:color="auto" w:fill="auto"/>
                </w:tcPr>
                <w:p w14:paraId="14992A62" w14:textId="77777777" w:rsidR="00276801" w:rsidRDefault="00276801" w:rsidP="0027680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 w:rsidRPr="006D213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lastRenderedPageBreak/>
                    <w:t>Šis atrankos kriterijus taikomas tik projektų atrankos metu.</w:t>
                  </w:r>
                </w:p>
                <w:p w14:paraId="0B4942ED" w14:textId="77777777" w:rsidR="00276801" w:rsidRDefault="00276801" w:rsidP="00B611BE">
                  <w:pPr>
                    <w:spacing w:after="0" w:line="240" w:lineRule="atLeast"/>
                    <w:ind w:right="1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  <w:p w14:paraId="364C6B69" w14:textId="5D70474A" w:rsidR="00B611BE" w:rsidRDefault="00B611BE" w:rsidP="00B611BE">
                  <w:pPr>
                    <w:spacing w:after="0" w:line="240" w:lineRule="atLeast"/>
                    <w:ind w:right="1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- Aukščiausią balą gauna projektas, kuris turi </w:t>
                  </w:r>
                  <w:proofErr w:type="spellStart"/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inovatyvią</w:t>
                  </w:r>
                  <w:proofErr w:type="spellEnd"/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, </w:t>
                  </w:r>
                  <w:r w:rsidRPr="005B035E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lt-LT"/>
                    </w:rPr>
                    <w:t>dar Lietuvos ikimokyklinio ugdymo mokyklose netaikytą</w:t>
                  </w:r>
                  <w:r w:rsidR="001524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ikimokyklinio ir</w:t>
                  </w:r>
                  <w:r w:rsidR="00D37A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(ar)</w:t>
                  </w:r>
                  <w:r w:rsidR="001524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priešmokyklinio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ugdymo organizavimo ir (ar) ugdymo </w:t>
                  </w:r>
                  <w:r w:rsidR="00D4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turinio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tobulinimo idėją, kurią įgyvendinus galima pagerinti ikimokyklinio 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lastRenderedPageBreak/>
                    <w:t xml:space="preserve">ugdymo mokyklos </w:t>
                  </w:r>
                  <w:r w:rsidR="001524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ikimokyklinio ir </w:t>
                  </w:r>
                  <w:r w:rsidR="00D37A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(ar) </w:t>
                  </w:r>
                  <w:r w:rsidR="001524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priešmokyklinio 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ugdymo organizavimą ir (ar) </w:t>
                  </w:r>
                  <w:r w:rsidR="00D4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ugdymo turinio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kokybę</w:t>
                  </w:r>
                  <w:r w:rsidR="00C95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,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yra numatyti jos įgyvendinimo būdai pa</w:t>
                  </w:r>
                  <w:r w:rsidR="001524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si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naudojant gerąj</w:t>
                  </w:r>
                  <w:r w:rsidR="001524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a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patirt</w:t>
                  </w:r>
                  <w:r w:rsidR="001524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imi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, Lietuvoje ar kitose šalyse atlikt</w:t>
                  </w:r>
                  <w:r w:rsidR="001524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ais</w:t>
                  </w:r>
                  <w:r w:rsidR="00337B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mokslini</w:t>
                  </w:r>
                  <w:r w:rsidR="001524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ais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tyrim</w:t>
                  </w:r>
                  <w:r w:rsidR="001524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ais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ir jų rekomendacij</w:t>
                  </w:r>
                  <w:r w:rsidR="001524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omis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;</w:t>
                  </w:r>
                </w:p>
                <w:p w14:paraId="69A01D8A" w14:textId="77777777" w:rsidR="000E4800" w:rsidRPr="006D213E" w:rsidRDefault="000E4800" w:rsidP="00B611BE">
                  <w:pPr>
                    <w:spacing w:after="0" w:line="240" w:lineRule="atLeast"/>
                    <w:ind w:right="100"/>
                    <w:jc w:val="both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lt-LT"/>
                    </w:rPr>
                  </w:pPr>
                </w:p>
                <w:p w14:paraId="18AB178F" w14:textId="76B37587" w:rsidR="00D37A7D" w:rsidRPr="006D213E" w:rsidRDefault="00B611BE" w:rsidP="00B611BE">
                  <w:pPr>
                    <w:spacing w:after="0" w:line="240" w:lineRule="atLeast"/>
                    <w:ind w:right="1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- 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1"/>
                      <w:lang w:eastAsia="lt-LT"/>
                    </w:rPr>
                    <w:t xml:space="preserve">Žemesnį balą 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gauna projektas, kuris turi </w:t>
                  </w:r>
                  <w:proofErr w:type="spellStart"/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inovatyvią</w:t>
                  </w:r>
                  <w:proofErr w:type="spellEnd"/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1524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ikimokyklinio ir</w:t>
                  </w:r>
                  <w:r w:rsidR="00D37A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(ar)</w:t>
                  </w:r>
                  <w:r w:rsidR="001524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priešmokyklinio 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ugdymo organizavimo ir (ar) </w:t>
                  </w:r>
                  <w:r w:rsidR="00D4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ugdymo turinio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tobulinimo idėją, kurią įgyvendinus galima pagerinti ikimokyklinio ugdymo mokyklos </w:t>
                  </w:r>
                  <w:r w:rsidR="001524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ikimokyklinio ir</w:t>
                  </w:r>
                  <w:r w:rsidR="00D37A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(ar)</w:t>
                  </w:r>
                  <w:r w:rsidR="001524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priešmokyklinio 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ugdymo organizavimą ir (ar) ugdymo proceso kokybę, yra numatyti jos įgyvendinimo būdai panaudojant gerąją patirtį.</w:t>
                  </w:r>
                </w:p>
                <w:p w14:paraId="5DB0BF2A" w14:textId="77777777" w:rsidR="00D37A7D" w:rsidRPr="006D213E" w:rsidRDefault="00D37A7D" w:rsidP="00B611B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</w:p>
                <w:p w14:paraId="53E29109" w14:textId="77777777" w:rsidR="00B611BE" w:rsidRPr="006D213E" w:rsidRDefault="00B611BE" w:rsidP="00B611B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 w:rsidRPr="004E438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Vertinant projekto idėjos </w:t>
                  </w:r>
                  <w:proofErr w:type="spellStart"/>
                  <w:r w:rsidRPr="004E438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inovatyvumą</w:t>
                  </w:r>
                  <w:proofErr w:type="spellEnd"/>
                  <w:r w:rsidRPr="004E438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 ir jos įgyvendinimo būdus, bus atsižvelgiama į:</w:t>
                  </w:r>
                </w:p>
                <w:p w14:paraId="5FBE95AC" w14:textId="7C87B8A6" w:rsidR="00B611BE" w:rsidRPr="006D213E" w:rsidRDefault="00067C12" w:rsidP="006D213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</w:t>
                  </w:r>
                  <w:r w:rsid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. </w:t>
                  </w:r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kiek projekto idėja prisidedama prie </w:t>
                  </w:r>
                  <w:hyperlink r:id="rId8" w:tgtFrame="_blank" w:history="1">
                    <w:r w:rsidR="005245D5" w:rsidRPr="00BC0A25">
                      <w:rPr>
                        <w:rStyle w:val="Grietas"/>
                        <w:rFonts w:ascii="Times New Roman" w:hAnsi="Times New Roman" w:cs="Times New Roman"/>
                        <w:b w:val="0"/>
                        <w:sz w:val="24"/>
                        <w:szCs w:val="24"/>
                      </w:rPr>
                      <w:t>Metodinių rekomendacijų dėl ikimokyklinio</w:t>
                    </w:r>
                    <w:r w:rsidR="00C67033">
                      <w:rPr>
                        <w:rStyle w:val="Grietas"/>
                        <w:rFonts w:ascii="Times New Roman" w:hAnsi="Times New Roman" w:cs="Times New Roman"/>
                        <w:b w:val="0"/>
                        <w:sz w:val="24"/>
                        <w:szCs w:val="24"/>
                      </w:rPr>
                      <w:t xml:space="preserve"> </w:t>
                    </w:r>
                    <w:r w:rsidR="005245D5" w:rsidRPr="00BC0A25">
                      <w:rPr>
                        <w:rStyle w:val="Grietas"/>
                        <w:rFonts w:ascii="Times New Roman" w:hAnsi="Times New Roman" w:cs="Times New Roman"/>
                        <w:b w:val="0"/>
                        <w:sz w:val="24"/>
                        <w:szCs w:val="24"/>
                      </w:rPr>
                      <w:t>u</w:t>
                    </w:r>
                    <w:r w:rsidR="004E5944" w:rsidRPr="00BC0A25">
                      <w:rPr>
                        <w:rStyle w:val="Grietas"/>
                        <w:rFonts w:ascii="Times New Roman" w:hAnsi="Times New Roman" w:cs="Times New Roman"/>
                        <w:b w:val="0"/>
                        <w:sz w:val="24"/>
                        <w:szCs w:val="24"/>
                      </w:rPr>
                      <w:t>gdymo organizavimo formų įvairov</w:t>
                    </w:r>
                    <w:r w:rsidR="005245D5" w:rsidRPr="00BC0A25">
                      <w:rPr>
                        <w:rStyle w:val="Grietas"/>
                        <w:rFonts w:ascii="Times New Roman" w:hAnsi="Times New Roman" w:cs="Times New Roman"/>
                        <w:b w:val="0"/>
                        <w:sz w:val="24"/>
                        <w:szCs w:val="24"/>
                      </w:rPr>
                      <w:t>ės</w:t>
                    </w:r>
                  </w:hyperlink>
                  <w:r w:rsidR="006D213E" w:rsidRPr="00BC0A2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5245D5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(</w:t>
                  </w:r>
                  <w:r w:rsidR="006D213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nuoroda: </w:t>
                  </w:r>
                  <w:hyperlink r:id="rId9" w:history="1">
                    <w:r w:rsidR="00076248" w:rsidRPr="008C173C">
                      <w:rPr>
                        <w:rStyle w:val="Hipersaitas"/>
                        <w:rFonts w:ascii="Times New Roman" w:eastAsia="Times New Roman" w:hAnsi="Times New Roman" w:cs="Times New Roman"/>
                        <w:sz w:val="24"/>
                        <w:szCs w:val="24"/>
                        <w:lang w:eastAsia="lt-LT"/>
                      </w:rPr>
                      <w:t>www.ikimokyklinis.lt/uploads/files/dir758/dir37/dir1/5_0.php</w:t>
                    </w:r>
                  </w:hyperlink>
                  <w:r w:rsidR="00C94AED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)</w:t>
                  </w:r>
                  <w:r w:rsidR="006D213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nuostatų įgyvendinimo – iki </w:t>
                  </w:r>
                  <w:r w:rsidR="005737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5</w:t>
                  </w:r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balų;</w:t>
                  </w:r>
                </w:p>
                <w:p w14:paraId="2D80D9D4" w14:textId="60A2A9AA" w:rsidR="00B611BE" w:rsidRDefault="00067C12" w:rsidP="006D213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2</w:t>
                  </w:r>
                  <w:r w:rsid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. </w:t>
                  </w:r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kiek pateikta ugdymo organizavimo ir (ar) ugdymo </w:t>
                  </w:r>
                  <w:r w:rsidR="00D4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turinio</w:t>
                  </w:r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tobulinimo idėja atitinka šio konkurso </w:t>
                  </w:r>
                  <w:proofErr w:type="spellStart"/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inovatyvios</w:t>
                  </w:r>
                  <w:proofErr w:type="spellEnd"/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idėjos sampratą – iki </w:t>
                  </w:r>
                  <w:r w:rsidR="00E209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10</w:t>
                  </w:r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balų;</w:t>
                  </w:r>
                </w:p>
                <w:p w14:paraId="47F1ABB6" w14:textId="51D4C6ED" w:rsidR="004B1C8F" w:rsidRPr="006D213E" w:rsidRDefault="004B1C8F" w:rsidP="006D213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3. 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ar pateikta pagrį</w:t>
                  </w:r>
                  <w:r w:rsidR="002544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stų argumentų, kodėl, būtent ši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geroji patirtis yra pasirinkta </w:t>
                  </w:r>
                  <w:r w:rsidR="002544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ir </w:t>
                  </w:r>
                  <w:r w:rsidR="00E472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k</w:t>
                  </w:r>
                  <w:r w:rsidR="002544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aip ji siejasi </w:t>
                  </w:r>
                  <w:r w:rsidR="00D37A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su numatyta projekto veikla bei </w:t>
                  </w:r>
                  <w:r w:rsidR="002544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ugdymo organizavimo</w:t>
                  </w:r>
                  <w:r w:rsidR="00E472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ir (ar) ugdymo turinio kokybės pokyčiu 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– iki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8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bal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ų</w:t>
                  </w:r>
                </w:p>
                <w:p w14:paraId="43315489" w14:textId="2F93E809" w:rsidR="00B611BE" w:rsidRPr="006D213E" w:rsidRDefault="004B1C8F" w:rsidP="006D213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lastRenderedPageBreak/>
                    <w:t>4</w:t>
                  </w:r>
                  <w:r w:rsid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. </w:t>
                  </w:r>
                  <w:r w:rsidR="00E472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ar aiškiai įvardinti projekto tikslai ir realiai prognozuojamas ugdymo organizavimo ir (a</w:t>
                  </w:r>
                  <w:r w:rsidR="00D37A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r</w:t>
                  </w:r>
                  <w:r w:rsidR="00E472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) ugdymo turinio kokybės pokytis </w:t>
                  </w:r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– iki </w:t>
                  </w:r>
                  <w:r w:rsidR="00067C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5</w:t>
                  </w:r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balų;</w:t>
                  </w:r>
                </w:p>
                <w:p w14:paraId="5684E04A" w14:textId="13B728CA" w:rsidR="00B611BE" w:rsidRPr="006D213E" w:rsidRDefault="004B1C8F" w:rsidP="006D213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5</w:t>
                  </w:r>
                  <w:r w:rsid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. </w:t>
                  </w:r>
                  <w:r w:rsidR="008028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kiek tiksliai</w:t>
                  </w:r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apibrėžti projekto rezultatai ir </w:t>
                  </w:r>
                  <w:r w:rsidR="00E472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kaip, kokiais būdais jų bus siekiama </w:t>
                  </w:r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– iki </w:t>
                  </w:r>
                  <w:r w:rsidR="008D2D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3</w:t>
                  </w:r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balų;</w:t>
                  </w:r>
                </w:p>
                <w:p w14:paraId="429D4C87" w14:textId="2DE76D5B" w:rsidR="00B611BE" w:rsidRPr="006D213E" w:rsidRDefault="004B1C8F" w:rsidP="006D213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lt-LT"/>
                    </w:rPr>
                    <w:t>6</w:t>
                  </w:r>
                  <w:r w:rsidR="006D213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lt-LT"/>
                    </w:rPr>
                    <w:t xml:space="preserve">. </w:t>
                  </w:r>
                  <w:r w:rsidR="00B611BE" w:rsidRPr="006D213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lt-LT"/>
                    </w:rPr>
                    <w:t xml:space="preserve">ar </w:t>
                  </w:r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projekto pažanga </w:t>
                  </w:r>
                  <w:r w:rsidR="00D37A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(</w:t>
                  </w:r>
                  <w:r w:rsidR="00D4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ugdymo organizavimo ir (</w:t>
                  </w:r>
                  <w:r w:rsidR="00806B83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ar</w:t>
                  </w:r>
                  <w:r w:rsidR="00D4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)</w:t>
                  </w:r>
                  <w:r w:rsidR="00806B83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ugdymo </w:t>
                  </w:r>
                  <w:r w:rsidR="00D4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turinio</w:t>
                  </w:r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kokybės </w:t>
                  </w:r>
                  <w:r w:rsidR="00806B83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pokytis</w:t>
                  </w:r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) bus matuojama tinkamu periodiškumu ir tinkamais įrankiais – iki </w:t>
                  </w:r>
                  <w:r w:rsidR="008D2D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3</w:t>
                  </w:r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balų;</w:t>
                  </w:r>
                </w:p>
                <w:p w14:paraId="7F91593F" w14:textId="088B7EE5" w:rsidR="00B611BE" w:rsidRDefault="008D2DED" w:rsidP="006D213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7</w:t>
                  </w:r>
                  <w:r w:rsid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.</w:t>
                  </w:r>
                  <w:r w:rsidR="00C502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 </w:t>
                  </w:r>
                  <w:r w:rsidR="00E472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ar nagrinėtos vertingos patirties pasirinkimo alternatyvos</w:t>
                  </w:r>
                  <w:r w:rsidR="000A5F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3653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– iki 1 balo.</w:t>
                  </w:r>
                </w:p>
                <w:p w14:paraId="6A8FC92B" w14:textId="77777777" w:rsidR="0036530F" w:rsidRPr="006D213E" w:rsidRDefault="0036530F" w:rsidP="006D213E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  <w:p w14:paraId="32155C18" w14:textId="59C0BFDB" w:rsidR="00B611BE" w:rsidRPr="00C5020C" w:rsidRDefault="0036530F" w:rsidP="00D37A7D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P</w:t>
                  </w:r>
                  <w:r w:rsidR="00337B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rojektui, kuris </w:t>
                  </w:r>
                  <w:r w:rsidR="00337B86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turi </w:t>
                  </w:r>
                  <w:proofErr w:type="spellStart"/>
                  <w:r w:rsidR="00337B86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inovatyvią</w:t>
                  </w:r>
                  <w:proofErr w:type="spellEnd"/>
                  <w:r w:rsidR="00337B86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lt-LT"/>
                    </w:rPr>
                    <w:footnoteReference w:id="1"/>
                  </w:r>
                  <w:r w:rsidR="00337B86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, </w:t>
                  </w:r>
                  <w:r w:rsidR="00337B86" w:rsidRPr="005B035E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lt-LT"/>
                    </w:rPr>
                    <w:t>dar Lietuvos ikimokyklinio ugdymo mokyklose netaikytą</w:t>
                  </w:r>
                  <w:r w:rsidR="00337B86" w:rsidRPr="005B035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337B86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ugdymo organizavimo ir (ar) ugdymo </w:t>
                  </w:r>
                  <w:r w:rsidR="00337B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turinio</w:t>
                  </w:r>
                  <w:r w:rsidR="00337B86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tobulinimo idėją, kurią įgyvendinus galima pagerinti ikimokyklinio ugdymo mokyklos ugdymo organizavimą ir (ar) </w:t>
                  </w:r>
                  <w:r w:rsidR="00337B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ugdymo turinio</w:t>
                  </w:r>
                  <w:r w:rsidR="00337B86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kokybę</w:t>
                  </w:r>
                  <w:r w:rsidR="00337B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,</w:t>
                  </w:r>
                  <w:r w:rsidR="00337B86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yra numatyti jos įgyvendinimo būdai pa</w:t>
                  </w:r>
                  <w:r w:rsidR="00337B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si</w:t>
                  </w:r>
                  <w:r w:rsidR="00337B86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naudojant gerąj</w:t>
                  </w:r>
                  <w:r w:rsidR="00337B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a</w:t>
                  </w:r>
                  <w:r w:rsidR="00337B86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patirt</w:t>
                  </w:r>
                  <w:r w:rsidR="00337B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imi</w:t>
                  </w:r>
                  <w:r w:rsidR="00337B86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, Lietuvoje ar kitose šalyse atlikt</w:t>
                  </w:r>
                  <w:r w:rsidR="00337B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ais </w:t>
                  </w:r>
                  <w:r w:rsidR="00337B86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mokslini</w:t>
                  </w:r>
                  <w:r w:rsidR="00337B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ais</w:t>
                  </w:r>
                  <w:r w:rsidR="00337B86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tyrim</w:t>
                  </w:r>
                  <w:r w:rsidR="00337B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ais</w:t>
                  </w:r>
                  <w:r w:rsidR="00337B86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ir jų rekomendacij</w:t>
                  </w:r>
                  <w:r w:rsidR="00337B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omis, papildomai skiriami 5 balai.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87ADC75" w14:textId="2516C553" w:rsidR="00B611BE" w:rsidRPr="006D213E" w:rsidRDefault="005737B8" w:rsidP="00B61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lastRenderedPageBreak/>
                    <w:t>5</w:t>
                  </w:r>
                  <w:r w:rsidR="00B611BE" w:rsidRPr="006D213E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14:paraId="1C68693F" w14:textId="77777777" w:rsidR="00B611BE" w:rsidRPr="006D213E" w:rsidRDefault="00B611BE" w:rsidP="00B61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6C9A495C" w14:textId="77777777" w:rsidR="00B611BE" w:rsidRPr="006D213E" w:rsidRDefault="00B611BE" w:rsidP="00B61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75FD4674" w14:textId="77777777" w:rsidR="00B611BE" w:rsidRPr="006D213E" w:rsidRDefault="00B611BE" w:rsidP="00B61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</w:tr>
            <w:tr w:rsidR="00B611BE" w:rsidRPr="006D213E" w14:paraId="411C58CC" w14:textId="77777777" w:rsidTr="00C5020C">
              <w:tc>
                <w:tcPr>
                  <w:tcW w:w="2473" w:type="dxa"/>
                  <w:shd w:val="clear" w:color="auto" w:fill="auto"/>
                </w:tcPr>
                <w:p w14:paraId="522E123B" w14:textId="29255662" w:rsidR="008E3E95" w:rsidRDefault="00B611BE" w:rsidP="00B611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D2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 xml:space="preserve">2. Skatinama mokyklų ir konsultantų (organizacijų, institucijų, pavienių konsultantų ir </w:t>
                  </w:r>
                  <w:r w:rsidRPr="006D2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mokslininkų) partnerystė.</w:t>
                  </w:r>
                </w:p>
                <w:p w14:paraId="76A4B498" w14:textId="77777777" w:rsidR="008E3E95" w:rsidRPr="005F70D1" w:rsidRDefault="008E3E95" w:rsidP="005F70D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109F4EE" w14:textId="77777777" w:rsidR="008E3E95" w:rsidRPr="005F70D1" w:rsidRDefault="008E3E95" w:rsidP="005F70D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88F1DC1" w14:textId="77777777" w:rsidR="008E3E95" w:rsidRPr="005F70D1" w:rsidRDefault="008E3E95" w:rsidP="005F70D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D96F883" w14:textId="77777777" w:rsidR="008E3E95" w:rsidRPr="005F70D1" w:rsidRDefault="008E3E95" w:rsidP="005F70D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50863E0" w14:textId="77777777" w:rsidR="008E3E95" w:rsidRPr="005F70D1" w:rsidRDefault="008E3E95" w:rsidP="005F70D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3522932" w14:textId="77777777" w:rsidR="008E3E95" w:rsidRPr="005F70D1" w:rsidRDefault="008E3E95" w:rsidP="005F70D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BB0A170" w14:textId="77777777" w:rsidR="008E3E95" w:rsidRPr="005F70D1" w:rsidRDefault="008E3E95" w:rsidP="005F70D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1452FB7" w14:textId="77777777" w:rsidR="008E3E95" w:rsidRPr="005F70D1" w:rsidRDefault="008E3E95" w:rsidP="005F70D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A314D5D" w14:textId="77777777" w:rsidR="008E3E95" w:rsidRPr="005F70D1" w:rsidRDefault="008E3E95" w:rsidP="005F70D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13CAB3F" w14:textId="77777777" w:rsidR="008E3E95" w:rsidRPr="005F70D1" w:rsidRDefault="008E3E95" w:rsidP="005F70D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73ECBD7" w14:textId="77777777" w:rsidR="008E3E95" w:rsidRPr="005F70D1" w:rsidRDefault="008E3E95" w:rsidP="005F70D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BD84A5E" w14:textId="77777777" w:rsidR="008E3E95" w:rsidRPr="005F70D1" w:rsidRDefault="008E3E95" w:rsidP="005F70D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A72C8D4" w14:textId="77777777" w:rsidR="008E3E95" w:rsidRPr="005F70D1" w:rsidRDefault="008E3E95" w:rsidP="005F70D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E097181" w14:textId="77777777" w:rsidR="008E3E95" w:rsidRPr="005F70D1" w:rsidRDefault="008E3E95" w:rsidP="005F70D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4127436" w14:textId="408F219E" w:rsidR="00B611BE" w:rsidRPr="005F70D1" w:rsidRDefault="00B611BE" w:rsidP="005F70D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shd w:val="clear" w:color="auto" w:fill="auto"/>
                </w:tcPr>
                <w:p w14:paraId="4C7E5246" w14:textId="686973D1" w:rsidR="00B611BE" w:rsidRPr="006D213E" w:rsidRDefault="00B611BE" w:rsidP="00B611BE">
                  <w:pPr>
                    <w:spacing w:after="0" w:line="240" w:lineRule="auto"/>
                    <w:ind w:right="1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lastRenderedPageBreak/>
                    <w:t>Kai pareiškėjas yra</w:t>
                  </w:r>
                  <w:r w:rsid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ikimokyklinio ugdymo mokykla, </w:t>
                  </w:r>
                  <w:r w:rsidRPr="006D213E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lt-LT"/>
                    </w:rPr>
                    <w:t>savivaldybė su keliomis i</w:t>
                  </w:r>
                  <w:r w:rsidR="006D213E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lt-LT"/>
                    </w:rPr>
                    <w:t>kimokyklinio ugdymo mokyklomis</w:t>
                  </w:r>
                  <w:r w:rsidRPr="006D213E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lt-LT"/>
                    </w:rPr>
                    <w:t>:</w:t>
                  </w:r>
                </w:p>
                <w:p w14:paraId="25273667" w14:textId="20F6BC6C" w:rsidR="00B611BE" w:rsidRPr="00D4368C" w:rsidRDefault="00B611BE" w:rsidP="00B611BE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262" w:hanging="283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aukščiausią balą gauna tas projektas, kuriame veiklą tobulinanti ikimokyklinio ugdymo mokykla(-</w:t>
                  </w:r>
                  <w:proofErr w:type="spellStart"/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os</w:t>
                  </w:r>
                  <w:proofErr w:type="spellEnd"/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) turi bent vieną</w:t>
                  </w:r>
                  <w:r w:rsidR="005B03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partnerį </w:t>
                  </w:r>
                  <w:r w:rsidR="005B035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–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lastRenderedPageBreak/>
                    <w:t>ikimokyklinio ugdymo mokyklą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(</w:t>
                  </w:r>
                  <w:r w:rsidR="00C508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konsultuojančią ikimokyklinio ugdymo mokyklą)</w:t>
                  </w:r>
                  <w:r w:rsidR="005B03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5B035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–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turinčią </w:t>
                  </w:r>
                  <w:r w:rsidR="00072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veiklos tobulinimo arba </w:t>
                  </w:r>
                  <w:proofErr w:type="spellStart"/>
                  <w:r w:rsidR="00072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inov</w:t>
                  </w:r>
                  <w:r w:rsidR="005B03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atyvių</w:t>
                  </w:r>
                  <w:proofErr w:type="spellEnd"/>
                  <w:r w:rsidR="005B03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ugdymo organizavimo  ir (</w:t>
                  </w:r>
                  <w:r w:rsidR="00072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ar</w:t>
                  </w:r>
                  <w:r w:rsidR="005B03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)</w:t>
                  </w:r>
                  <w:r w:rsidR="000728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tobulinimo 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patirties projekte numatytose veiklose</w:t>
                  </w:r>
                  <w:r w:rsidR="00E345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, </w:t>
                  </w:r>
                  <w:r w:rsidR="005B03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kuri</w:t>
                  </w:r>
                  <w:r w:rsidR="008E3E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E345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kartu vykdys projekto veiklas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, </w:t>
                  </w:r>
                  <w:r w:rsidRPr="005B035E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lt-LT"/>
                    </w:rPr>
                    <w:t xml:space="preserve">ir </w:t>
                  </w:r>
                  <w:r w:rsidRPr="006D02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dalyvauja konsultantas (kita organizacija, institucija, pavienis asmuo ar mokslininkas)</w:t>
                  </w:r>
                  <w:r w:rsidR="00EC0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. Pareiškėjas turi pateikti</w:t>
                  </w:r>
                  <w:r w:rsidR="00D408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konsultanto atrankos</w:t>
                  </w:r>
                  <w:r w:rsidR="00EC0D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1924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konkurso sąlygų projektą, kuriame įtraukti reikalavimai konsultantams</w:t>
                  </w:r>
                  <w:r w:rsidRPr="006D02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1924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dėl </w:t>
                  </w:r>
                  <w:r w:rsidRPr="006D02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patirties ikimokyklinio ugdymo mokyklų </w:t>
                  </w:r>
                  <w:r w:rsidR="00BC0A25" w:rsidRPr="006D02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veiklos </w:t>
                  </w:r>
                  <w:r w:rsidRPr="006D02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tobulinimo</w:t>
                  </w:r>
                  <w:r w:rsidR="00D4368C" w:rsidRPr="006D02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ir (</w:t>
                  </w:r>
                  <w:r w:rsidR="00D4368C" w:rsidRPr="006D02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arba) </w:t>
                  </w:r>
                  <w:proofErr w:type="spellStart"/>
                  <w:r w:rsidR="00D4368C" w:rsidRPr="006D02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inovatyvių</w:t>
                  </w:r>
                  <w:proofErr w:type="spellEnd"/>
                  <w:r w:rsidR="00D4368C" w:rsidRPr="006D028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ugdymo organizavimo ir (ar) tobulinimo idėjų, kurias ketinama diegti, </w:t>
                  </w:r>
                  <w:r w:rsidRPr="006D02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srityje</w:t>
                  </w:r>
                  <w:r w:rsidR="00C508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E345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(pvz., </w:t>
                  </w:r>
                  <w:r w:rsidR="001924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pateikti </w:t>
                  </w:r>
                  <w:r w:rsidR="00E345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įgyvendintų inovacijų aprašymą, institucijų sąrašą, kurioms buvo teikiama konsultavimo paslauga, interneto nuorodos į vykdytas veiklas ir kita) </w:t>
                  </w:r>
                  <w:r w:rsidR="00C508B3" w:rsidRPr="00BC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– </w:t>
                  </w:r>
                  <w:r w:rsidR="00C508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3</w:t>
                  </w:r>
                  <w:r w:rsidR="00C508B3" w:rsidRPr="00BC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0 balų</w:t>
                  </w:r>
                  <w:r w:rsidRPr="00D4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;</w:t>
                  </w:r>
                </w:p>
                <w:p w14:paraId="6C5EC144" w14:textId="03E64576" w:rsidR="00B611BE" w:rsidRPr="006D213E" w:rsidRDefault="00B611BE" w:rsidP="00B611BE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262" w:hanging="283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žemesnį už aukščiausią balą gauna tas projektas, kuriame veiklą tobulinanti ikimokyklinio ugdymo mokykla(-</w:t>
                  </w:r>
                  <w:proofErr w:type="spellStart"/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os</w:t>
                  </w:r>
                  <w:proofErr w:type="spellEnd"/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) turi bent vieną </w:t>
                  </w:r>
                  <w:r w:rsidR="005B03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partnerį </w:t>
                  </w:r>
                  <w:r w:rsidR="005B035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–</w:t>
                  </w:r>
                  <w:r w:rsidR="005B03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BC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ikimokyklinio ugdymo mokyklą 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(</w:t>
                  </w:r>
                  <w:r w:rsidR="00C508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konsultuojančią ikimokyklinio ugdymo mokyklą</w:t>
                  </w:r>
                  <w:r w:rsidR="005B03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) </w:t>
                  </w:r>
                  <w:r w:rsidR="005B035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–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turinčią </w:t>
                  </w:r>
                  <w:r w:rsidR="00FE28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veiklos tobulinimo arba </w:t>
                  </w:r>
                  <w:proofErr w:type="spellStart"/>
                  <w:r w:rsidR="00FE28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inovatyvių</w:t>
                  </w:r>
                  <w:proofErr w:type="spellEnd"/>
                  <w:r w:rsidR="00FE28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ugdymo or</w:t>
                  </w:r>
                  <w:r w:rsidR="005B03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ganizavimo ir (</w:t>
                  </w:r>
                  <w:r w:rsidR="00FE28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ar</w:t>
                  </w:r>
                  <w:r w:rsidR="005B03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)</w:t>
                  </w:r>
                  <w:r w:rsidR="00FE28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tobulinimo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patirties projekte numatytose veiklose,</w:t>
                  </w:r>
                  <w:r w:rsidR="008E3E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taip pat kartu vykdys projekto veiklas</w:t>
                  </w:r>
                  <w:r w:rsidR="005B03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C508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– 20 balų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;</w:t>
                  </w:r>
                </w:p>
                <w:p w14:paraId="0A294238" w14:textId="49496D66" w:rsidR="00B611BE" w:rsidRDefault="00C77E4D" w:rsidP="00B611BE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262" w:hanging="283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2321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aukštesnį už žemiausią</w:t>
                  </w:r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balą gauna tas projektas, kuriame kartu su</w:t>
                  </w:r>
                  <w:r w:rsidR="00BC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veiklą tobulinančia(-</w:t>
                  </w:r>
                  <w:proofErr w:type="spellStart"/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omis</w:t>
                  </w:r>
                  <w:proofErr w:type="spellEnd"/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) ikimokyklinio ugdymo mokykla (-</w:t>
                  </w:r>
                  <w:proofErr w:type="spellStart"/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omis</w:t>
                  </w:r>
                  <w:proofErr w:type="spellEnd"/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) dalyvauja </w:t>
                  </w:r>
                  <w:r w:rsidR="00B611BE" w:rsidRPr="005B035E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lt-LT"/>
                    </w:rPr>
                    <w:t>tik</w:t>
                  </w:r>
                  <w:r w:rsidR="00B611BE" w:rsidRPr="00B64A9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konsultantas (kita organizacija, institucija, pavienis asmuo </w:t>
                  </w:r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lastRenderedPageBreak/>
                    <w:t>ar mokslininkas)</w:t>
                  </w:r>
                  <w:r w:rsidR="001924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.</w:t>
                  </w:r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1924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Pareiškėjas turi pateikti </w:t>
                  </w:r>
                  <w:r w:rsidR="00D408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konsultanto atrankos </w:t>
                  </w:r>
                  <w:r w:rsidR="001924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konkurso sąlygų projektą, kuriame įtraukti reikalavimai konsultantams</w:t>
                  </w:r>
                  <w:r w:rsidR="001924E9" w:rsidRPr="006D02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1924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dėl </w:t>
                  </w:r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patirties ikimokyklinio ugdymo mokyklų </w:t>
                  </w:r>
                  <w:r w:rsidR="00BC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veiklos </w:t>
                  </w:r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tobulinimo </w:t>
                  </w:r>
                  <w:r w:rsidR="00D4368C" w:rsidRPr="00D436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ir (</w:t>
                  </w:r>
                  <w:r w:rsidR="00D4368C" w:rsidRPr="00D436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arba) </w:t>
                  </w:r>
                  <w:proofErr w:type="spellStart"/>
                  <w:r w:rsidR="00D4368C" w:rsidRPr="00D436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inovatyvių</w:t>
                  </w:r>
                  <w:proofErr w:type="spellEnd"/>
                  <w:r w:rsidR="00D4368C" w:rsidRPr="00D436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ugdymo organizavimo ir (ar) tobulinimo idėjų, kurias ketinama diegti, </w:t>
                  </w:r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srityje</w:t>
                  </w:r>
                  <w:r w:rsidR="008E3E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5F70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(pvz.,</w:t>
                  </w:r>
                  <w:r w:rsidR="001924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pateikti </w:t>
                  </w:r>
                  <w:r w:rsidR="005F70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įgyvendintų inovacijų aprašymą, institucijų sąrašą, kurioms buvo teikiama konsultavimo paslauga, interneto nuorodos į vykdytas veiklas ir kita) </w:t>
                  </w:r>
                  <w:r w:rsidR="008E3E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– 10 balų</w:t>
                  </w:r>
                  <w:r w:rsidR="000533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;</w:t>
                  </w:r>
                </w:p>
                <w:p w14:paraId="4FD68B8A" w14:textId="23BDF7EF" w:rsidR="00B611BE" w:rsidRDefault="00C77E4D" w:rsidP="00B64A95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262" w:hanging="283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 w:rsidRPr="000B64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žemiausią balą gauna tas projektas</w:t>
                  </w:r>
                  <w:r w:rsidR="00BE6F49" w:rsidRPr="000B64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, kuriame veiklą tobulinanti </w:t>
                  </w:r>
                  <w:r w:rsidRPr="000B64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ikimokyklinio ugdymo mokykla(-</w:t>
                  </w:r>
                  <w:proofErr w:type="spellStart"/>
                  <w:r w:rsidRPr="000B64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os</w:t>
                  </w:r>
                  <w:proofErr w:type="spellEnd"/>
                  <w:r w:rsidRPr="000B64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)</w:t>
                  </w:r>
                  <w:r w:rsidRPr="00C57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dalyvauja kartu su dar bent viena ikimokyklinio ugdymo </w:t>
                  </w:r>
                  <w:r w:rsidR="000B64E0" w:rsidRPr="000533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mokykla (tačiau nei viena jų neatitinka </w:t>
                  </w:r>
                  <w:r w:rsidR="000B64E0" w:rsidRPr="00BC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konsultuojančios ikimokyklinio ugdymo mokyklos sampratos</w:t>
                  </w:r>
                  <w:r w:rsidR="000B64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)</w:t>
                  </w:r>
                  <w:r w:rsidR="000B64E0" w:rsidRPr="00BC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C57EBD" w:rsidRPr="00B64A9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t-LT"/>
                    </w:rPr>
                    <w:t xml:space="preserve">ir </w:t>
                  </w:r>
                  <w:r w:rsidR="00C57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dalyvauja kitas konsultantas (kita organizacija, institucija, pavienis asmuo ar mokslininkas)</w:t>
                  </w:r>
                  <w:r w:rsidR="001924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, tačiau p</w:t>
                  </w:r>
                  <w:r w:rsidR="00D37A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a</w:t>
                  </w:r>
                  <w:r w:rsidR="001924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reiškėjas nepateikia </w:t>
                  </w:r>
                  <w:r w:rsidR="00D408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konsultanto atrankos </w:t>
                  </w:r>
                  <w:r w:rsidR="001924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konkurso sąlygų projekto, kuriame įtraukti reikalavimai konsultantams</w:t>
                  </w:r>
                  <w:r w:rsidR="001924E9" w:rsidRPr="006D02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1924E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dėl </w:t>
                  </w:r>
                  <w:r w:rsidR="00C57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patirties ikimokyklinio ugdymo mokyklų veiklos tobulinimo ir (arba) </w:t>
                  </w:r>
                  <w:proofErr w:type="spellStart"/>
                  <w:r w:rsidR="00C57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inovatyvių</w:t>
                  </w:r>
                  <w:proofErr w:type="spellEnd"/>
                  <w:r w:rsidR="00C57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ugdymo organizavimo ir (ar)</w:t>
                  </w:r>
                  <w:r w:rsidR="00276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C57E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tobulinimo idėjų, kurias ketinama diegti, srityje</w:t>
                  </w:r>
                  <w:r w:rsidR="000533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– 5 balai.</w:t>
                  </w:r>
                  <w:r w:rsidR="000533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ab/>
                  </w:r>
                </w:p>
                <w:p w14:paraId="7034B9D4" w14:textId="77777777" w:rsidR="00B64A95" w:rsidRPr="006D213E" w:rsidRDefault="00B64A95" w:rsidP="00B64A95">
                  <w:pPr>
                    <w:spacing w:after="0" w:line="240" w:lineRule="auto"/>
                    <w:ind w:left="262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</w:p>
                <w:p w14:paraId="57659D83" w14:textId="77777777" w:rsidR="008E1D31" w:rsidRDefault="00B611BE" w:rsidP="008E1D31">
                  <w:pPr>
                    <w:spacing w:after="0" w:line="240" w:lineRule="atLeast"/>
                    <w:ind w:right="1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BC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Negauna balų už šį kriterijų tas projektas, kuriame dalyvauja tik veiklą tobulinanti ikimokyklinio ugdymo mokykla</w:t>
                  </w:r>
                  <w:r w:rsidR="008E1D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(-</w:t>
                  </w:r>
                  <w:proofErr w:type="spellStart"/>
                  <w:r w:rsidR="008E1D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os</w:t>
                  </w:r>
                  <w:proofErr w:type="spellEnd"/>
                  <w:r w:rsidR="008E1D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)</w:t>
                  </w:r>
                  <w:r w:rsidRPr="00BC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, kuri</w:t>
                  </w:r>
                  <w:r w:rsidR="008E1D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(-</w:t>
                  </w:r>
                  <w:proofErr w:type="spellStart"/>
                  <w:r w:rsidR="008E1D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ios</w:t>
                  </w:r>
                  <w:proofErr w:type="spellEnd"/>
                  <w:r w:rsidR="008E1D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)</w:t>
                  </w:r>
                  <w:r w:rsidRPr="00BC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neturi nei konsultuojančios ikimokyklinio ugdymo mokyklos, nei kito konsultanto. </w:t>
                  </w:r>
                </w:p>
                <w:p w14:paraId="0DEBCC80" w14:textId="77777777" w:rsidR="008E1D31" w:rsidRDefault="008E1D31" w:rsidP="008E1D31">
                  <w:pPr>
                    <w:spacing w:after="0" w:line="240" w:lineRule="atLeast"/>
                    <w:ind w:right="1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  <w:p w14:paraId="339937BA" w14:textId="70587E22" w:rsidR="00B611BE" w:rsidRPr="006D213E" w:rsidRDefault="00B611BE" w:rsidP="008E1D31">
                  <w:pPr>
                    <w:spacing w:after="0" w:line="240" w:lineRule="atLeast"/>
                    <w:ind w:right="1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BC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lastRenderedPageBreak/>
                    <w:t>Balai pagal vertinimo aspektus nesumuojami.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7FBA7E6" w14:textId="308D1708" w:rsidR="00B611BE" w:rsidRPr="006D213E" w:rsidRDefault="00C508B3" w:rsidP="00B61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lastRenderedPageBreak/>
                    <w:t>3</w:t>
                  </w:r>
                  <w:r w:rsidR="00B611BE" w:rsidRPr="006D213E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14:paraId="2C64E76A" w14:textId="77777777" w:rsidR="00B611BE" w:rsidRPr="006D213E" w:rsidRDefault="00B611BE" w:rsidP="00B61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360EA493" w14:textId="77777777" w:rsidR="00B611BE" w:rsidRPr="006D213E" w:rsidRDefault="00B611BE" w:rsidP="00B61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6ACC77C9" w14:textId="77777777" w:rsidR="00B611BE" w:rsidRPr="006D213E" w:rsidRDefault="00B611BE" w:rsidP="00B611B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B611BE" w:rsidRPr="006D213E" w14:paraId="2120F384" w14:textId="77777777" w:rsidTr="00C5020C">
              <w:tc>
                <w:tcPr>
                  <w:tcW w:w="2473" w:type="dxa"/>
                  <w:shd w:val="clear" w:color="auto" w:fill="auto"/>
                </w:tcPr>
                <w:p w14:paraId="778770D5" w14:textId="3699A4D1" w:rsidR="00B611BE" w:rsidRPr="006D213E" w:rsidRDefault="00B611BE" w:rsidP="001050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D2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 xml:space="preserve">3. Įvairiose vietovėse esančių, skirtingų tipų, paskirčių ir dydžių mokyklų </w:t>
                  </w:r>
                  <w:proofErr w:type="spellStart"/>
                  <w:r w:rsidRPr="006D2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įtrauktis</w:t>
                  </w:r>
                  <w:proofErr w:type="spellEnd"/>
                  <w:r w:rsidRPr="006D2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961" w:type="dxa"/>
                  <w:shd w:val="clear" w:color="auto" w:fill="auto"/>
                </w:tcPr>
                <w:p w14:paraId="22009CB5" w14:textId="4624413B" w:rsidR="00095676" w:rsidRDefault="00095676" w:rsidP="00BC0A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10</w:t>
                  </w:r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bal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ų</w:t>
                  </w:r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gauna tas projektas, kuriame </w:t>
                  </w:r>
                  <w:r w:rsidR="00D94C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bent viena </w:t>
                  </w:r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veiklą tobulinan</w:t>
                  </w:r>
                  <w:r w:rsidR="00441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ti ikimokyklinio ugdymo mokykla</w:t>
                  </w:r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(-</w:t>
                  </w:r>
                  <w:proofErr w:type="spellStart"/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os</w:t>
                  </w:r>
                  <w:proofErr w:type="spellEnd"/>
                  <w:r w:rsidR="00B611B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) einamaisiais mokslo metais </w:t>
                  </w:r>
                  <w:r w:rsidR="00461E6E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ugdo specialiųjų poreikių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turinči</w:t>
                  </w:r>
                  <w:r w:rsidR="009B0A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us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9B0A8C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mokini</w:t>
                  </w:r>
                  <w:r w:rsidR="009B0A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us 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bendros paskirties grupėse ir</w:t>
                  </w:r>
                  <w:r w:rsidR="00BC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(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ar</w:t>
                  </w:r>
                  <w:r w:rsidR="00BC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)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turi specialiąsias ugdymosi grupes.</w:t>
                  </w:r>
                </w:p>
                <w:p w14:paraId="0D7398BC" w14:textId="77777777" w:rsidR="00441291" w:rsidRDefault="00441291" w:rsidP="00BC0A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  <w:p w14:paraId="5AB5C5FA" w14:textId="4AA25494" w:rsidR="00441291" w:rsidRPr="006D213E" w:rsidRDefault="00441291" w:rsidP="00441291">
                  <w:pPr>
                    <w:spacing w:after="0" w:line="240" w:lineRule="auto"/>
                    <w:ind w:right="1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6 balus gauna tas projektas, kuriame veiklą tobulinanti ikimokyklinio ugdymo </w:t>
                  </w:r>
                  <w:r w:rsidR="000F4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mokykla (-</w:t>
                  </w:r>
                  <w:proofErr w:type="spellStart"/>
                  <w:r w:rsidR="000F4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os</w:t>
                  </w:r>
                  <w:proofErr w:type="spellEnd"/>
                  <w:r w:rsidR="000F4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) yra kaimiškoje vietovėje,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B64A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kaip numato Lietuvos Respublikos teritorijos administracinių vienetų ir jų ribų įstatymas</w:t>
                  </w:r>
                  <w:r w:rsidRPr="00DA5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.</w:t>
                  </w:r>
                </w:p>
                <w:p w14:paraId="0C889304" w14:textId="77777777" w:rsidR="00B611BE" w:rsidRPr="006D213E" w:rsidRDefault="00B611BE" w:rsidP="00BC0A25">
                  <w:pPr>
                    <w:spacing w:before="100" w:beforeAutospacing="1" w:after="100" w:afterAutospacing="1" w:line="240" w:lineRule="auto"/>
                    <w:ind w:right="10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  <w:p w14:paraId="6E7CA9F6" w14:textId="78A26EA5" w:rsidR="00B611BE" w:rsidRDefault="00B611BE" w:rsidP="00BC0A2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2 balus gauna tas projektas, kuriame </w:t>
                  </w:r>
                  <w:r w:rsidR="00D94C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bent viena 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veiklą tobulinanti </w:t>
                  </w:r>
                  <w:r w:rsidR="00095676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ikimokyklinio ugdymo </w:t>
                  </w:r>
                  <w:r w:rsidR="00441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mokykla(-</w:t>
                  </w:r>
                  <w:proofErr w:type="spellStart"/>
                  <w:r w:rsidR="00441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os</w:t>
                  </w:r>
                  <w:proofErr w:type="spellEnd"/>
                  <w:r w:rsidR="00441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), kuri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(-</w:t>
                  </w:r>
                  <w:proofErr w:type="spellStart"/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ios</w:t>
                  </w:r>
                  <w:proofErr w:type="spellEnd"/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) pagal Mokinio krepšelio lėšų apskaičiavimo ir paskirstymo metodik</w:t>
                  </w:r>
                  <w:r w:rsidR="00441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os</w:t>
                  </w:r>
                  <w:r w:rsidR="00441291">
                    <w:rPr>
                      <w:rStyle w:val="Puslapioinaosnuoroda"/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footnoteReference w:id="2"/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6D213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t-LT"/>
                    </w:rPr>
                    <w:t xml:space="preserve">1 priedo 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16.</w:t>
                  </w:r>
                  <w:r w:rsidR="00C670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2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, 16.4 papunkčius</w:t>
                  </w:r>
                  <w:r w:rsidR="004412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,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A91B16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priskiriam</w:t>
                  </w:r>
                  <w:r w:rsidR="00A91B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a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:</w:t>
                  </w:r>
                </w:p>
                <w:p w14:paraId="4E54A51B" w14:textId="1EDBDE48" w:rsidR="00C67033" w:rsidRPr="00C67033" w:rsidRDefault="00C67033" w:rsidP="00C67033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59" w:right="100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70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užsieniečių ir Lietuvos Respublikos piliečių, atvykusių ar grįžusių iš užsienio gyventi ir dirbti Lietuvoje, kurie mokosi bendrojo ugdymo klasėse (migrantai)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4091855C" w14:textId="4CDCD273" w:rsidR="00B611BE" w:rsidRPr="006D213E" w:rsidRDefault="00DA57A8" w:rsidP="00BC0A2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59" w:right="10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B64A9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tautinių mažumų kalba besimokančių mokinių, kurie mokosi </w:t>
                  </w:r>
                  <w:r w:rsidR="009B0A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ikimokyklinio ugdymo </w:t>
                  </w:r>
                  <w:r w:rsidRPr="00B64A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mokykloje, kurioje mokoma tik tautinių mažumų kalba</w:t>
                  </w:r>
                  <w:r w:rsidRPr="00DA57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</w:p>
                <w:p w14:paraId="29B5E427" w14:textId="1AEF8D39" w:rsidR="00B611BE" w:rsidRPr="009239A2" w:rsidRDefault="00B611BE" w:rsidP="00BC0A2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59" w:right="10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9239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mišrioms</w:t>
                  </w:r>
                  <w:r w:rsidR="00095676" w:rsidRPr="009239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ikimokyklinio ugdymo</w:t>
                  </w:r>
                  <w:r w:rsidRPr="009239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mokykloms</w:t>
                  </w:r>
                  <w:r w:rsidR="003C18AD">
                    <w:rPr>
                      <w:rStyle w:val="Puslapioinaosnuoroda"/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footnoteReference w:id="3"/>
                  </w:r>
                  <w:r w:rsidRPr="009239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.</w:t>
                  </w:r>
                </w:p>
                <w:p w14:paraId="7FB0FD4F" w14:textId="77777777" w:rsidR="00B611BE" w:rsidRPr="006D213E" w:rsidRDefault="00B611BE" w:rsidP="00BC0A25">
                  <w:pPr>
                    <w:spacing w:after="0" w:line="240" w:lineRule="auto"/>
                    <w:ind w:right="1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  <w:p w14:paraId="43F2CE10" w14:textId="1F4F6FA4" w:rsidR="00B611BE" w:rsidRPr="006D213E" w:rsidRDefault="00B611BE" w:rsidP="00BC0A25">
                  <w:pPr>
                    <w:spacing w:after="0" w:line="240" w:lineRule="auto"/>
                    <w:ind w:right="1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lastRenderedPageBreak/>
                    <w:t xml:space="preserve">2 balus gauna tas projektas, </w:t>
                  </w:r>
                  <w:r w:rsidRPr="006D213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lt-LT"/>
                    </w:rPr>
                    <w:t xml:space="preserve">kuriame 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veiklą tobulinančioje </w:t>
                  </w:r>
                  <w:r w:rsidR="0005184D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ikimokyklinio ugdymo </w:t>
                  </w:r>
                  <w:r w:rsidRPr="006D213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lt-LT"/>
                    </w:rPr>
                    <w:t>mokykloje (-</w:t>
                  </w:r>
                  <w:proofErr w:type="spellStart"/>
                  <w:r w:rsidRPr="006D213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lt-LT"/>
                    </w:rPr>
                    <w:t>ose</w:t>
                  </w:r>
                  <w:proofErr w:type="spellEnd"/>
                  <w:r w:rsidRPr="006D213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lt-LT"/>
                    </w:rPr>
                    <w:t>)</w:t>
                  </w:r>
                  <w:r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daugiau kaip 30 proc. mokinių gauna nemokamą maitinimą</w:t>
                  </w:r>
                  <w:r w:rsidR="00BC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ir (</w:t>
                  </w:r>
                  <w:r w:rsidR="0005184D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ar</w:t>
                  </w:r>
                  <w:r w:rsidR="00BC0A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)</w:t>
                  </w:r>
                  <w:r w:rsidR="0005184D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yra ugdomi mokiniai iš šeimų, </w:t>
                  </w:r>
                  <w:r w:rsidR="000F4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priskiriamų socialinės rizikos šeimoms</w:t>
                  </w:r>
                  <w:r w:rsidR="0005184D" w:rsidRPr="006D21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.</w:t>
                  </w:r>
                </w:p>
                <w:p w14:paraId="54D81A25" w14:textId="77777777" w:rsidR="00B611BE" w:rsidRPr="006D213E" w:rsidRDefault="00B611BE" w:rsidP="00BC0A25">
                  <w:pPr>
                    <w:spacing w:after="0" w:line="240" w:lineRule="auto"/>
                    <w:ind w:right="1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  <w:p w14:paraId="016FF196" w14:textId="77777777" w:rsidR="00B611BE" w:rsidRDefault="00B611BE" w:rsidP="00BC0A25">
                  <w:pPr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  <w:r w:rsidRPr="006D213E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Kai pareiškėjas yra savivaldybė su keliomis </w:t>
                  </w:r>
                  <w:r w:rsidR="0005184D" w:rsidRPr="006D213E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ikimokyklinio ugdymo </w:t>
                  </w:r>
                  <w:r w:rsidRPr="006D213E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mokyklomis arba </w:t>
                  </w:r>
                  <w:r w:rsidR="0005184D" w:rsidRPr="006D213E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ikimokyklinio ugdymo </w:t>
                  </w:r>
                  <w:r w:rsidRPr="006D213E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lt-LT"/>
                    </w:rPr>
                    <w:t>mokyklų grupė, nustatant bendrą balą pagal kiekvieną šio kriterijaus aspektą sumuojami visų veiklą</w:t>
                  </w:r>
                  <w:r w:rsidRPr="006D213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6D213E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tobulinančių </w:t>
                  </w:r>
                  <w:r w:rsidR="0005184D" w:rsidRPr="006D213E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ikimokyklinio ugdymo </w:t>
                  </w:r>
                  <w:r w:rsidRPr="006D213E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mokyklų balai ir dalijami iš šių </w:t>
                  </w:r>
                  <w:r w:rsidR="0005184D" w:rsidRPr="006D213E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ikimokyklinio ugdymo </w:t>
                  </w:r>
                  <w:r w:rsidRPr="006D213E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lt-LT"/>
                    </w:rPr>
                    <w:t>mokyklų skaičiaus.</w:t>
                  </w:r>
                </w:p>
                <w:p w14:paraId="2C13B906" w14:textId="77777777" w:rsidR="00075ADA" w:rsidRPr="006D213E" w:rsidRDefault="00075ADA" w:rsidP="00BC0A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</w:p>
                <w:p w14:paraId="3E93A96F" w14:textId="56C09B1F" w:rsidR="00B611BE" w:rsidRPr="006D213E" w:rsidDel="002E5084" w:rsidRDefault="000902E2" w:rsidP="00ED04F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 xml:space="preserve">Pagal šį kriterijų </w:t>
                  </w:r>
                  <w:bookmarkStart w:id="0" w:name="_GoBack"/>
                  <w:bookmarkEnd w:id="0"/>
                  <w:r w:rsidR="00B611BE" w:rsidRPr="006D213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  <w:t>balai sumuojami.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1D7EC07" w14:textId="77777777" w:rsidR="00B611BE" w:rsidRPr="006D213E" w:rsidRDefault="00B611BE" w:rsidP="00B61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6D213E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1418" w:type="dxa"/>
                </w:tcPr>
                <w:p w14:paraId="1386B2A5" w14:textId="77777777" w:rsidR="00B611BE" w:rsidRPr="006D213E" w:rsidRDefault="00B611BE" w:rsidP="00B61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31801F36" w14:textId="77777777" w:rsidR="00B611BE" w:rsidRPr="006D213E" w:rsidRDefault="00B611BE" w:rsidP="00B61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1B3A2818" w14:textId="77777777" w:rsidR="00B611BE" w:rsidRPr="006D213E" w:rsidRDefault="00B611BE" w:rsidP="00B611BE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B611BE" w:rsidRPr="006D213E" w14:paraId="7ED8F578" w14:textId="77777777" w:rsidTr="00425AAB">
              <w:tc>
                <w:tcPr>
                  <w:tcW w:w="7434" w:type="dxa"/>
                  <w:gridSpan w:val="2"/>
                  <w:shd w:val="clear" w:color="auto" w:fill="auto"/>
                </w:tcPr>
                <w:p w14:paraId="082ADDC8" w14:textId="77777777" w:rsidR="00B611BE" w:rsidRPr="006D213E" w:rsidRDefault="00B611BE" w:rsidP="00B611B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6D213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Suma</w:t>
                  </w:r>
                  <w:r w:rsidRPr="006D213E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F8AF86D" w14:textId="77777777" w:rsidR="00B611BE" w:rsidRPr="006D213E" w:rsidRDefault="00B611BE" w:rsidP="00B61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6D213E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18" w:type="dxa"/>
                </w:tcPr>
                <w:p w14:paraId="41696555" w14:textId="3BE7593E" w:rsidR="00B611BE" w:rsidRPr="006D213E" w:rsidRDefault="00B64A95" w:rsidP="00B61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036151EA" w14:textId="77777777" w:rsidR="00B611BE" w:rsidRPr="006D213E" w:rsidRDefault="00B611BE" w:rsidP="00B61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D9D9D9"/>
                </w:tcPr>
                <w:p w14:paraId="47901DED" w14:textId="77777777" w:rsidR="00B611BE" w:rsidRPr="006D213E" w:rsidRDefault="00B611BE" w:rsidP="00B611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</w:tr>
          </w:tbl>
          <w:p w14:paraId="1F0D4E1A" w14:textId="7CA1D3A4" w:rsidR="00B611BE" w:rsidRPr="006D213E" w:rsidRDefault="00B611BE" w:rsidP="00B611B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</w:tr>
    </w:tbl>
    <w:p w14:paraId="50369E38" w14:textId="77777777" w:rsidR="00B611BE" w:rsidRDefault="00B611BE" w:rsidP="00C5020C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413861" w14:textId="77777777" w:rsidR="00C5020C" w:rsidRDefault="00C5020C" w:rsidP="00C5020C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1CE08B" w14:textId="77777777" w:rsidR="00C5020C" w:rsidRPr="00B611BE" w:rsidRDefault="00C5020C" w:rsidP="00C5020C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60B50A" w14:textId="77777777" w:rsidR="00B611BE" w:rsidRPr="00B611BE" w:rsidRDefault="00B611BE" w:rsidP="00B611BE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1BE">
        <w:rPr>
          <w:rFonts w:ascii="Times New Roman" w:eastAsia="Times New Roman" w:hAnsi="Times New Roman" w:cs="Times New Roman"/>
          <w:sz w:val="24"/>
          <w:szCs w:val="24"/>
        </w:rPr>
        <w:t>____________________________________                                     ______________________</w:t>
      </w:r>
      <w:r w:rsidRPr="00B611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___________________________</w:t>
      </w:r>
    </w:p>
    <w:p w14:paraId="4B0E33A6" w14:textId="77777777" w:rsidR="00B611BE" w:rsidRPr="00B611BE" w:rsidRDefault="00B611BE" w:rsidP="00B611BE">
      <w:pPr>
        <w:tabs>
          <w:tab w:val="center" w:pos="10800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AE03A2C" w14:textId="77777777" w:rsidR="00B611BE" w:rsidRPr="00B611BE" w:rsidRDefault="00B611BE" w:rsidP="00B611BE">
      <w:pPr>
        <w:tabs>
          <w:tab w:val="left" w:pos="11415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11BE">
        <w:rPr>
          <w:rFonts w:ascii="Times New Roman" w:eastAsia="Times New Roman" w:hAnsi="Times New Roman" w:cs="Times New Roman"/>
          <w:sz w:val="20"/>
          <w:szCs w:val="20"/>
        </w:rPr>
        <w:t>(paraiškos vertinimą atlikusios institucijos atsakingo                                                                 (data)                                                                          (vardas ir pavardė, parašas</w:t>
      </w:r>
      <w:r w:rsidRPr="009B5887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B611BE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0724A625" w14:textId="77777777" w:rsidR="00B611BE" w:rsidRPr="00B611BE" w:rsidRDefault="00B611BE" w:rsidP="00B611BE">
      <w:pPr>
        <w:tabs>
          <w:tab w:val="center" w:pos="10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11BE">
        <w:rPr>
          <w:rFonts w:ascii="Times New Roman" w:eastAsia="Times New Roman" w:hAnsi="Times New Roman" w:cs="Times New Roman"/>
          <w:sz w:val="20"/>
          <w:szCs w:val="20"/>
        </w:rPr>
        <w:t xml:space="preserve">    asmens pareigų pavadinimas)                                                                                                     </w:t>
      </w:r>
      <w:r w:rsidRPr="00B611BE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</w:t>
      </w:r>
    </w:p>
    <w:p w14:paraId="2A3C2656" w14:textId="2332D2AD" w:rsidR="00B611BE" w:rsidRPr="00A61482" w:rsidRDefault="00B611BE" w:rsidP="00B611BE">
      <w:pPr>
        <w:tabs>
          <w:tab w:val="left" w:pos="23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0978D7A" w14:textId="77777777" w:rsidR="00B611BE" w:rsidRPr="00A61482" w:rsidRDefault="00B611BE" w:rsidP="00B611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5A46180" w14:textId="77777777" w:rsidR="00B611BE" w:rsidRPr="00A61482" w:rsidRDefault="00B611BE" w:rsidP="00B611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E3D39A7" w14:textId="77777777" w:rsidR="00B611BE" w:rsidRPr="00B611BE" w:rsidRDefault="00B611BE" w:rsidP="00B611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11B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* </w:t>
      </w:r>
      <w:r w:rsidRPr="00B611BE">
        <w:rPr>
          <w:rFonts w:ascii="Times New Roman" w:eastAsia="Times New Roman" w:hAnsi="Times New Roman" w:cs="Times New Roman"/>
          <w:sz w:val="20"/>
          <w:szCs w:val="20"/>
        </w:rPr>
        <w:t>Jei pildoma popierinė versija</w:t>
      </w:r>
    </w:p>
    <w:p w14:paraId="7DD98073" w14:textId="77777777" w:rsidR="00B611BE" w:rsidRPr="00B611BE" w:rsidRDefault="00B611BE" w:rsidP="00B611BE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3BFAEBE" w14:textId="352D3BBF" w:rsidR="009433B2" w:rsidRDefault="00B611BE" w:rsidP="00425AAB">
      <w:pPr>
        <w:spacing w:after="200" w:line="288" w:lineRule="auto"/>
        <w:jc w:val="center"/>
      </w:pPr>
      <w:r w:rsidRPr="00B611BE">
        <w:rPr>
          <w:rFonts w:ascii="Times New Roman" w:eastAsiaTheme="minorEastAsia" w:hAnsi="Times New Roman" w:cs="Times New Roman"/>
          <w:sz w:val="21"/>
          <w:szCs w:val="21"/>
          <w:lang w:eastAsia="lt-LT"/>
        </w:rPr>
        <w:t xml:space="preserve">                  _______________________________</w:t>
      </w:r>
    </w:p>
    <w:sectPr w:rsidR="009433B2" w:rsidSect="00CA056A">
      <w:headerReference w:type="default" r:id="rId10"/>
      <w:footerReference w:type="default" r:id="rId11"/>
      <w:pgSz w:w="16838" w:h="11906" w:orient="landscape"/>
      <w:pgMar w:top="1134" w:right="1134" w:bottom="1134" w:left="1134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E81A0E" w16cid:durableId="1DBD5E18"/>
  <w16cid:commentId w16cid:paraId="3FD77F59" w16cid:durableId="1DE4A1B0"/>
  <w16cid:commentId w16cid:paraId="2E6787B5" w16cid:durableId="1DBD5E46"/>
  <w16cid:commentId w16cid:paraId="452805BF" w16cid:durableId="1DBD5F03"/>
  <w16cid:commentId w16cid:paraId="6F2E8A13" w16cid:durableId="1DE4A1B3"/>
  <w16cid:commentId w16cid:paraId="7738CDF6" w16cid:durableId="1DBD6140"/>
  <w16cid:commentId w16cid:paraId="45E367A8" w16cid:durableId="1DE4A1B5"/>
  <w16cid:commentId w16cid:paraId="54BCE5DD" w16cid:durableId="1DE4A1B6"/>
  <w16cid:commentId w16cid:paraId="045B1F5C" w16cid:durableId="1DE77C3B"/>
  <w16cid:commentId w16cid:paraId="04DA2F4D" w16cid:durableId="1DBD5F3A"/>
  <w16cid:commentId w16cid:paraId="0027B3A7" w16cid:durableId="1DBD194A"/>
  <w16cid:commentId w16cid:paraId="430FE424" w16cid:durableId="1DE4A1B9"/>
  <w16cid:commentId w16cid:paraId="0BDD1C1C" w16cid:durableId="1DE77C93"/>
  <w16cid:commentId w16cid:paraId="629580D8" w16cid:durableId="1DBD5FEF"/>
  <w16cid:commentId w16cid:paraId="3041E958" w16cid:durableId="1DE4A1BB"/>
  <w16cid:commentId w16cid:paraId="75D636AF" w16cid:durableId="1DE77CCD"/>
  <w16cid:commentId w16cid:paraId="2F054BAC" w16cid:durableId="1DE4A1BC"/>
  <w16cid:commentId w16cid:paraId="56F14C68" w16cid:durableId="1DBD6089"/>
  <w16cid:commentId w16cid:paraId="7173295F" w16cid:durableId="1DE4A1C1"/>
  <w16cid:commentId w16cid:paraId="77B662E6" w16cid:durableId="1DBD6582"/>
  <w16cid:commentId w16cid:paraId="189DC96B" w16cid:durableId="1DE4A1C5"/>
  <w16cid:commentId w16cid:paraId="3318AF09" w16cid:durableId="1DB67DF3"/>
  <w16cid:commentId w16cid:paraId="09B9237E" w16cid:durableId="1DE4A1CB"/>
  <w16cid:commentId w16cid:paraId="57688832" w16cid:durableId="1DBD4EBD"/>
  <w16cid:commentId w16cid:paraId="3D5A224A" w16cid:durableId="1DE4A1D0"/>
  <w16cid:commentId w16cid:paraId="0DF60AE6" w16cid:durableId="1DE77D94"/>
  <w16cid:commentId w16cid:paraId="70F30DC7" w16cid:durableId="1DB67B0F"/>
  <w16cid:commentId w16cid:paraId="7BC16538" w16cid:durableId="1DE4A1D2"/>
  <w16cid:commentId w16cid:paraId="10D11761" w16cid:durableId="1DE6736B"/>
  <w16cid:commentId w16cid:paraId="735B1717" w16cid:durableId="1DE4A1D3"/>
  <w16cid:commentId w16cid:paraId="37646C7A" w16cid:durableId="1DB67BD5"/>
  <w16cid:commentId w16cid:paraId="23B2778F" w16cid:durableId="1DE4A1D5"/>
  <w16cid:commentId w16cid:paraId="08998001" w16cid:durableId="1DE4A5E7"/>
  <w16cid:commentId w16cid:paraId="4161AC68" w16cid:durableId="1DBD62C7"/>
  <w16cid:commentId w16cid:paraId="22A24E6D" w16cid:durableId="1DB6863B"/>
  <w16cid:commentId w16cid:paraId="1453D00E" w16cid:durableId="1DE4A1D8"/>
  <w16cid:commentId w16cid:paraId="6E1C6AFA" w16cid:durableId="1DE4A1D9"/>
  <w16cid:commentId w16cid:paraId="014317DF" w16cid:durableId="1DBD651A"/>
  <w16cid:commentId w16cid:paraId="0573C9EA" w16cid:durableId="1DBD675A"/>
  <w16cid:commentId w16cid:paraId="55FA2479" w16cid:durableId="1DBD6783"/>
  <w16cid:commentId w16cid:paraId="2FCB08DD" w16cid:durableId="1DE4A1DD"/>
  <w16cid:commentId w16cid:paraId="700E7E2E" w16cid:durableId="1DE67645"/>
  <w16cid:commentId w16cid:paraId="7BDB873B" w16cid:durableId="1DBD67A1"/>
  <w16cid:commentId w16cid:paraId="0FF81FF6" w16cid:durableId="1DE4A1DF"/>
  <w16cid:commentId w16cid:paraId="509B08EC" w16cid:durableId="1DE6774A"/>
  <w16cid:commentId w16cid:paraId="36FF0EF6" w16cid:durableId="1DE4A1E2"/>
  <w16cid:commentId w16cid:paraId="34414D8A" w16cid:durableId="1DE77E4D"/>
  <w16cid:commentId w16cid:paraId="7CBA297F" w16cid:durableId="1DBD631B"/>
  <w16cid:commentId w16cid:paraId="3D5530EE" w16cid:durableId="1DE4A1E4"/>
  <w16cid:commentId w16cid:paraId="479C26C5" w16cid:durableId="1DE4A681"/>
  <w16cid:commentId w16cid:paraId="50219F83" w16cid:durableId="1DE679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62458" w14:textId="77777777" w:rsidR="00D05533" w:rsidRDefault="00D05533" w:rsidP="00B611BE">
      <w:pPr>
        <w:spacing w:after="0" w:line="240" w:lineRule="auto"/>
      </w:pPr>
      <w:r>
        <w:separator/>
      </w:r>
    </w:p>
  </w:endnote>
  <w:endnote w:type="continuationSeparator" w:id="0">
    <w:p w14:paraId="27A7917B" w14:textId="77777777" w:rsidR="00D05533" w:rsidRDefault="00D05533" w:rsidP="00B61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BBDFA432313848C1BE76A61D6F71C372"/>
      </w:placeholder>
      <w:temporary/>
      <w:showingPlcHdr/>
      <w15:appearance w15:val="hidden"/>
    </w:sdtPr>
    <w:sdtEndPr/>
    <w:sdtContent>
      <w:p w14:paraId="53CF9F7B" w14:textId="77777777" w:rsidR="00483B25" w:rsidRDefault="00483B25">
        <w:pPr>
          <w:pStyle w:val="Porat"/>
        </w:pPr>
        <w:r>
          <w:t>[Įveskite čia]</w:t>
        </w:r>
      </w:p>
    </w:sdtContent>
  </w:sdt>
  <w:p w14:paraId="0C750836" w14:textId="77777777" w:rsidR="00483B25" w:rsidRDefault="00483B2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214F8" w14:textId="77777777" w:rsidR="00D05533" w:rsidRDefault="00D05533" w:rsidP="00B611BE">
      <w:pPr>
        <w:spacing w:after="0" w:line="240" w:lineRule="auto"/>
      </w:pPr>
      <w:r>
        <w:separator/>
      </w:r>
    </w:p>
  </w:footnote>
  <w:footnote w:type="continuationSeparator" w:id="0">
    <w:p w14:paraId="7D5E3EEF" w14:textId="77777777" w:rsidR="00D05533" w:rsidRDefault="00D05533" w:rsidP="00B611BE">
      <w:pPr>
        <w:spacing w:after="0" w:line="240" w:lineRule="auto"/>
      </w:pPr>
      <w:r>
        <w:continuationSeparator/>
      </w:r>
    </w:p>
  </w:footnote>
  <w:footnote w:id="1">
    <w:p w14:paraId="3D1F7EAE" w14:textId="77777777" w:rsidR="00337B86" w:rsidRPr="007C1C98" w:rsidRDefault="00337B86" w:rsidP="00337B86">
      <w:pPr>
        <w:pStyle w:val="Puslapioinaostekstas"/>
        <w:jc w:val="both"/>
        <w:rPr>
          <w:rFonts w:ascii="Times New Roman" w:hAnsi="Times New Roman" w:cs="Times New Roman"/>
        </w:rPr>
      </w:pPr>
      <w:r>
        <w:rPr>
          <w:rStyle w:val="Puslapioinaosnuoroda"/>
        </w:rPr>
        <w:footnoteRef/>
      </w:r>
      <w:r>
        <w:t xml:space="preserve"> </w:t>
      </w:r>
      <w:proofErr w:type="spellStart"/>
      <w:r w:rsidRPr="00425AAB">
        <w:rPr>
          <w:rFonts w:ascii="Times New Roman" w:hAnsi="Times New Roman" w:cs="Times New Roman"/>
        </w:rPr>
        <w:t>Inovatyvi</w:t>
      </w:r>
      <w:proofErr w:type="spellEnd"/>
      <w:r w:rsidRPr="007C1C98">
        <w:rPr>
          <w:rFonts w:ascii="Times New Roman" w:hAnsi="Times New Roman" w:cs="Times New Roman"/>
        </w:rPr>
        <w:t xml:space="preserve"> ugdymo organizavimo ir (arba) ugdymo tobulinimo idėja – naujausiomis švietimo srities tendencijomis ar duomenimis besiremianti, tarptautines švietimo naujoves diegianti arba kitų šalių patirtį naujam kontekstui taikanti idėja, kuria siekiama veiksmingų pokyčių organizuojant ir tobulinant </w:t>
      </w:r>
      <w:r>
        <w:rPr>
          <w:rFonts w:ascii="Times New Roman" w:hAnsi="Times New Roman" w:cs="Times New Roman"/>
        </w:rPr>
        <w:t xml:space="preserve">ikimokyklinio ir/ar priešmokyklinio </w:t>
      </w:r>
      <w:r w:rsidRPr="007C1C98">
        <w:rPr>
          <w:rFonts w:ascii="Times New Roman" w:hAnsi="Times New Roman" w:cs="Times New Roman"/>
        </w:rPr>
        <w:t>ugdym</w:t>
      </w:r>
      <w:r>
        <w:rPr>
          <w:rFonts w:ascii="Times New Roman" w:hAnsi="Times New Roman" w:cs="Times New Roman"/>
        </w:rPr>
        <w:t>o</w:t>
      </w:r>
      <w:r w:rsidRPr="007C1C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turinio ir ugdymo organizavimo kokybę.</w:t>
      </w:r>
    </w:p>
    <w:p w14:paraId="7C4B9F44" w14:textId="77777777" w:rsidR="00337B86" w:rsidRPr="007C1C98" w:rsidRDefault="00337B86" w:rsidP="00337B86">
      <w:pPr>
        <w:pStyle w:val="Puslapioinaostekstas"/>
        <w:jc w:val="both"/>
        <w:rPr>
          <w:rFonts w:ascii="Times New Roman" w:hAnsi="Times New Roman" w:cs="Times New Roman"/>
        </w:rPr>
      </w:pPr>
      <w:r w:rsidRPr="007C1C98">
        <w:rPr>
          <w:rFonts w:ascii="Times New Roman" w:hAnsi="Times New Roman" w:cs="Times New Roman"/>
        </w:rPr>
        <w:t xml:space="preserve">Idėjos taikymu nėra laikoma įvairių projektų metu sukurtų ugdymo organizavimo ir (arba) ugdymo </w:t>
      </w:r>
      <w:r>
        <w:rPr>
          <w:rFonts w:ascii="Times New Roman" w:hAnsi="Times New Roman" w:cs="Times New Roman"/>
        </w:rPr>
        <w:t xml:space="preserve">proceso ir turinio kokybės </w:t>
      </w:r>
      <w:r w:rsidRPr="007C1C98">
        <w:rPr>
          <w:rFonts w:ascii="Times New Roman" w:hAnsi="Times New Roman" w:cs="Times New Roman"/>
        </w:rPr>
        <w:t xml:space="preserve">tobulinimo idėjų išbandymas vienoje ar keliose Lietuvos </w:t>
      </w:r>
      <w:r>
        <w:rPr>
          <w:rFonts w:ascii="Times New Roman" w:hAnsi="Times New Roman" w:cs="Times New Roman"/>
        </w:rPr>
        <w:t xml:space="preserve">ikimokyklinio ugdymo </w:t>
      </w:r>
      <w:r w:rsidRPr="007C1C98">
        <w:rPr>
          <w:rFonts w:ascii="Times New Roman" w:hAnsi="Times New Roman" w:cs="Times New Roman"/>
        </w:rPr>
        <w:t>mokyklose. Idėjos taikymu laikomi tie atvejai, kai, pasibaigus išbandymo laikotarpiui ir įsitikinus jos veiksmingumu, ji diegiama ir (arba) integruojama į nuolatinę sistemą.</w:t>
      </w:r>
    </w:p>
  </w:footnote>
  <w:footnote w:id="2">
    <w:p w14:paraId="591C7F93" w14:textId="446DD6AB" w:rsidR="00441291" w:rsidRPr="003C18AD" w:rsidRDefault="00441291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3C18AD">
        <w:rPr>
          <w:rFonts w:ascii="Times New Roman" w:eastAsia="Times New Roman" w:hAnsi="Times New Roman" w:cs="Times New Roman"/>
        </w:rPr>
        <w:t>Lietuvos Respublikos Vyriausybės</w:t>
      </w:r>
      <w:r w:rsidRPr="003C18AD">
        <w:rPr>
          <w:rFonts w:ascii="Times New Roman" w:eastAsia="Times New Roman" w:hAnsi="Times New Roman" w:cs="Times New Roman"/>
        </w:rPr>
        <w:t xml:space="preserve"> 2001 m. birželio 27 d. nutarimas</w:t>
      </w:r>
      <w:r w:rsidRPr="003C18AD">
        <w:rPr>
          <w:rFonts w:ascii="Times New Roman" w:eastAsia="Times New Roman" w:hAnsi="Times New Roman" w:cs="Times New Roman"/>
        </w:rPr>
        <w:t xml:space="preserve"> </w:t>
      </w:r>
      <w:hyperlink r:id="rId1" w:tgtFrame="FTurinys" w:tooltip="Dėl Mokinio krepšelio lėšų apskaičiavimo ir paskirstymo metodikos patvirtinimo" w:history="1">
        <w:r w:rsidRPr="003C18AD">
          <w:rPr>
            <w:rFonts w:ascii="Times New Roman" w:eastAsia="Times New Roman" w:hAnsi="Times New Roman" w:cs="Times New Roman"/>
            <w:iCs/>
            <w:color w:val="000000"/>
          </w:rPr>
          <w:t>Nr. 785</w:t>
        </w:r>
      </w:hyperlink>
      <w:r w:rsidRPr="003C18AD">
        <w:rPr>
          <w:rFonts w:ascii="Times New Roman" w:eastAsia="Times New Roman" w:hAnsi="Times New Roman" w:cs="Times New Roman"/>
        </w:rPr>
        <w:t xml:space="preserve"> „Dėl Mokinio krepšelio lėšų  apskaičiavimo ir paskirstymo metodikos patvirtinimo</w:t>
      </w:r>
      <w:r w:rsidRPr="003C18AD">
        <w:rPr>
          <w:rFonts w:ascii="Times New Roman" w:eastAsia="Times New Roman" w:hAnsi="Times New Roman" w:cs="Times New Roman"/>
        </w:rPr>
        <w:t>“.</w:t>
      </w:r>
    </w:p>
  </w:footnote>
  <w:footnote w:id="3">
    <w:p w14:paraId="730971B6" w14:textId="6FC8EA19" w:rsidR="003C18AD" w:rsidRDefault="003C18AD">
      <w:pPr>
        <w:pStyle w:val="Puslapioinaostekstas"/>
      </w:pPr>
      <w:r w:rsidRPr="003C18AD">
        <w:rPr>
          <w:rStyle w:val="Puslapioinaosnuoroda"/>
        </w:rPr>
        <w:footnoteRef/>
      </w:r>
      <w:r w:rsidRPr="003C18AD">
        <w:t xml:space="preserve"> </w:t>
      </w:r>
      <w:r w:rsidRPr="003C18AD">
        <w:rPr>
          <w:rFonts w:ascii="Times New Roman" w:hAnsi="Times New Roman" w:cs="Times New Roman"/>
          <w:color w:val="000000"/>
        </w:rPr>
        <w:t>Mišri mokykla – mokykla, kurioje mokoma ne mažiau kaip dviem mokomosiomis kalbomis ir yra ne mažiau kaip vienas pilnas klasės komplektas, kuriame mokoma tautinės mažumos mokomąja kalba.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4202709"/>
      <w:docPartObj>
        <w:docPartGallery w:val="Page Numbers (Top of Page)"/>
        <w:docPartUnique/>
      </w:docPartObj>
    </w:sdtPr>
    <w:sdtEndPr/>
    <w:sdtContent>
      <w:p w14:paraId="1FCDD432" w14:textId="53FCB2D5" w:rsidR="00483B25" w:rsidRDefault="00483B2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2E2">
          <w:rPr>
            <w:noProof/>
          </w:rPr>
          <w:t>6</w:t>
        </w:r>
        <w:r>
          <w:fldChar w:fldCharType="end"/>
        </w:r>
      </w:p>
    </w:sdtContent>
  </w:sdt>
  <w:p w14:paraId="365235CA" w14:textId="77777777" w:rsidR="00483B25" w:rsidRDefault="00483B2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5548"/>
    <w:multiLevelType w:val="hybridMultilevel"/>
    <w:tmpl w:val="6CDCAFAE"/>
    <w:lvl w:ilvl="0" w:tplc="2A7054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81C44"/>
    <w:multiLevelType w:val="hybridMultilevel"/>
    <w:tmpl w:val="0EE47F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56183"/>
    <w:multiLevelType w:val="hybridMultilevel"/>
    <w:tmpl w:val="5F8E3C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767AC"/>
    <w:multiLevelType w:val="hybridMultilevel"/>
    <w:tmpl w:val="C1E2819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D6BCE"/>
    <w:multiLevelType w:val="hybridMultilevel"/>
    <w:tmpl w:val="F69A2ED8"/>
    <w:lvl w:ilvl="0" w:tplc="0427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5" w15:restartNumberingAfterBreak="0">
    <w:nsid w:val="7FAD65F9"/>
    <w:multiLevelType w:val="hybridMultilevel"/>
    <w:tmpl w:val="DAB87B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BE"/>
    <w:rsid w:val="00022AF3"/>
    <w:rsid w:val="00045A36"/>
    <w:rsid w:val="0005184D"/>
    <w:rsid w:val="000533CF"/>
    <w:rsid w:val="00067C12"/>
    <w:rsid w:val="00072860"/>
    <w:rsid w:val="00075ADA"/>
    <w:rsid w:val="00076248"/>
    <w:rsid w:val="00087595"/>
    <w:rsid w:val="000902E2"/>
    <w:rsid w:val="00095676"/>
    <w:rsid w:val="000A5FFB"/>
    <w:rsid w:val="000B0E01"/>
    <w:rsid w:val="000B64E0"/>
    <w:rsid w:val="000E4800"/>
    <w:rsid w:val="000F06C1"/>
    <w:rsid w:val="000F4F16"/>
    <w:rsid w:val="001050F2"/>
    <w:rsid w:val="00107818"/>
    <w:rsid w:val="00115293"/>
    <w:rsid w:val="00137D35"/>
    <w:rsid w:val="001514A4"/>
    <w:rsid w:val="00152260"/>
    <w:rsid w:val="001524C0"/>
    <w:rsid w:val="00167B4B"/>
    <w:rsid w:val="001706C2"/>
    <w:rsid w:val="00173801"/>
    <w:rsid w:val="001924E9"/>
    <w:rsid w:val="001A3E51"/>
    <w:rsid w:val="001B03FB"/>
    <w:rsid w:val="00212F7E"/>
    <w:rsid w:val="0022571B"/>
    <w:rsid w:val="0025332E"/>
    <w:rsid w:val="00254465"/>
    <w:rsid w:val="002679F0"/>
    <w:rsid w:val="00276801"/>
    <w:rsid w:val="002769B9"/>
    <w:rsid w:val="00284207"/>
    <w:rsid w:val="002B6D1D"/>
    <w:rsid w:val="002E3D07"/>
    <w:rsid w:val="002F0F23"/>
    <w:rsid w:val="003152C4"/>
    <w:rsid w:val="00316D20"/>
    <w:rsid w:val="00322531"/>
    <w:rsid w:val="00337B86"/>
    <w:rsid w:val="003437B6"/>
    <w:rsid w:val="00355B3A"/>
    <w:rsid w:val="0036530F"/>
    <w:rsid w:val="003855CE"/>
    <w:rsid w:val="003B3749"/>
    <w:rsid w:val="003C18AD"/>
    <w:rsid w:val="00421B9D"/>
    <w:rsid w:val="00425AAB"/>
    <w:rsid w:val="004307EB"/>
    <w:rsid w:val="00441291"/>
    <w:rsid w:val="00461E6E"/>
    <w:rsid w:val="00474B08"/>
    <w:rsid w:val="0048379C"/>
    <w:rsid w:val="00483B25"/>
    <w:rsid w:val="004876CB"/>
    <w:rsid w:val="00490BB6"/>
    <w:rsid w:val="004B1C8F"/>
    <w:rsid w:val="004C75FB"/>
    <w:rsid w:val="004E1A96"/>
    <w:rsid w:val="004E4381"/>
    <w:rsid w:val="004E5944"/>
    <w:rsid w:val="00501D5F"/>
    <w:rsid w:val="005122F0"/>
    <w:rsid w:val="005245D5"/>
    <w:rsid w:val="00546FBF"/>
    <w:rsid w:val="0057036A"/>
    <w:rsid w:val="005737B8"/>
    <w:rsid w:val="0059602C"/>
    <w:rsid w:val="005B035E"/>
    <w:rsid w:val="005D48BD"/>
    <w:rsid w:val="005D63BC"/>
    <w:rsid w:val="005F4963"/>
    <w:rsid w:val="005F70D1"/>
    <w:rsid w:val="00675E81"/>
    <w:rsid w:val="006B1A02"/>
    <w:rsid w:val="006D0286"/>
    <w:rsid w:val="006D213E"/>
    <w:rsid w:val="006F13A2"/>
    <w:rsid w:val="00704D32"/>
    <w:rsid w:val="00705BDD"/>
    <w:rsid w:val="0072105D"/>
    <w:rsid w:val="00725112"/>
    <w:rsid w:val="00733C26"/>
    <w:rsid w:val="00746EDE"/>
    <w:rsid w:val="007546C3"/>
    <w:rsid w:val="007C29FF"/>
    <w:rsid w:val="007E7FFC"/>
    <w:rsid w:val="007F3C77"/>
    <w:rsid w:val="00802874"/>
    <w:rsid w:val="00806B83"/>
    <w:rsid w:val="00856A85"/>
    <w:rsid w:val="008945E1"/>
    <w:rsid w:val="008C173C"/>
    <w:rsid w:val="008D2DED"/>
    <w:rsid w:val="008E1D31"/>
    <w:rsid w:val="008E3E95"/>
    <w:rsid w:val="009239A2"/>
    <w:rsid w:val="00932C90"/>
    <w:rsid w:val="009433B2"/>
    <w:rsid w:val="009451D9"/>
    <w:rsid w:val="009674EA"/>
    <w:rsid w:val="0097796F"/>
    <w:rsid w:val="009B0A8C"/>
    <w:rsid w:val="009B5887"/>
    <w:rsid w:val="009D0F03"/>
    <w:rsid w:val="009E286B"/>
    <w:rsid w:val="009F2422"/>
    <w:rsid w:val="00A41153"/>
    <w:rsid w:val="00A46010"/>
    <w:rsid w:val="00A61482"/>
    <w:rsid w:val="00A91B16"/>
    <w:rsid w:val="00AB05E3"/>
    <w:rsid w:val="00AB0A34"/>
    <w:rsid w:val="00AB15A2"/>
    <w:rsid w:val="00AD52C8"/>
    <w:rsid w:val="00AD6F13"/>
    <w:rsid w:val="00B04F79"/>
    <w:rsid w:val="00B15183"/>
    <w:rsid w:val="00B33711"/>
    <w:rsid w:val="00B611BE"/>
    <w:rsid w:val="00B64A95"/>
    <w:rsid w:val="00B87A78"/>
    <w:rsid w:val="00B9500D"/>
    <w:rsid w:val="00BC0A25"/>
    <w:rsid w:val="00BC7DCF"/>
    <w:rsid w:val="00BD0622"/>
    <w:rsid w:val="00BE4788"/>
    <w:rsid w:val="00BE6F49"/>
    <w:rsid w:val="00BF6BF1"/>
    <w:rsid w:val="00C1120A"/>
    <w:rsid w:val="00C13DA5"/>
    <w:rsid w:val="00C2315D"/>
    <w:rsid w:val="00C260F4"/>
    <w:rsid w:val="00C5020C"/>
    <w:rsid w:val="00C508B3"/>
    <w:rsid w:val="00C57EBD"/>
    <w:rsid w:val="00C67033"/>
    <w:rsid w:val="00C77E4D"/>
    <w:rsid w:val="00C77F6F"/>
    <w:rsid w:val="00C8566A"/>
    <w:rsid w:val="00C94AED"/>
    <w:rsid w:val="00C957B6"/>
    <w:rsid w:val="00CA056A"/>
    <w:rsid w:val="00CE0404"/>
    <w:rsid w:val="00D05533"/>
    <w:rsid w:val="00D06B88"/>
    <w:rsid w:val="00D27B27"/>
    <w:rsid w:val="00D37A7D"/>
    <w:rsid w:val="00D4080B"/>
    <w:rsid w:val="00D4368C"/>
    <w:rsid w:val="00D642E8"/>
    <w:rsid w:val="00D94C81"/>
    <w:rsid w:val="00DA57A8"/>
    <w:rsid w:val="00DB0605"/>
    <w:rsid w:val="00DC7C61"/>
    <w:rsid w:val="00DD780C"/>
    <w:rsid w:val="00DE5871"/>
    <w:rsid w:val="00E2097F"/>
    <w:rsid w:val="00E34558"/>
    <w:rsid w:val="00E3778D"/>
    <w:rsid w:val="00E43E00"/>
    <w:rsid w:val="00E472E1"/>
    <w:rsid w:val="00E5779F"/>
    <w:rsid w:val="00E64CE8"/>
    <w:rsid w:val="00EC0D9F"/>
    <w:rsid w:val="00ED04F9"/>
    <w:rsid w:val="00F31742"/>
    <w:rsid w:val="00F46D70"/>
    <w:rsid w:val="00F55599"/>
    <w:rsid w:val="00F55865"/>
    <w:rsid w:val="00F91BB4"/>
    <w:rsid w:val="00FE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8E37"/>
  <w15:chartTrackingRefBased/>
  <w15:docId w15:val="{0026B60D-146D-4D32-9976-0646EAFC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B611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11BE"/>
    <w:pPr>
      <w:spacing w:after="200" w:line="240" w:lineRule="auto"/>
    </w:pPr>
    <w:rPr>
      <w:rFonts w:eastAsiaTheme="minorEastAsia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11BE"/>
    <w:rPr>
      <w:rFonts w:eastAsiaTheme="minorEastAsia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B611BE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sz w:val="21"/>
      <w:szCs w:val="21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611BE"/>
    <w:rPr>
      <w:rFonts w:eastAsiaTheme="minorEastAsia"/>
      <w:sz w:val="21"/>
      <w:szCs w:val="21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611BE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sz w:val="21"/>
      <w:szCs w:val="21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611BE"/>
    <w:rPr>
      <w:rFonts w:eastAsiaTheme="minorEastAsia"/>
      <w:sz w:val="21"/>
      <w:szCs w:val="21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611BE"/>
    <w:pPr>
      <w:spacing w:after="0" w:line="240" w:lineRule="auto"/>
    </w:pPr>
    <w:rPr>
      <w:rFonts w:eastAsiaTheme="minorEastAsia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611BE"/>
    <w:rPr>
      <w:rFonts w:eastAsiaTheme="minorEastAsia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611BE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B611BE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1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11BE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5245D5"/>
    <w:rPr>
      <w:b/>
      <w:bCs/>
    </w:rPr>
  </w:style>
  <w:style w:type="paragraph" w:styleId="Sraopastraipa">
    <w:name w:val="List Paragraph"/>
    <w:basedOn w:val="prastasis"/>
    <w:uiPriority w:val="34"/>
    <w:qFormat/>
    <w:rsid w:val="006D213E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C29FF"/>
    <w:pPr>
      <w:spacing w:after="160"/>
    </w:pPr>
    <w:rPr>
      <w:rFonts w:eastAsiaTheme="minorHAnsi"/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C29FF"/>
    <w:rPr>
      <w:rFonts w:eastAsiaTheme="minorEastAsia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284207"/>
    <w:pPr>
      <w:spacing w:after="0" w:line="240" w:lineRule="auto"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679F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kimokyklinis.lt/uploads/files/dir758/dir37/dir1/5_0.php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file:///C:\Users\rkuodyte\AppData\Local\Microsoft\Windows\Temporary%20Internet%20Files\Content.Outlook\GN2J6URR\www.ikimokyklinis.lt\uploads\files\dir758\dir37\dir1\5_0.php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itlex/Litlex/ll.dll?Tekstas=1&amp;Id=48037&amp;BF=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DFA432313848C1BE76A61D6F71C3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917A501-0D43-4064-AE31-E25741486167}"/>
      </w:docPartPr>
      <w:docPartBody>
        <w:p w:rsidR="00E07B20" w:rsidRDefault="007D358C" w:rsidP="007D358C">
          <w:pPr>
            <w:pStyle w:val="BBDFA432313848C1BE76A61D6F71C372"/>
          </w:pPr>
          <w:r>
            <w:t>[Įveskite čia]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8C"/>
    <w:rsid w:val="0005286F"/>
    <w:rsid w:val="0008791A"/>
    <w:rsid w:val="00121EC0"/>
    <w:rsid w:val="001C5695"/>
    <w:rsid w:val="00277D3C"/>
    <w:rsid w:val="003177F4"/>
    <w:rsid w:val="003C329A"/>
    <w:rsid w:val="004A77DD"/>
    <w:rsid w:val="00504300"/>
    <w:rsid w:val="00731B8A"/>
    <w:rsid w:val="007C3FCC"/>
    <w:rsid w:val="007D358C"/>
    <w:rsid w:val="00CA29F2"/>
    <w:rsid w:val="00CB3CCD"/>
    <w:rsid w:val="00E07B20"/>
    <w:rsid w:val="00E60A17"/>
    <w:rsid w:val="00FB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BDFA432313848C1BE76A61D6F71C372">
    <w:name w:val="BBDFA432313848C1BE76A61D6F71C372"/>
    <w:rsid w:val="007D35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A476B-DBD0-4461-B0A8-F7339160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5893</Words>
  <Characters>3360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Grigaravičienė Ilona</dc:creator>
  <cp:keywords/>
  <dc:description/>
  <cp:lastModifiedBy>Janavičienė Lina</cp:lastModifiedBy>
  <cp:revision>20</cp:revision>
  <cp:lastPrinted>2017-11-06T12:59:00Z</cp:lastPrinted>
  <dcterms:created xsi:type="dcterms:W3CDTF">2018-03-05T14:21:00Z</dcterms:created>
  <dcterms:modified xsi:type="dcterms:W3CDTF">2018-03-06T08:28:00Z</dcterms:modified>
</cp:coreProperties>
</file>