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7B8" w:rsidRDefault="00F337B8">
      <w:pPr>
        <w:rPr>
          <w:sz w:val="18"/>
          <w:szCs w:val="18"/>
        </w:rPr>
      </w:pPr>
    </w:p>
    <w:p w:rsidR="00F337B8" w:rsidRPr="00A16362" w:rsidRDefault="004D5CB0">
      <w:pPr>
        <w:tabs>
          <w:tab w:val="left" w:pos="1276"/>
        </w:tabs>
        <w:jc w:val="center"/>
        <w:rPr>
          <w:rFonts w:eastAsia="Calibri"/>
          <w:b/>
          <w:kern w:val="16"/>
          <w:szCs w:val="24"/>
        </w:rPr>
      </w:pPr>
      <w:r w:rsidRPr="00A16362">
        <w:rPr>
          <w:rFonts w:eastAsia="Calibri"/>
          <w:b/>
          <w:kern w:val="16"/>
          <w:szCs w:val="24"/>
        </w:rPr>
        <w:t>2014–2020 METŲ EUROPOS SĄJUNGOS FONDŲ INVESTICIJŲ VEIKSMŲ PROGRAMOS 5</w:t>
      </w:r>
      <w:r w:rsidRPr="00A16362">
        <w:rPr>
          <w:rFonts w:eastAsia="Calibri"/>
          <w:b/>
          <w:szCs w:val="24"/>
        </w:rPr>
        <w:t xml:space="preserve"> PRIORITETO „APLINKOSAUGA, GAMTOS IŠTEKLIŲ DARNUS NAUDOJIMAS IR PRISITAIKYMAS PRIE KLIMATO KAITOS“ NR. 05.4.1-CPVA-K-303 PRIEMONĖS „AKTUALIZUOTI VIEŠĄJĮ IR PRIVATŲ KULTŪROS PAVELDĄ“ PROJEKTŲ FINANSAVIMO SĄLYGŲ APRAŠAS NR. 1</w:t>
      </w:r>
    </w:p>
    <w:p w:rsidR="00F337B8" w:rsidRPr="00A16362" w:rsidRDefault="00F337B8">
      <w:pPr>
        <w:tabs>
          <w:tab w:val="left" w:pos="1276"/>
        </w:tabs>
        <w:jc w:val="center"/>
        <w:rPr>
          <w:rFonts w:eastAsia="Calibri"/>
          <w:b/>
          <w:szCs w:val="24"/>
        </w:rPr>
      </w:pPr>
    </w:p>
    <w:p w:rsidR="00F337B8" w:rsidRPr="00A16362" w:rsidRDefault="00F337B8">
      <w:pPr>
        <w:tabs>
          <w:tab w:val="left" w:pos="1276"/>
        </w:tabs>
        <w:jc w:val="center"/>
        <w:rPr>
          <w:rFonts w:eastAsia="Calibri"/>
          <w:b/>
          <w:szCs w:val="24"/>
        </w:rPr>
      </w:pPr>
    </w:p>
    <w:p w:rsidR="00F337B8" w:rsidRPr="00A16362" w:rsidRDefault="004D5CB0">
      <w:pPr>
        <w:tabs>
          <w:tab w:val="left" w:pos="1276"/>
        </w:tabs>
        <w:contextualSpacing/>
        <w:jc w:val="center"/>
        <w:rPr>
          <w:rFonts w:eastAsia="Calibri"/>
          <w:b/>
          <w:szCs w:val="24"/>
        </w:rPr>
      </w:pPr>
      <w:r w:rsidRPr="00A16362">
        <w:rPr>
          <w:rFonts w:eastAsia="Calibri"/>
          <w:b/>
          <w:szCs w:val="24"/>
        </w:rPr>
        <w:t>I SKYRIUS</w:t>
      </w:r>
    </w:p>
    <w:p w:rsidR="00F337B8" w:rsidRPr="00A16362" w:rsidRDefault="004D5CB0">
      <w:pPr>
        <w:tabs>
          <w:tab w:val="left" w:pos="1276"/>
        </w:tabs>
        <w:contextualSpacing/>
        <w:jc w:val="center"/>
        <w:rPr>
          <w:rFonts w:eastAsia="Calibri"/>
          <w:b/>
          <w:szCs w:val="24"/>
        </w:rPr>
      </w:pPr>
      <w:r w:rsidRPr="00A16362">
        <w:rPr>
          <w:rFonts w:eastAsia="Calibri"/>
          <w:b/>
          <w:szCs w:val="24"/>
        </w:rPr>
        <w:t>BENDROSIOS NUOSTATOS</w:t>
      </w:r>
    </w:p>
    <w:p w:rsidR="00F337B8" w:rsidRPr="00A16362" w:rsidRDefault="00F337B8">
      <w:pPr>
        <w:tabs>
          <w:tab w:val="left" w:pos="1276"/>
        </w:tabs>
        <w:jc w:val="center"/>
        <w:rPr>
          <w:rFonts w:eastAsia="Calibri"/>
          <w:b/>
          <w:szCs w:val="24"/>
        </w:rPr>
      </w:pPr>
    </w:p>
    <w:p w:rsidR="00F337B8" w:rsidRPr="00A4650A" w:rsidRDefault="00F11A58">
      <w:pPr>
        <w:tabs>
          <w:tab w:val="left" w:pos="993"/>
        </w:tabs>
        <w:spacing w:line="276" w:lineRule="auto"/>
        <w:ind w:firstLine="567"/>
        <w:contextualSpacing/>
        <w:jc w:val="both"/>
        <w:rPr>
          <w:rFonts w:eastAsia="Calibri"/>
          <w:b/>
          <w:szCs w:val="24"/>
        </w:rPr>
      </w:pPr>
      <w:r>
        <w:rPr>
          <w:rFonts w:eastAsia="Calibri"/>
          <w:szCs w:val="24"/>
        </w:rPr>
        <w:t>&lt;...&gt;</w:t>
      </w:r>
    </w:p>
    <w:p w:rsidR="00F337B8" w:rsidRPr="00A4650A" w:rsidRDefault="00F337B8">
      <w:pPr>
        <w:rPr>
          <w:szCs w:val="24"/>
        </w:rPr>
      </w:pPr>
    </w:p>
    <w:p w:rsidR="00B67A19" w:rsidRPr="00F11A58" w:rsidRDefault="004D5CB0">
      <w:pPr>
        <w:widowControl w:val="0"/>
        <w:suppressAutoHyphens/>
        <w:ind w:firstLine="567"/>
        <w:jc w:val="both"/>
        <w:textAlignment w:val="center"/>
        <w:rPr>
          <w:b/>
          <w:szCs w:val="24"/>
        </w:rPr>
      </w:pPr>
      <w:r w:rsidRPr="00F11A58">
        <w:rPr>
          <w:color w:val="000000"/>
          <w:szCs w:val="24"/>
        </w:rPr>
        <w:t xml:space="preserve">4.6. </w:t>
      </w:r>
      <w:r w:rsidR="00B67A19" w:rsidRPr="00F11A58">
        <w:rPr>
          <w:b/>
          <w:szCs w:val="24"/>
        </w:rPr>
        <w:t xml:space="preserve">Viešoji paslauga – </w:t>
      </w:r>
      <w:r w:rsidR="00B67A19" w:rsidRPr="00F11A58">
        <w:rPr>
          <w:szCs w:val="24"/>
        </w:rPr>
        <w:t>valstybės ar savivaldybių kontroliuojamų juridinių</w:t>
      </w:r>
      <w:r w:rsidR="00B67A19" w:rsidRPr="00F11A58">
        <w:rPr>
          <w:bCs/>
          <w:szCs w:val="24"/>
        </w:rPr>
        <w:t xml:space="preserve"> </w:t>
      </w:r>
      <w:r w:rsidR="00B67A19" w:rsidRPr="00F11A58">
        <w:rPr>
          <w:szCs w:val="24"/>
        </w:rPr>
        <w:t xml:space="preserve">asmenų </w:t>
      </w:r>
      <w:r w:rsidR="00B67A19" w:rsidRPr="00F11A58">
        <w:rPr>
          <w:b/>
          <w:color w:val="000000"/>
          <w:szCs w:val="24"/>
        </w:rPr>
        <w:t>(įstatymų nustatytais</w:t>
      </w:r>
      <w:r w:rsidR="00B67A19" w:rsidRPr="00F11A58">
        <w:rPr>
          <w:b/>
          <w:bCs/>
          <w:color w:val="000000"/>
          <w:szCs w:val="24"/>
        </w:rPr>
        <w:t xml:space="preserve"> </w:t>
      </w:r>
      <w:r w:rsidR="00B67A19" w:rsidRPr="00F11A58">
        <w:rPr>
          <w:b/>
          <w:color w:val="000000"/>
          <w:szCs w:val="24"/>
        </w:rPr>
        <w:t>atvejais ir tvarka viešąsias paslaugas gali teikti ir kiti asmenys)</w:t>
      </w:r>
      <w:r w:rsidR="00B67A19" w:rsidRPr="00F11A58">
        <w:rPr>
          <w:szCs w:val="24"/>
        </w:rPr>
        <w:t xml:space="preserve"> </w:t>
      </w:r>
      <w:r w:rsidR="00514955" w:rsidRPr="00F11A58">
        <w:rPr>
          <w:strike/>
          <w:szCs w:val="24"/>
        </w:rPr>
        <w:t>kultūros, socialinės, švietimo, mokslo ir kitos veiklos</w:t>
      </w:r>
      <w:r w:rsidR="00514955" w:rsidRPr="00F11A58">
        <w:rPr>
          <w:szCs w:val="24"/>
        </w:rPr>
        <w:t xml:space="preserve"> </w:t>
      </w:r>
      <w:r w:rsidR="00B67A19" w:rsidRPr="00F11A58">
        <w:rPr>
          <w:b/>
          <w:szCs w:val="24"/>
        </w:rPr>
        <w:t xml:space="preserve">veikla </w:t>
      </w:r>
      <w:r w:rsidR="00B67A19" w:rsidRPr="00F11A58">
        <w:rPr>
          <w:szCs w:val="24"/>
        </w:rPr>
        <w:t>teikiant asmenims</w:t>
      </w:r>
      <w:r w:rsidR="00B67A19" w:rsidRPr="00F11A58">
        <w:rPr>
          <w:b/>
          <w:szCs w:val="24"/>
        </w:rPr>
        <w:t xml:space="preserve"> socialines, švietimo, mokslo, kultūros,</w:t>
      </w:r>
      <w:r w:rsidR="00B67A19" w:rsidRPr="00F11A58">
        <w:rPr>
          <w:szCs w:val="24"/>
        </w:rPr>
        <w:t xml:space="preserve"> </w:t>
      </w:r>
      <w:r w:rsidR="00B67A19" w:rsidRPr="00F11A58">
        <w:rPr>
          <w:b/>
          <w:szCs w:val="24"/>
        </w:rPr>
        <w:t>sporto ir</w:t>
      </w:r>
      <w:r w:rsidR="00B67A19" w:rsidRPr="00F11A58">
        <w:rPr>
          <w:szCs w:val="24"/>
        </w:rPr>
        <w:t xml:space="preserve"> </w:t>
      </w:r>
      <w:r w:rsidR="00B67A19" w:rsidRPr="00F11A58">
        <w:rPr>
          <w:b/>
          <w:szCs w:val="24"/>
        </w:rPr>
        <w:t xml:space="preserve">kitas įstatymų numatytas </w:t>
      </w:r>
      <w:r w:rsidR="00B67A19" w:rsidRPr="00F11A58">
        <w:rPr>
          <w:szCs w:val="24"/>
        </w:rPr>
        <w:t>paslaugas arba religinės apeigos, atliekamos viešai kultūros paveldo objekte, kurio bent vienas reikšmingumą lemiantis vertingųjų savybių pobūdis – sakralinis.</w:t>
      </w:r>
    </w:p>
    <w:p w:rsidR="00B67A19" w:rsidRPr="00F11A58" w:rsidRDefault="00B67A19">
      <w:pPr>
        <w:widowControl w:val="0"/>
        <w:suppressAutoHyphens/>
        <w:ind w:firstLine="567"/>
        <w:jc w:val="both"/>
        <w:textAlignment w:val="center"/>
        <w:rPr>
          <w:szCs w:val="24"/>
        </w:rPr>
      </w:pPr>
    </w:p>
    <w:p w:rsidR="00F11A58" w:rsidRPr="00F11A58" w:rsidRDefault="00F11A58" w:rsidP="00F11A58">
      <w:pPr>
        <w:tabs>
          <w:tab w:val="left" w:pos="993"/>
        </w:tabs>
        <w:spacing w:line="276" w:lineRule="auto"/>
        <w:ind w:firstLine="567"/>
        <w:contextualSpacing/>
        <w:jc w:val="both"/>
        <w:rPr>
          <w:rFonts w:eastAsia="Calibri"/>
          <w:b/>
          <w:szCs w:val="24"/>
        </w:rPr>
      </w:pPr>
      <w:r w:rsidRPr="00F11A58">
        <w:rPr>
          <w:rFonts w:eastAsia="Calibri"/>
          <w:szCs w:val="24"/>
        </w:rPr>
        <w:t>&lt;...&gt;</w:t>
      </w:r>
    </w:p>
    <w:p w:rsidR="00545E1A" w:rsidRPr="00F11A58" w:rsidRDefault="00545E1A" w:rsidP="00545E1A">
      <w:pPr>
        <w:rPr>
          <w:sz w:val="18"/>
          <w:szCs w:val="18"/>
        </w:rPr>
      </w:pPr>
    </w:p>
    <w:p w:rsidR="00F337B8" w:rsidRPr="00F11A58" w:rsidRDefault="00545E1A" w:rsidP="001270C7">
      <w:pPr>
        <w:widowControl w:val="0"/>
        <w:suppressAutoHyphens/>
        <w:ind w:firstLine="567"/>
        <w:jc w:val="both"/>
        <w:textAlignment w:val="center"/>
        <w:rPr>
          <w:color w:val="000000"/>
          <w:szCs w:val="24"/>
        </w:rPr>
      </w:pPr>
      <w:r w:rsidRPr="00F11A58">
        <w:rPr>
          <w:bCs/>
          <w:color w:val="000000"/>
          <w:szCs w:val="24"/>
        </w:rPr>
        <w:t>4.</w:t>
      </w:r>
      <w:r w:rsidR="00943AF7" w:rsidRPr="00F11A58">
        <w:rPr>
          <w:bCs/>
          <w:color w:val="000000"/>
          <w:szCs w:val="24"/>
        </w:rPr>
        <w:t>8</w:t>
      </w:r>
      <w:r w:rsidRPr="00F11A58">
        <w:rPr>
          <w:bCs/>
          <w:color w:val="000000"/>
          <w:szCs w:val="24"/>
        </w:rPr>
        <w:t>.</w:t>
      </w:r>
      <w:r w:rsidR="001270C7" w:rsidRPr="00F11A58">
        <w:rPr>
          <w:b/>
          <w:szCs w:val="24"/>
        </w:rPr>
        <w:t xml:space="preserve"> </w:t>
      </w:r>
      <w:r w:rsidR="00F27D9E" w:rsidRPr="00F11A58">
        <w:rPr>
          <w:b/>
          <w:szCs w:val="24"/>
        </w:rPr>
        <w:t>V</w:t>
      </w:r>
      <w:r w:rsidR="001270C7" w:rsidRPr="00F11A58">
        <w:rPr>
          <w:b/>
          <w:szCs w:val="24"/>
        </w:rPr>
        <w:t xml:space="preserve">iešoji kultūros paslauga </w:t>
      </w:r>
      <w:r w:rsidR="001270C7" w:rsidRPr="00F11A58">
        <w:rPr>
          <w:szCs w:val="24"/>
        </w:rPr>
        <w:t>–</w:t>
      </w:r>
      <w:r w:rsidR="00E16C73" w:rsidRPr="00F11A58">
        <w:rPr>
          <w:szCs w:val="24"/>
        </w:rPr>
        <w:t xml:space="preserve"> </w:t>
      </w:r>
      <w:r w:rsidR="00E92310" w:rsidRPr="00F11A58">
        <w:rPr>
          <w:b/>
          <w:szCs w:val="24"/>
        </w:rPr>
        <w:t>viešąją paslaugą teikiančių</w:t>
      </w:r>
      <w:r w:rsidR="00E92310" w:rsidRPr="00F11A58">
        <w:rPr>
          <w:szCs w:val="24"/>
        </w:rPr>
        <w:t xml:space="preserve"> </w:t>
      </w:r>
      <w:r w:rsidR="00E16C73" w:rsidRPr="00F11A58">
        <w:rPr>
          <w:szCs w:val="24"/>
        </w:rPr>
        <w:t>valstybės ar savivaldybių kontroliuojamų juridinių asmenų</w:t>
      </w:r>
      <w:r w:rsidR="00E92310" w:rsidRPr="00F11A58">
        <w:rPr>
          <w:szCs w:val="24"/>
        </w:rPr>
        <w:t xml:space="preserve"> </w:t>
      </w:r>
      <w:r w:rsidR="00E92310" w:rsidRPr="00F11A58">
        <w:rPr>
          <w:b/>
          <w:szCs w:val="24"/>
        </w:rPr>
        <w:t>ar kitų asmenų, kurie viešąją paslaugą teikia įstatymų nustatytais atvejais ir tvarka</w:t>
      </w:r>
      <w:r w:rsidR="00C3165B" w:rsidRPr="00F11A58">
        <w:rPr>
          <w:b/>
          <w:szCs w:val="24"/>
        </w:rPr>
        <w:t>,</w:t>
      </w:r>
      <w:r w:rsidR="00E16C73" w:rsidRPr="00F11A58">
        <w:rPr>
          <w:szCs w:val="24"/>
        </w:rPr>
        <w:t xml:space="preserve"> vykdomos, lankytojams skirtos, kultūrinės veiklos, kaip jos apibrėžtos Reglamento (ES) Nr. 651/2014, 53 straipsnio 2 dalyje.</w:t>
      </w:r>
    </w:p>
    <w:p w:rsidR="00545E1A" w:rsidRPr="00F11A58" w:rsidRDefault="00545E1A" w:rsidP="00545E1A">
      <w:pPr>
        <w:rPr>
          <w:sz w:val="18"/>
          <w:szCs w:val="18"/>
        </w:rPr>
      </w:pPr>
    </w:p>
    <w:p w:rsidR="00F11A58" w:rsidRPr="00F11A58" w:rsidRDefault="00F11A58" w:rsidP="00F11A58">
      <w:pPr>
        <w:tabs>
          <w:tab w:val="left" w:pos="993"/>
        </w:tabs>
        <w:spacing w:line="276" w:lineRule="auto"/>
        <w:ind w:firstLine="567"/>
        <w:contextualSpacing/>
        <w:jc w:val="both"/>
        <w:rPr>
          <w:rFonts w:eastAsia="Calibri"/>
          <w:b/>
          <w:szCs w:val="24"/>
        </w:rPr>
      </w:pPr>
      <w:r w:rsidRPr="00F11A58">
        <w:rPr>
          <w:rFonts w:eastAsia="Calibri"/>
          <w:szCs w:val="24"/>
        </w:rPr>
        <w:t>&lt;...&gt;</w:t>
      </w:r>
    </w:p>
    <w:p w:rsidR="00C8416E" w:rsidRPr="00F11A58" w:rsidRDefault="00C8416E" w:rsidP="00C8416E">
      <w:pPr>
        <w:widowControl w:val="0"/>
        <w:tabs>
          <w:tab w:val="left" w:pos="993"/>
        </w:tabs>
        <w:ind w:firstLine="567"/>
        <w:jc w:val="both"/>
        <w:textAlignment w:val="baseline"/>
        <w:rPr>
          <w:szCs w:val="24"/>
        </w:rPr>
      </w:pPr>
    </w:p>
    <w:p w:rsidR="00C8416E" w:rsidRPr="00F11A58" w:rsidRDefault="00C8416E" w:rsidP="00C8416E">
      <w:pPr>
        <w:widowControl w:val="0"/>
        <w:tabs>
          <w:tab w:val="left" w:pos="993"/>
        </w:tabs>
        <w:ind w:firstLine="567"/>
        <w:jc w:val="both"/>
        <w:textAlignment w:val="baseline"/>
        <w:rPr>
          <w:szCs w:val="24"/>
        </w:rPr>
      </w:pPr>
      <w:r w:rsidRPr="00F11A58">
        <w:rPr>
          <w:szCs w:val="24"/>
        </w:rPr>
        <w:t>9.</w:t>
      </w:r>
      <w:r w:rsidRPr="00F11A58">
        <w:rPr>
          <w:strike/>
          <w:szCs w:val="24"/>
        </w:rPr>
        <w:t xml:space="preserve"> </w:t>
      </w:r>
      <w:r w:rsidRPr="00F11A58">
        <w:rPr>
          <w:b/>
          <w:strike/>
          <w:szCs w:val="24"/>
        </w:rPr>
        <w:t xml:space="preserve">4 </w:t>
      </w:r>
      <w:r w:rsidRPr="00F11A58">
        <w:rPr>
          <w:b/>
          <w:szCs w:val="24"/>
        </w:rPr>
        <w:t>3</w:t>
      </w:r>
      <w:r w:rsidRPr="00F11A58">
        <w:rPr>
          <w:szCs w:val="24"/>
        </w:rPr>
        <w:t xml:space="preserve">. </w:t>
      </w:r>
      <w:r w:rsidR="007E60D0" w:rsidRPr="00F11A58">
        <w:rPr>
          <w:b/>
          <w:strike/>
        </w:rPr>
        <w:t>Jeigu pagal Aprašo 9.1 papunktyje nurodytą kvietimą pasirašius projektų sutartis lieka nepanaudotų finansavimo lėšų, šios lėšos yra perkeliamos į Aprašo 9.2 papunktyje numatomas skirti finansavimo lėšas.</w:t>
      </w:r>
      <w:r w:rsidR="007E60D0" w:rsidRPr="00F11A58">
        <w:t xml:space="preserve"> Priimdama sprendimą dėl projektų finansavimo Ministerija turi teisę Aprašo 8 punkte nurodytas sumas padidinti, </w:t>
      </w:r>
      <w:r w:rsidR="007E60D0" w:rsidRPr="00F11A58">
        <w:rPr>
          <w:b/>
          <w:strike/>
        </w:rPr>
        <w:t>skirdama Aprašo 9.2 papunktyje nurodytam kvietimui,</w:t>
      </w:r>
      <w:r w:rsidR="007E60D0" w:rsidRPr="00F11A58">
        <w:t xml:space="preserve"> neviršydama Priemonių įgyvendinimo plane nurodytos Priemonei skirtos lėšų sumos ir nepažeisdama teisėtų pareiškėjų lūkesčių.</w:t>
      </w:r>
    </w:p>
    <w:p w:rsidR="00C8416E" w:rsidRPr="00F11A58" w:rsidRDefault="00C8416E" w:rsidP="00C8416E">
      <w:pPr>
        <w:widowControl w:val="0"/>
        <w:tabs>
          <w:tab w:val="left" w:pos="993"/>
        </w:tabs>
        <w:ind w:firstLine="567"/>
        <w:jc w:val="both"/>
        <w:textAlignment w:val="baseline"/>
        <w:rPr>
          <w:szCs w:val="24"/>
        </w:rPr>
      </w:pPr>
    </w:p>
    <w:p w:rsidR="00F11A58" w:rsidRPr="00F11A58" w:rsidRDefault="00F11A58" w:rsidP="00F11A58">
      <w:pPr>
        <w:tabs>
          <w:tab w:val="left" w:pos="993"/>
        </w:tabs>
        <w:spacing w:line="276" w:lineRule="auto"/>
        <w:ind w:firstLine="567"/>
        <w:contextualSpacing/>
        <w:jc w:val="both"/>
        <w:rPr>
          <w:rFonts w:eastAsia="Calibri"/>
          <w:b/>
          <w:szCs w:val="24"/>
        </w:rPr>
      </w:pPr>
      <w:r w:rsidRPr="00F11A58">
        <w:rPr>
          <w:rFonts w:eastAsia="Calibri"/>
          <w:szCs w:val="24"/>
        </w:rPr>
        <w:t>&lt;...&gt;</w:t>
      </w:r>
    </w:p>
    <w:p w:rsidR="00C97438" w:rsidRPr="00F11A58" w:rsidRDefault="00C97438" w:rsidP="000072D8">
      <w:pPr>
        <w:widowControl w:val="0"/>
        <w:ind w:firstLine="567"/>
        <w:jc w:val="both"/>
        <w:textAlignment w:val="baseline"/>
        <w:rPr>
          <w:szCs w:val="24"/>
        </w:rPr>
      </w:pPr>
    </w:p>
    <w:p w:rsidR="00C97438" w:rsidRPr="00C3165B" w:rsidRDefault="00C97438" w:rsidP="00C97438">
      <w:pPr>
        <w:pStyle w:val="tajtip"/>
        <w:ind w:firstLine="567"/>
        <w:jc w:val="both"/>
        <w:rPr>
          <w:b/>
        </w:rPr>
      </w:pPr>
      <w:r w:rsidRPr="00F11A58">
        <w:rPr>
          <w:b/>
        </w:rPr>
        <w:t xml:space="preserve">29.3.7. Pareiškėjas, kuris yra ne valstybės ar savivaldybės kontroliuojamas juridinis asmuo ir pareiškėjas, kuris po projekto įgyvendinimo </w:t>
      </w:r>
      <w:r w:rsidR="00963E88" w:rsidRPr="00F11A58">
        <w:rPr>
          <w:b/>
        </w:rPr>
        <w:t>ne</w:t>
      </w:r>
      <w:r w:rsidRPr="00F11A58">
        <w:rPr>
          <w:b/>
        </w:rPr>
        <w:t xml:space="preserve">planuoja </w:t>
      </w:r>
      <w:r w:rsidR="00963E88" w:rsidRPr="00F11A58">
        <w:rPr>
          <w:b/>
        </w:rPr>
        <w:t>vykdyti</w:t>
      </w:r>
      <w:r w:rsidRPr="00F11A58">
        <w:rPr>
          <w:b/>
        </w:rPr>
        <w:t xml:space="preserve"> </w:t>
      </w:r>
      <w:r w:rsidR="00963E88" w:rsidRPr="00F11A58">
        <w:rPr>
          <w:b/>
        </w:rPr>
        <w:t>religin</w:t>
      </w:r>
      <w:r w:rsidR="008018F0" w:rsidRPr="00F11A58">
        <w:rPr>
          <w:b/>
        </w:rPr>
        <w:t>ių</w:t>
      </w:r>
      <w:r w:rsidR="00963E88" w:rsidRPr="00F11A58">
        <w:rPr>
          <w:b/>
        </w:rPr>
        <w:t xml:space="preserve"> apeig</w:t>
      </w:r>
      <w:r w:rsidR="008018F0" w:rsidRPr="00F11A58">
        <w:rPr>
          <w:b/>
        </w:rPr>
        <w:t>ų</w:t>
      </w:r>
      <w:r w:rsidR="00963E88" w:rsidRPr="00F11A58">
        <w:rPr>
          <w:b/>
        </w:rPr>
        <w:t xml:space="preserve"> kaip numatyta Aprašo 4.6 p., turi turėti</w:t>
      </w:r>
      <w:r w:rsidRPr="00F11A58">
        <w:rPr>
          <w:b/>
        </w:rPr>
        <w:t xml:space="preserve"> atitinkamo viešojo administravimo subjekto, kuris administruoja pareiškėjo teikiamą ar planuojamą teikti viešąją paslaugą, patvirtinimą, kad pareiškėjo teikiama ar planuojama teikti paslauga yra viešoji paslauga kaip ji apibrėžta Viešojo administravimo įstatyme.</w:t>
      </w:r>
      <w:r w:rsidRPr="00C3165B">
        <w:rPr>
          <w:b/>
        </w:rPr>
        <w:t xml:space="preserve"> </w:t>
      </w:r>
    </w:p>
    <w:p w:rsidR="00C97438" w:rsidRPr="00545E1A" w:rsidRDefault="00C97438" w:rsidP="000072D8">
      <w:pPr>
        <w:widowControl w:val="0"/>
        <w:ind w:firstLine="567"/>
        <w:jc w:val="both"/>
        <w:textAlignment w:val="baseline"/>
        <w:rPr>
          <w:szCs w:val="24"/>
        </w:rPr>
      </w:pPr>
    </w:p>
    <w:p w:rsidR="00F337B8" w:rsidRPr="000442A4" w:rsidRDefault="000072D8">
      <w:pPr>
        <w:tabs>
          <w:tab w:val="left" w:pos="1418"/>
        </w:tabs>
        <w:spacing w:line="276" w:lineRule="auto"/>
        <w:ind w:firstLine="567"/>
        <w:contextualSpacing/>
        <w:jc w:val="both"/>
        <w:rPr>
          <w:rFonts w:eastAsia="Calibri"/>
          <w:szCs w:val="24"/>
        </w:rPr>
      </w:pPr>
      <w:r w:rsidRPr="000442A4">
        <w:rPr>
          <w:rFonts w:eastAsia="Calibri"/>
          <w:szCs w:val="24"/>
          <w:highlight w:val="yellow"/>
        </w:rPr>
        <w:t>29.3.</w:t>
      </w:r>
      <w:r w:rsidR="000442A4" w:rsidRPr="000442A4">
        <w:rPr>
          <w:rFonts w:eastAsia="Calibri"/>
          <w:b/>
          <w:szCs w:val="24"/>
          <w:highlight w:val="yellow"/>
        </w:rPr>
        <w:t>8</w:t>
      </w:r>
      <w:r w:rsidR="004D5CB0" w:rsidRPr="000442A4">
        <w:rPr>
          <w:rFonts w:eastAsia="Calibri"/>
          <w:b/>
          <w:szCs w:val="24"/>
          <w:highlight w:val="yellow"/>
        </w:rPr>
        <w:t>.</w:t>
      </w:r>
      <w:r w:rsidR="004D5CB0" w:rsidRPr="000442A4">
        <w:rPr>
          <w:rFonts w:eastAsia="Calibri"/>
          <w:szCs w:val="24"/>
        </w:rPr>
        <w:tab/>
      </w:r>
      <w:r w:rsidR="00462152" w:rsidRPr="000442A4">
        <w:rPr>
          <w:rFonts w:eastAsia="Calibri"/>
          <w:szCs w:val="24"/>
        </w:rPr>
        <w:t xml:space="preserve"> </w:t>
      </w:r>
      <w:r w:rsidR="004D5CB0" w:rsidRPr="000442A4">
        <w:rPr>
          <w:rFonts w:eastAsia="Calibri"/>
          <w:szCs w:val="24"/>
        </w:rPr>
        <w:t xml:space="preserve">Pareiškėjas, nusprendęs pasinaudoti galimybe gauti paskolą pagal priemonę Nr. 05.4.1-FM-F-307 Aprašo 11 punkte nustatytai Aprašo veiklų finansavimo būtinai sąlygai įgyvendinti, turi </w:t>
      </w:r>
      <w:proofErr w:type="gramStart"/>
      <w:r w:rsidR="004D5CB0" w:rsidRPr="000442A4">
        <w:rPr>
          <w:rFonts w:eastAsia="Calibri"/>
          <w:szCs w:val="24"/>
        </w:rPr>
        <w:t>kreiptis</w:t>
      </w:r>
      <w:proofErr w:type="gramEnd"/>
      <w:r w:rsidR="004D5CB0" w:rsidRPr="000442A4">
        <w:rPr>
          <w:rFonts w:eastAsia="Calibri"/>
          <w:szCs w:val="24"/>
        </w:rPr>
        <w:t xml:space="preserve"> į priemonę Nr. 05.4.1-FM-F-307 įgyvendinantį fondo valdytoją ir gauti jo raštišką sutikimą dėl paskolos suteikimo.</w:t>
      </w:r>
    </w:p>
    <w:p w:rsidR="00F337B8" w:rsidRPr="00A16362" w:rsidRDefault="00F337B8">
      <w:pPr>
        <w:rPr>
          <w:sz w:val="18"/>
          <w:szCs w:val="18"/>
        </w:rPr>
      </w:pPr>
    </w:p>
    <w:p w:rsidR="00F11A58" w:rsidRPr="00A4650A" w:rsidRDefault="00F11A58" w:rsidP="00F11A58">
      <w:pPr>
        <w:tabs>
          <w:tab w:val="left" w:pos="993"/>
        </w:tabs>
        <w:spacing w:line="276" w:lineRule="auto"/>
        <w:ind w:firstLine="567"/>
        <w:contextualSpacing/>
        <w:jc w:val="both"/>
        <w:rPr>
          <w:rFonts w:eastAsia="Calibri"/>
          <w:b/>
          <w:szCs w:val="24"/>
        </w:rPr>
      </w:pPr>
      <w:r>
        <w:rPr>
          <w:rFonts w:eastAsia="Calibri"/>
          <w:szCs w:val="24"/>
        </w:rPr>
        <w:t>&lt;...&gt;</w:t>
      </w:r>
    </w:p>
    <w:p w:rsidR="00F337B8" w:rsidRPr="00A16362" w:rsidRDefault="00F337B8">
      <w:pPr>
        <w:rPr>
          <w:sz w:val="18"/>
          <w:szCs w:val="18"/>
        </w:rPr>
      </w:pPr>
    </w:p>
    <w:p w:rsidR="00F337B8" w:rsidRPr="00F11A58" w:rsidRDefault="004D5CB0" w:rsidP="00F11A58">
      <w:pPr>
        <w:tabs>
          <w:tab w:val="left" w:pos="993"/>
        </w:tabs>
        <w:spacing w:line="276" w:lineRule="auto"/>
        <w:ind w:firstLine="567"/>
        <w:contextualSpacing/>
        <w:jc w:val="both"/>
        <w:rPr>
          <w:rFonts w:eastAsia="Calibri"/>
          <w:b/>
          <w:szCs w:val="24"/>
        </w:rPr>
      </w:pPr>
      <w:r w:rsidRPr="00A16362">
        <w:rPr>
          <w:szCs w:val="24"/>
        </w:rPr>
        <w:lastRenderedPageBreak/>
        <w:t xml:space="preserve">57. Kartu su paraiška pareiškėjas turi pateikti </w:t>
      </w:r>
      <w:r w:rsidRPr="00A16362">
        <w:rPr>
          <w:szCs w:val="24"/>
          <w:lang w:eastAsia="lt-LT"/>
        </w:rPr>
        <w:t xml:space="preserve">šiuos priedus </w:t>
      </w:r>
      <w:r w:rsidR="00F11A58">
        <w:rPr>
          <w:rFonts w:eastAsia="Calibri"/>
          <w:szCs w:val="24"/>
        </w:rPr>
        <w:t>&lt;...&gt;</w:t>
      </w:r>
      <w:r w:rsidRPr="00A16362">
        <w:rPr>
          <w:szCs w:val="24"/>
          <w:lang w:eastAsia="lt-LT"/>
        </w:rPr>
        <w:t>:</w:t>
      </w:r>
      <w:r w:rsidRPr="00A16362">
        <w:t xml:space="preserve"> </w:t>
      </w:r>
    </w:p>
    <w:p w:rsidR="00F11A58" w:rsidRPr="00A4650A" w:rsidRDefault="00F11A58" w:rsidP="00F11A58">
      <w:pPr>
        <w:tabs>
          <w:tab w:val="left" w:pos="993"/>
        </w:tabs>
        <w:spacing w:line="276" w:lineRule="auto"/>
        <w:ind w:firstLine="567"/>
        <w:contextualSpacing/>
        <w:jc w:val="both"/>
        <w:rPr>
          <w:rFonts w:eastAsia="Calibri"/>
          <w:b/>
          <w:szCs w:val="24"/>
        </w:rPr>
      </w:pPr>
      <w:r>
        <w:rPr>
          <w:rFonts w:eastAsia="Calibri"/>
          <w:szCs w:val="24"/>
        </w:rPr>
        <w:t>&lt;...&gt;</w:t>
      </w:r>
    </w:p>
    <w:p w:rsidR="00F60DD9" w:rsidRPr="00F11A58" w:rsidRDefault="00F60DD9">
      <w:pPr>
        <w:tabs>
          <w:tab w:val="left" w:pos="1134"/>
        </w:tabs>
        <w:spacing w:line="276" w:lineRule="auto"/>
        <w:ind w:firstLine="567"/>
        <w:contextualSpacing/>
        <w:jc w:val="both"/>
        <w:rPr>
          <w:rFonts w:eastAsia="Calibri"/>
          <w:b/>
          <w:szCs w:val="24"/>
        </w:rPr>
      </w:pPr>
      <w:r w:rsidRPr="00F11A58">
        <w:rPr>
          <w:rFonts w:eastAsia="Calibri"/>
          <w:b/>
          <w:szCs w:val="24"/>
        </w:rPr>
        <w:t xml:space="preserve">57.23. </w:t>
      </w:r>
      <w:r w:rsidRPr="00F11A58">
        <w:rPr>
          <w:b/>
          <w:szCs w:val="24"/>
        </w:rPr>
        <w:t xml:space="preserve">Viešojo administravimo subjekto, kuris administruoja pareiškėjo teikiamą ar planuojamą teikti viešąją paslaugą, patvirtinimą, kad pareiškėjo teikiama ar planuojama teikti paslauga yra viešoji paslauga kaip ji apibrėžta Viešojo administravimo įstatyme (taikoma pareiškėjams, kurie yra ne valstybės ar savivaldybės kontroliuojami juridiniai asmenys ir </w:t>
      </w:r>
      <w:r w:rsidRPr="00F11A58">
        <w:rPr>
          <w:b/>
        </w:rPr>
        <w:t>pareiškėjams, kurie po projekto įgyvendinimo neplanuoja vykdyti religinių apeigų kaip numatyta Aprašo 4.6 p.)</w:t>
      </w:r>
      <w:r w:rsidRPr="00F11A58">
        <w:rPr>
          <w:b/>
          <w:szCs w:val="24"/>
        </w:rPr>
        <w:t>.</w:t>
      </w:r>
    </w:p>
    <w:p w:rsidR="00F337B8" w:rsidRPr="00F11A58" w:rsidRDefault="00F337B8">
      <w:pPr>
        <w:rPr>
          <w:sz w:val="18"/>
          <w:szCs w:val="18"/>
        </w:rPr>
      </w:pPr>
    </w:p>
    <w:p w:rsidR="00F11A58" w:rsidRPr="00F11A58" w:rsidRDefault="00F11A58" w:rsidP="00F11A58">
      <w:pPr>
        <w:tabs>
          <w:tab w:val="left" w:pos="993"/>
        </w:tabs>
        <w:spacing w:line="276" w:lineRule="auto"/>
        <w:ind w:firstLine="567"/>
        <w:contextualSpacing/>
        <w:jc w:val="both"/>
        <w:rPr>
          <w:rFonts w:eastAsia="Calibri"/>
          <w:b/>
          <w:szCs w:val="24"/>
        </w:rPr>
      </w:pPr>
      <w:r w:rsidRPr="00F11A58">
        <w:rPr>
          <w:rFonts w:eastAsia="Calibri"/>
          <w:szCs w:val="24"/>
        </w:rPr>
        <w:t>&lt;...&gt;</w:t>
      </w:r>
    </w:p>
    <w:p w:rsidR="00F337B8" w:rsidRPr="00F11A58" w:rsidRDefault="00F337B8">
      <w:pPr>
        <w:rPr>
          <w:sz w:val="18"/>
          <w:szCs w:val="18"/>
        </w:rPr>
      </w:pPr>
    </w:p>
    <w:p w:rsidR="00F337B8" w:rsidRPr="00F11A58" w:rsidRDefault="004D5CB0">
      <w:pPr>
        <w:tabs>
          <w:tab w:val="left" w:pos="993"/>
        </w:tabs>
        <w:spacing w:line="276" w:lineRule="auto"/>
        <w:ind w:firstLine="567"/>
        <w:contextualSpacing/>
        <w:jc w:val="both"/>
        <w:rPr>
          <w:rFonts w:eastAsia="Calibri"/>
          <w:b/>
          <w:szCs w:val="24"/>
        </w:rPr>
      </w:pPr>
      <w:r w:rsidRPr="00F11A58">
        <w:rPr>
          <w:rFonts w:eastAsia="Calibri"/>
          <w:szCs w:val="24"/>
        </w:rPr>
        <w:t>69.</w:t>
      </w:r>
      <w:r w:rsidRPr="00F11A58">
        <w:rPr>
          <w:rFonts w:eastAsia="Calibri"/>
          <w:szCs w:val="24"/>
        </w:rPr>
        <w:tab/>
        <w:t>Įgyvendinančiajai institucijai baigus paraiškų vertinimą, sprendimą dėl projekto finansavimo arba nefinansavimo priima Ministerija Projektų taisyklių 17 skirsnyje nustatyta tvarka.</w:t>
      </w:r>
      <w:r w:rsidR="006323C0" w:rsidRPr="00F11A58">
        <w:rPr>
          <w:rFonts w:eastAsia="Calibri"/>
          <w:szCs w:val="24"/>
        </w:rPr>
        <w:t xml:space="preserve"> </w:t>
      </w:r>
      <w:r w:rsidR="006323C0" w:rsidRPr="00F11A58">
        <w:rPr>
          <w:b/>
        </w:rPr>
        <w:t>Jei kvietimui skirtų lėšų neužtenka teigiamai įvertintoms paraiškoms finansuoti, Ministerijai pritarus įgyvendinančioji institucija taip pat sudaro rezervinių projektų sąrašą.</w:t>
      </w:r>
    </w:p>
    <w:p w:rsidR="00F337B8" w:rsidRPr="00F11A58" w:rsidRDefault="00F337B8">
      <w:pPr>
        <w:rPr>
          <w:sz w:val="18"/>
          <w:szCs w:val="18"/>
        </w:rPr>
      </w:pPr>
    </w:p>
    <w:p w:rsidR="00F337B8" w:rsidRPr="00A16362" w:rsidRDefault="004D5CB0">
      <w:pPr>
        <w:tabs>
          <w:tab w:val="left" w:pos="993"/>
        </w:tabs>
        <w:spacing w:line="276" w:lineRule="auto"/>
        <w:ind w:firstLine="567"/>
        <w:contextualSpacing/>
        <w:jc w:val="both"/>
        <w:rPr>
          <w:rFonts w:eastAsia="Calibri"/>
          <w:szCs w:val="24"/>
        </w:rPr>
      </w:pPr>
      <w:r w:rsidRPr="00F11A58">
        <w:rPr>
          <w:rFonts w:eastAsia="Calibri"/>
          <w:szCs w:val="24"/>
        </w:rPr>
        <w:t>70.</w:t>
      </w:r>
      <w:r w:rsidRPr="00F11A58">
        <w:rPr>
          <w:rFonts w:eastAsia="Calibri"/>
          <w:szCs w:val="24"/>
        </w:rPr>
        <w:tab/>
        <w:t>Ministerijai priėmus sprendimą finansuoti projektą, įgyvendinančioji institucija per 3 darbo dienas nuo šio sprendimo gavimo dienos raštu (jeigu įdiegtos funkcinės galimybės – per DMS) pateikia šį sprendimą pareiškėjams.</w:t>
      </w:r>
      <w:r w:rsidR="006323C0" w:rsidRPr="00F11A58">
        <w:rPr>
          <w:rFonts w:eastAsia="Calibri"/>
          <w:szCs w:val="24"/>
        </w:rPr>
        <w:t xml:space="preserve"> </w:t>
      </w:r>
      <w:r w:rsidR="006323C0" w:rsidRPr="00F11A58">
        <w:rPr>
          <w:b/>
        </w:rPr>
        <w:t xml:space="preserve">Per 14 dienų nuo paraiškų vertinimo ir atrankos pabaigos įgyvendinančioji institucija svetainėje </w:t>
      </w:r>
      <w:hyperlink r:id="rId9" w:history="1">
        <w:r w:rsidR="006323C0" w:rsidRPr="00F11A58">
          <w:rPr>
            <w:rStyle w:val="Hyperlink"/>
            <w:b/>
            <w:lang w:eastAsia="lt-LT"/>
          </w:rPr>
          <w:t>www.esinvesticijos.lt</w:t>
        </w:r>
      </w:hyperlink>
      <w:r w:rsidR="006323C0" w:rsidRPr="00F11A58">
        <w:rPr>
          <w:b/>
        </w:rPr>
        <w:t xml:space="preserve"> paskelbia sąrašą pareiškėjų, kurių projektai buvo arba nebuvo atrinkti finansuoti, arba buvo įtraukti į rezervinių projektų sąrašą, ir apie tai per DMS </w:t>
      </w:r>
      <w:r w:rsidR="005239C1" w:rsidRPr="00F11A58">
        <w:rPr>
          <w:b/>
        </w:rPr>
        <w:t>arba raštu</w:t>
      </w:r>
      <w:r w:rsidR="006323C0" w:rsidRPr="00F11A58">
        <w:rPr>
          <w:b/>
          <w:i/>
          <w:lang w:eastAsia="lt-LT"/>
        </w:rPr>
        <w:t xml:space="preserve"> </w:t>
      </w:r>
      <w:r w:rsidR="006323C0" w:rsidRPr="00F11A58">
        <w:rPr>
          <w:b/>
        </w:rPr>
        <w:t>taip pat informuoja pareiškėjus</w:t>
      </w:r>
      <w:r w:rsidR="005239C1" w:rsidRPr="00F11A58">
        <w:rPr>
          <w:b/>
        </w:rPr>
        <w:t>.</w:t>
      </w:r>
      <w:bookmarkStart w:id="0" w:name="_GoBack"/>
      <w:bookmarkEnd w:id="0"/>
    </w:p>
    <w:p w:rsidR="00F337B8" w:rsidRPr="00A16362" w:rsidRDefault="00F337B8">
      <w:pPr>
        <w:rPr>
          <w:sz w:val="18"/>
          <w:szCs w:val="18"/>
        </w:rPr>
      </w:pPr>
    </w:p>
    <w:p w:rsidR="00F11A58" w:rsidRPr="00A4650A" w:rsidRDefault="00F11A58" w:rsidP="00F11A58">
      <w:pPr>
        <w:tabs>
          <w:tab w:val="left" w:pos="993"/>
        </w:tabs>
        <w:spacing w:line="276" w:lineRule="auto"/>
        <w:ind w:firstLine="567"/>
        <w:contextualSpacing/>
        <w:jc w:val="both"/>
        <w:rPr>
          <w:rFonts w:eastAsia="Calibri"/>
          <w:b/>
          <w:szCs w:val="24"/>
        </w:rPr>
      </w:pPr>
      <w:r>
        <w:rPr>
          <w:rFonts w:eastAsia="Calibri"/>
          <w:szCs w:val="24"/>
        </w:rPr>
        <w:t>&lt;...&gt;</w:t>
      </w:r>
    </w:p>
    <w:p w:rsidR="00F337B8" w:rsidRPr="00A16362" w:rsidRDefault="00F337B8">
      <w:pPr>
        <w:rPr>
          <w:sz w:val="18"/>
          <w:szCs w:val="18"/>
        </w:rPr>
      </w:pPr>
    </w:p>
    <w:p w:rsidR="00F337B8" w:rsidRPr="00A16362" w:rsidRDefault="00F337B8">
      <w:pPr>
        <w:tabs>
          <w:tab w:val="left" w:pos="1418"/>
        </w:tabs>
        <w:ind w:firstLine="567"/>
        <w:jc w:val="both"/>
        <w:rPr>
          <w:szCs w:val="24"/>
          <w:lang w:eastAsia="lt-LT"/>
        </w:rPr>
      </w:pPr>
    </w:p>
    <w:p w:rsidR="00F337B8" w:rsidRDefault="004D5CB0">
      <w:pPr>
        <w:tabs>
          <w:tab w:val="left" w:pos="1418"/>
        </w:tabs>
        <w:ind w:firstLine="567"/>
        <w:jc w:val="center"/>
        <w:rPr>
          <w:rFonts w:eastAsia="Calibri"/>
          <w:szCs w:val="24"/>
        </w:rPr>
      </w:pPr>
      <w:r w:rsidRPr="00A16362">
        <w:rPr>
          <w:rFonts w:eastAsia="Calibri"/>
          <w:szCs w:val="24"/>
        </w:rPr>
        <w:t>____________________</w:t>
      </w:r>
    </w:p>
    <w:p w:rsidR="00F337B8" w:rsidRDefault="00F337B8" w:rsidP="00A638BB">
      <w:pPr>
        <w:overflowPunct w:val="0"/>
        <w:jc w:val="both"/>
        <w:textAlignment w:val="baseline"/>
        <w:rPr>
          <w:snapToGrid w:val="0"/>
        </w:rPr>
      </w:pPr>
    </w:p>
    <w:sectPr w:rsidR="00F337B8" w:rsidSect="004B060A">
      <w:headerReference w:type="default" r:id="rId10"/>
      <w:headerReference w:type="first" r:id="rId11"/>
      <w:pgSz w:w="11906" w:h="16838" w:code="9"/>
      <w:pgMar w:top="567" w:right="1134" w:bottom="1701" w:left="992" w:header="454"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59F" w:rsidRDefault="0018059F">
      <w:pPr>
        <w:overflowPunct w:val="0"/>
        <w:textAlignment w:val="baseline"/>
        <w:rPr>
          <w:rFonts w:ascii="HelveticaLT" w:hAnsi="HelveticaLT"/>
          <w:sz w:val="20"/>
        </w:rPr>
      </w:pPr>
      <w:r>
        <w:rPr>
          <w:rFonts w:ascii="HelveticaLT" w:hAnsi="HelveticaLT"/>
          <w:sz w:val="20"/>
        </w:rPr>
        <w:separator/>
      </w:r>
    </w:p>
  </w:endnote>
  <w:endnote w:type="continuationSeparator" w:id="0">
    <w:p w:rsidR="0018059F" w:rsidRDefault="0018059F">
      <w:pPr>
        <w:overflowPunct w:val="0"/>
        <w:textAlignment w:val="baseline"/>
        <w:rPr>
          <w:rFonts w:ascii="HelveticaLT" w:hAnsi="HelveticaLT"/>
          <w:sz w:val="20"/>
        </w:rPr>
      </w:pPr>
      <w:r>
        <w:rPr>
          <w:rFonts w:ascii="HelveticaLT" w:hAnsi="Helvetica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59F" w:rsidRDefault="0018059F">
      <w:pPr>
        <w:overflowPunct w:val="0"/>
        <w:textAlignment w:val="baseline"/>
        <w:rPr>
          <w:rFonts w:ascii="HelveticaLT" w:hAnsi="HelveticaLT"/>
          <w:sz w:val="20"/>
        </w:rPr>
      </w:pPr>
      <w:r>
        <w:rPr>
          <w:rFonts w:ascii="HelveticaLT" w:hAnsi="HelveticaLT"/>
          <w:sz w:val="20"/>
        </w:rPr>
        <w:separator/>
      </w:r>
    </w:p>
  </w:footnote>
  <w:footnote w:type="continuationSeparator" w:id="0">
    <w:p w:rsidR="0018059F" w:rsidRDefault="0018059F">
      <w:pPr>
        <w:overflowPunct w:val="0"/>
        <w:textAlignment w:val="baseline"/>
        <w:rPr>
          <w:rFonts w:ascii="HelveticaLT" w:hAnsi="HelveticaLT"/>
          <w:sz w:val="20"/>
        </w:rPr>
      </w:pPr>
      <w:r>
        <w:rPr>
          <w:rFonts w:ascii="HelveticaLT" w:hAnsi="Helvetica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B8" w:rsidRDefault="004D5CB0">
    <w:pPr>
      <w:tabs>
        <w:tab w:val="center" w:pos="4819"/>
        <w:tab w:val="right" w:pos="9071"/>
      </w:tabs>
      <w:overflowPunct w:val="0"/>
      <w:jc w:val="center"/>
      <w:textAlignment w:val="baseline"/>
      <w:rPr>
        <w:szCs w:val="24"/>
      </w:rPr>
    </w:pPr>
    <w:r>
      <w:rPr>
        <w:szCs w:val="24"/>
      </w:rPr>
      <w:fldChar w:fldCharType="begin"/>
    </w:r>
    <w:r>
      <w:rPr>
        <w:szCs w:val="24"/>
      </w:rPr>
      <w:instrText xml:space="preserve"> PAGE   \* MERGEFORMAT </w:instrText>
    </w:r>
    <w:r>
      <w:rPr>
        <w:szCs w:val="24"/>
      </w:rPr>
      <w:fldChar w:fldCharType="separate"/>
    </w:r>
    <w:r w:rsidR="00F11A58">
      <w:rPr>
        <w:noProof/>
        <w:szCs w:val="24"/>
      </w:rPr>
      <w:t>2</w:t>
    </w:r>
    <w:r>
      <w:rPr>
        <w:szCs w:val="24"/>
      </w:rPr>
      <w:fldChar w:fldCharType="end"/>
    </w:r>
  </w:p>
  <w:p w:rsidR="00F337B8" w:rsidRDefault="00F337B8">
    <w:pPr>
      <w:tabs>
        <w:tab w:val="center" w:pos="4819"/>
        <w:tab w:val="right" w:pos="9071"/>
      </w:tabs>
      <w:overflowPunct w:val="0"/>
      <w:textAlignment w:val="baseline"/>
      <w:rPr>
        <w:rFonts w:ascii="HelveticaLT" w:hAnsi="HelveticaLT"/>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7B8" w:rsidRDefault="00F337B8">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122EC"/>
    <w:multiLevelType w:val="hybridMultilevel"/>
    <w:tmpl w:val="F724A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nkevičienė">
    <w15:presenceInfo w15:providerId="AD" w15:userId="S-1-5-21-435918606-2984255037-1919720017-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03"/>
    <w:rsid w:val="000005B2"/>
    <w:rsid w:val="000072D8"/>
    <w:rsid w:val="000442A4"/>
    <w:rsid w:val="000B01A2"/>
    <w:rsid w:val="001270C7"/>
    <w:rsid w:val="0018059F"/>
    <w:rsid w:val="001C266E"/>
    <w:rsid w:val="00222B0E"/>
    <w:rsid w:val="002924EE"/>
    <w:rsid w:val="002C2C82"/>
    <w:rsid w:val="00300275"/>
    <w:rsid w:val="003133B8"/>
    <w:rsid w:val="003172C9"/>
    <w:rsid w:val="00317CB9"/>
    <w:rsid w:val="003339B7"/>
    <w:rsid w:val="003917E5"/>
    <w:rsid w:val="003C0286"/>
    <w:rsid w:val="003F2A10"/>
    <w:rsid w:val="00444445"/>
    <w:rsid w:val="00462152"/>
    <w:rsid w:val="00496B02"/>
    <w:rsid w:val="004B060A"/>
    <w:rsid w:val="004D5CB0"/>
    <w:rsid w:val="00514955"/>
    <w:rsid w:val="005239C1"/>
    <w:rsid w:val="00545E1A"/>
    <w:rsid w:val="00552951"/>
    <w:rsid w:val="00562919"/>
    <w:rsid w:val="005F5877"/>
    <w:rsid w:val="006323C0"/>
    <w:rsid w:val="006D3609"/>
    <w:rsid w:val="00703FC0"/>
    <w:rsid w:val="00704DF4"/>
    <w:rsid w:val="00705D3A"/>
    <w:rsid w:val="007E60D0"/>
    <w:rsid w:val="008018F0"/>
    <w:rsid w:val="008135C3"/>
    <w:rsid w:val="0082597D"/>
    <w:rsid w:val="008B6AED"/>
    <w:rsid w:val="008D49CC"/>
    <w:rsid w:val="008F1889"/>
    <w:rsid w:val="009103FD"/>
    <w:rsid w:val="00940C14"/>
    <w:rsid w:val="00943AF7"/>
    <w:rsid w:val="00963E88"/>
    <w:rsid w:val="009C0CDE"/>
    <w:rsid w:val="00A01C19"/>
    <w:rsid w:val="00A16362"/>
    <w:rsid w:val="00A4650A"/>
    <w:rsid w:val="00A62710"/>
    <w:rsid w:val="00A638BB"/>
    <w:rsid w:val="00A703B1"/>
    <w:rsid w:val="00A833BA"/>
    <w:rsid w:val="00AF2ACD"/>
    <w:rsid w:val="00B67A19"/>
    <w:rsid w:val="00B70C9C"/>
    <w:rsid w:val="00BC4304"/>
    <w:rsid w:val="00BD3CE7"/>
    <w:rsid w:val="00C3165B"/>
    <w:rsid w:val="00C32C03"/>
    <w:rsid w:val="00C36473"/>
    <w:rsid w:val="00C6493E"/>
    <w:rsid w:val="00C8416E"/>
    <w:rsid w:val="00C95FED"/>
    <w:rsid w:val="00C97438"/>
    <w:rsid w:val="00D06826"/>
    <w:rsid w:val="00D34A6C"/>
    <w:rsid w:val="00D419EB"/>
    <w:rsid w:val="00D82762"/>
    <w:rsid w:val="00D905ED"/>
    <w:rsid w:val="00DD6E7E"/>
    <w:rsid w:val="00DF1128"/>
    <w:rsid w:val="00DF2692"/>
    <w:rsid w:val="00E16C73"/>
    <w:rsid w:val="00E92310"/>
    <w:rsid w:val="00EC59C4"/>
    <w:rsid w:val="00EE7568"/>
    <w:rsid w:val="00F11A58"/>
    <w:rsid w:val="00F27D9E"/>
    <w:rsid w:val="00F337B8"/>
    <w:rsid w:val="00F418F3"/>
    <w:rsid w:val="00F60DD9"/>
    <w:rsid w:val="00F80E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BC4304"/>
    <w:pPr>
      <w:widowControl w:val="0"/>
      <w:adjustRightInd w:val="0"/>
      <w:spacing w:line="360" w:lineRule="atLeast"/>
      <w:ind w:left="720"/>
      <w:contextualSpacing/>
      <w:jc w:val="both"/>
      <w:textAlignment w:val="baseline"/>
    </w:pPr>
    <w:rPr>
      <w:szCs w:val="24"/>
    </w:rPr>
  </w:style>
  <w:style w:type="character" w:styleId="CommentReference">
    <w:name w:val="annotation reference"/>
    <w:basedOn w:val="DefaultParagraphFont"/>
    <w:semiHidden/>
    <w:unhideWhenUsed/>
    <w:rsid w:val="001270C7"/>
    <w:rPr>
      <w:sz w:val="16"/>
      <w:szCs w:val="16"/>
    </w:rPr>
  </w:style>
  <w:style w:type="paragraph" w:styleId="CommentText">
    <w:name w:val="annotation text"/>
    <w:basedOn w:val="Normal"/>
    <w:link w:val="CommentTextChar"/>
    <w:semiHidden/>
    <w:unhideWhenUsed/>
    <w:rsid w:val="001270C7"/>
    <w:rPr>
      <w:sz w:val="20"/>
    </w:rPr>
  </w:style>
  <w:style w:type="character" w:customStyle="1" w:styleId="CommentTextChar">
    <w:name w:val="Comment Text Char"/>
    <w:basedOn w:val="DefaultParagraphFont"/>
    <w:link w:val="CommentText"/>
    <w:semiHidden/>
    <w:rsid w:val="001270C7"/>
    <w:rPr>
      <w:sz w:val="20"/>
    </w:rPr>
  </w:style>
  <w:style w:type="paragraph" w:styleId="CommentSubject">
    <w:name w:val="annotation subject"/>
    <w:basedOn w:val="CommentText"/>
    <w:next w:val="CommentText"/>
    <w:link w:val="CommentSubjectChar"/>
    <w:semiHidden/>
    <w:unhideWhenUsed/>
    <w:rsid w:val="001270C7"/>
    <w:rPr>
      <w:b/>
      <w:bCs/>
    </w:rPr>
  </w:style>
  <w:style w:type="character" w:customStyle="1" w:styleId="CommentSubjectChar">
    <w:name w:val="Comment Subject Char"/>
    <w:basedOn w:val="CommentTextChar"/>
    <w:link w:val="CommentSubject"/>
    <w:semiHidden/>
    <w:rsid w:val="001270C7"/>
    <w:rPr>
      <w:b/>
      <w:bCs/>
      <w:sz w:val="20"/>
    </w:rPr>
  </w:style>
  <w:style w:type="paragraph" w:styleId="BalloonText">
    <w:name w:val="Balloon Text"/>
    <w:basedOn w:val="Normal"/>
    <w:link w:val="BalloonTextChar"/>
    <w:semiHidden/>
    <w:unhideWhenUsed/>
    <w:rsid w:val="001270C7"/>
    <w:rPr>
      <w:rFonts w:ascii="Segoe UI" w:hAnsi="Segoe UI" w:cs="Segoe UI"/>
      <w:sz w:val="18"/>
      <w:szCs w:val="18"/>
    </w:rPr>
  </w:style>
  <w:style w:type="character" w:customStyle="1" w:styleId="BalloonTextChar">
    <w:name w:val="Balloon Text Char"/>
    <w:basedOn w:val="DefaultParagraphFont"/>
    <w:link w:val="BalloonText"/>
    <w:semiHidden/>
    <w:rsid w:val="001270C7"/>
    <w:rPr>
      <w:rFonts w:ascii="Segoe UI" w:hAnsi="Segoe UI" w:cs="Segoe UI"/>
      <w:sz w:val="18"/>
      <w:szCs w:val="18"/>
    </w:rPr>
  </w:style>
  <w:style w:type="character" w:styleId="Hyperlink">
    <w:name w:val="Hyperlink"/>
    <w:basedOn w:val="DefaultParagraphFont"/>
    <w:uiPriority w:val="99"/>
    <w:unhideWhenUsed/>
    <w:rsid w:val="00300275"/>
    <w:rPr>
      <w:color w:val="0000FF" w:themeColor="hyperlink"/>
      <w:u w:val="single"/>
    </w:rPr>
  </w:style>
  <w:style w:type="paragraph" w:customStyle="1" w:styleId="tajtip">
    <w:name w:val="tajtip"/>
    <w:basedOn w:val="Normal"/>
    <w:rsid w:val="00C97438"/>
    <w:pPr>
      <w:spacing w:after="150"/>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BC4304"/>
    <w:pPr>
      <w:widowControl w:val="0"/>
      <w:adjustRightInd w:val="0"/>
      <w:spacing w:line="360" w:lineRule="atLeast"/>
      <w:ind w:left="720"/>
      <w:contextualSpacing/>
      <w:jc w:val="both"/>
      <w:textAlignment w:val="baseline"/>
    </w:pPr>
    <w:rPr>
      <w:szCs w:val="24"/>
    </w:rPr>
  </w:style>
  <w:style w:type="character" w:styleId="CommentReference">
    <w:name w:val="annotation reference"/>
    <w:basedOn w:val="DefaultParagraphFont"/>
    <w:semiHidden/>
    <w:unhideWhenUsed/>
    <w:rsid w:val="001270C7"/>
    <w:rPr>
      <w:sz w:val="16"/>
      <w:szCs w:val="16"/>
    </w:rPr>
  </w:style>
  <w:style w:type="paragraph" w:styleId="CommentText">
    <w:name w:val="annotation text"/>
    <w:basedOn w:val="Normal"/>
    <w:link w:val="CommentTextChar"/>
    <w:semiHidden/>
    <w:unhideWhenUsed/>
    <w:rsid w:val="001270C7"/>
    <w:rPr>
      <w:sz w:val="20"/>
    </w:rPr>
  </w:style>
  <w:style w:type="character" w:customStyle="1" w:styleId="CommentTextChar">
    <w:name w:val="Comment Text Char"/>
    <w:basedOn w:val="DefaultParagraphFont"/>
    <w:link w:val="CommentText"/>
    <w:semiHidden/>
    <w:rsid w:val="001270C7"/>
    <w:rPr>
      <w:sz w:val="20"/>
    </w:rPr>
  </w:style>
  <w:style w:type="paragraph" w:styleId="CommentSubject">
    <w:name w:val="annotation subject"/>
    <w:basedOn w:val="CommentText"/>
    <w:next w:val="CommentText"/>
    <w:link w:val="CommentSubjectChar"/>
    <w:semiHidden/>
    <w:unhideWhenUsed/>
    <w:rsid w:val="001270C7"/>
    <w:rPr>
      <w:b/>
      <w:bCs/>
    </w:rPr>
  </w:style>
  <w:style w:type="character" w:customStyle="1" w:styleId="CommentSubjectChar">
    <w:name w:val="Comment Subject Char"/>
    <w:basedOn w:val="CommentTextChar"/>
    <w:link w:val="CommentSubject"/>
    <w:semiHidden/>
    <w:rsid w:val="001270C7"/>
    <w:rPr>
      <w:b/>
      <w:bCs/>
      <w:sz w:val="20"/>
    </w:rPr>
  </w:style>
  <w:style w:type="paragraph" w:styleId="BalloonText">
    <w:name w:val="Balloon Text"/>
    <w:basedOn w:val="Normal"/>
    <w:link w:val="BalloonTextChar"/>
    <w:semiHidden/>
    <w:unhideWhenUsed/>
    <w:rsid w:val="001270C7"/>
    <w:rPr>
      <w:rFonts w:ascii="Segoe UI" w:hAnsi="Segoe UI" w:cs="Segoe UI"/>
      <w:sz w:val="18"/>
      <w:szCs w:val="18"/>
    </w:rPr>
  </w:style>
  <w:style w:type="character" w:customStyle="1" w:styleId="BalloonTextChar">
    <w:name w:val="Balloon Text Char"/>
    <w:basedOn w:val="DefaultParagraphFont"/>
    <w:link w:val="BalloonText"/>
    <w:semiHidden/>
    <w:rsid w:val="001270C7"/>
    <w:rPr>
      <w:rFonts w:ascii="Segoe UI" w:hAnsi="Segoe UI" w:cs="Segoe UI"/>
      <w:sz w:val="18"/>
      <w:szCs w:val="18"/>
    </w:rPr>
  </w:style>
  <w:style w:type="character" w:styleId="Hyperlink">
    <w:name w:val="Hyperlink"/>
    <w:basedOn w:val="DefaultParagraphFont"/>
    <w:uiPriority w:val="99"/>
    <w:unhideWhenUsed/>
    <w:rsid w:val="00300275"/>
    <w:rPr>
      <w:color w:val="0000FF" w:themeColor="hyperlink"/>
      <w:u w:val="single"/>
    </w:rPr>
  </w:style>
  <w:style w:type="paragraph" w:customStyle="1" w:styleId="tajtip">
    <w:name w:val="tajtip"/>
    <w:basedOn w:val="Normal"/>
    <w:rsid w:val="00C97438"/>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40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4C5CADE-108F-4A5C-B087-2512AB64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2555</Words>
  <Characters>1457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VKS</Company>
  <LinksUpToDate>false</LinksUpToDate>
  <CharactersWithSpaces>4004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idzemyda</dc:creator>
  <cp:lastModifiedBy>Nerijus Mocevičius</cp:lastModifiedBy>
  <cp:revision>10</cp:revision>
  <cp:lastPrinted>2018-03-30T12:28:00Z</cp:lastPrinted>
  <dcterms:created xsi:type="dcterms:W3CDTF">2018-04-03T08:55:00Z</dcterms:created>
  <dcterms:modified xsi:type="dcterms:W3CDTF">2018-04-05T08:32:00Z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