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7D17" w14:textId="77777777" w:rsidR="00655494" w:rsidRPr="00655494" w:rsidRDefault="00655494" w:rsidP="0063721C">
      <w:pPr>
        <w:spacing w:after="0" w:line="240" w:lineRule="auto"/>
        <w:ind w:left="779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55494">
        <w:rPr>
          <w:rFonts w:ascii="Times New Roman" w:eastAsia="Calibri" w:hAnsi="Times New Roman" w:cs="Times New Roman"/>
          <w:sz w:val="24"/>
          <w:szCs w:val="24"/>
        </w:rPr>
        <w:t>2014–2020 metų Europos Sąj</w:t>
      </w:r>
      <w:r w:rsidR="00726872">
        <w:rPr>
          <w:rFonts w:ascii="Times New Roman" w:eastAsia="Calibri" w:hAnsi="Times New Roman" w:cs="Times New Roman"/>
          <w:sz w:val="24"/>
          <w:szCs w:val="24"/>
        </w:rPr>
        <w:t xml:space="preserve">ungos fondų investicijų veiksmų </w:t>
      </w:r>
      <w:r w:rsidRPr="00655494">
        <w:rPr>
          <w:rFonts w:ascii="Times New Roman" w:eastAsia="Calibri" w:hAnsi="Times New Roman" w:cs="Times New Roman"/>
          <w:sz w:val="24"/>
          <w:szCs w:val="24"/>
        </w:rPr>
        <w:t>programos</w:t>
      </w:r>
      <w:r w:rsidR="00726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FF">
        <w:rPr>
          <w:rFonts w:ascii="Times New Roman" w:eastAsia="Calibri" w:hAnsi="Times New Roman" w:cs="Times New Roman"/>
          <w:sz w:val="24"/>
          <w:szCs w:val="24"/>
        </w:rPr>
        <w:t>9</w:t>
      </w:r>
      <w:r w:rsidRPr="00655494">
        <w:rPr>
          <w:rFonts w:ascii="Times New Roman" w:eastAsia="Calibri" w:hAnsi="Times New Roman" w:cs="Times New Roman"/>
          <w:sz w:val="24"/>
          <w:szCs w:val="24"/>
        </w:rPr>
        <w:t xml:space="preserve"> prioriteto „</w:t>
      </w:r>
      <w:r w:rsidR="00AB66FF" w:rsidRPr="00AB66FF">
        <w:rPr>
          <w:rFonts w:ascii="Times New Roman" w:eastAsia="Calibri" w:hAnsi="Times New Roman" w:cs="Times New Roman"/>
          <w:sz w:val="24"/>
          <w:szCs w:val="24"/>
        </w:rPr>
        <w:t>Visuomenės švietimas ir žmogiškųjų išteklių potencialo didinimas</w:t>
      </w:r>
      <w:r w:rsidRPr="00655494">
        <w:rPr>
          <w:rFonts w:ascii="Times New Roman" w:eastAsia="Calibri" w:hAnsi="Times New Roman" w:cs="Times New Roman"/>
          <w:sz w:val="24"/>
          <w:szCs w:val="24"/>
        </w:rPr>
        <w:t>“</w:t>
      </w:r>
      <w:r w:rsidR="00AC1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FF" w:rsidRPr="00AB66FF">
        <w:rPr>
          <w:rFonts w:ascii="Times New Roman" w:eastAsia="Calibri" w:hAnsi="Times New Roman" w:cs="Times New Roman"/>
          <w:sz w:val="24"/>
          <w:szCs w:val="24"/>
        </w:rPr>
        <w:t xml:space="preserve">09.1.3-CPVA-K-723 priemonės „Nevalstybinių neformaliojo švietimo erdvių, valstybinių ir nevalstybinių mokyklų modernizavimas“ </w:t>
      </w:r>
      <w:r w:rsidRPr="00655494">
        <w:rPr>
          <w:rFonts w:ascii="Times New Roman" w:eastAsia="Calibri" w:hAnsi="Times New Roman" w:cs="Times New Roman"/>
          <w:sz w:val="24"/>
          <w:szCs w:val="24"/>
        </w:rPr>
        <w:t>projektų</w:t>
      </w:r>
      <w:r w:rsidR="00916F0B">
        <w:rPr>
          <w:rFonts w:ascii="Times New Roman" w:eastAsia="Calibri" w:hAnsi="Times New Roman" w:cs="Times New Roman"/>
          <w:sz w:val="24"/>
          <w:szCs w:val="24"/>
        </w:rPr>
        <w:t xml:space="preserve"> finansavimo sąlygų aprašo</w:t>
      </w:r>
    </w:p>
    <w:p w14:paraId="6016B737" w14:textId="24696C9D" w:rsidR="00655494" w:rsidRPr="00655494" w:rsidRDefault="00FC315C" w:rsidP="0063721C">
      <w:pPr>
        <w:spacing w:after="0" w:line="240" w:lineRule="auto"/>
        <w:ind w:left="7797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="00655494" w:rsidRPr="00655494">
        <w:rPr>
          <w:rFonts w:ascii="Times New Roman" w:eastAsia="Calibri" w:hAnsi="Times New Roman" w:cs="Times New Roman"/>
          <w:sz w:val="24"/>
        </w:rPr>
        <w:t xml:space="preserve"> priedas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655494" w:rsidRPr="00655494" w14:paraId="37821AA8" w14:textId="77777777" w:rsidTr="000265C2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14:paraId="627FAD58" w14:textId="77777777" w:rsidR="00655494" w:rsidRPr="00655494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5729E62E" w14:textId="77777777" w:rsidR="00655494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655494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PROJEKTO Naudos ir kokybės vertinimo LENTELĖ</w:t>
            </w:r>
          </w:p>
          <w:p w14:paraId="07E6BAD6" w14:textId="23A0B92C" w:rsidR="004927AF" w:rsidRPr="00655494" w:rsidRDefault="004927AF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(taikoma kai paraiška teikiama pagal veiklą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</w:t>
            </w:r>
            <w:r w:rsidRPr="00492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lstybinių ir nevalstybinių mokyklų pastatų ir mokymosi aplinkos modernizavimas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ir pareiškėjas yra nevalstybinė bendrojo ugdymo mokykla)</w:t>
            </w:r>
          </w:p>
          <w:p w14:paraId="7D704B0C" w14:textId="77777777" w:rsidR="00655494" w:rsidRPr="00655494" w:rsidRDefault="00655494" w:rsidP="0065549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15"/>
            </w:tblGrid>
            <w:tr w:rsidR="00655494" w:rsidRPr="00655494" w14:paraId="77735E09" w14:textId="77777777" w:rsidTr="000265C2">
              <w:tc>
                <w:tcPr>
                  <w:tcW w:w="3856" w:type="dxa"/>
                  <w:shd w:val="clear" w:color="auto" w:fill="auto"/>
                </w:tcPr>
                <w:p w14:paraId="57FC117B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7C377AEA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14:paraId="17707152" w14:textId="77777777" w:rsidTr="000265C2">
              <w:tc>
                <w:tcPr>
                  <w:tcW w:w="3856" w:type="dxa"/>
                  <w:shd w:val="clear" w:color="auto" w:fill="auto"/>
                </w:tcPr>
                <w:p w14:paraId="1FEB895D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2A0185A2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14:paraId="14972B0C" w14:textId="77777777" w:rsidTr="000265C2">
              <w:tc>
                <w:tcPr>
                  <w:tcW w:w="3856" w:type="dxa"/>
                  <w:shd w:val="clear" w:color="auto" w:fill="auto"/>
                </w:tcPr>
                <w:p w14:paraId="4FB8059E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61BC6C64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14:paraId="07BB31C3" w14:textId="77777777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14:paraId="065B225C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Projektą planuojama įgyvendinti: </w:t>
                  </w: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Pažymima projekto naudos ir kokybės vertinimo metu.</w:t>
                  </w:r>
                </w:p>
                <w:p w14:paraId="7141E355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su partneriu (-</w:t>
                  </w:r>
                  <w:proofErr w:type="spellStart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iais</w:t>
                  </w:r>
                  <w:proofErr w:type="spellEnd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)              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be partnerio (-</w:t>
                  </w:r>
                  <w:proofErr w:type="spellStart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ių</w:t>
                  </w:r>
                  <w:proofErr w:type="spellEnd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)</w:t>
                  </w:r>
                </w:p>
              </w:tc>
            </w:tr>
            <w:tr w:rsidR="00655494" w:rsidRPr="00655494" w14:paraId="76CE7E58" w14:textId="77777777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14:paraId="3370BF50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07681FC1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PIRMINĖ               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PATIKSLINTA</w:t>
                  </w:r>
                </w:p>
                <w:p w14:paraId="4096F1BA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  <w:t>(Žymima „Patikslinta“ tais atvejais, kai ši lentelė tikslinama po to, kai paraiška grąžinama pakartotiniam vertinimui.)</w:t>
                  </w:r>
                </w:p>
                <w:p w14:paraId="79C43266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Pildoma projekto naudos ir kokybės vertinimo metu.</w:t>
                  </w:r>
                </w:p>
              </w:tc>
            </w:tr>
          </w:tbl>
          <w:p w14:paraId="6AD1E995" w14:textId="77777777" w:rsidR="00655494" w:rsidRDefault="00655494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FADD76" w14:textId="77777777" w:rsidR="006C7CA2" w:rsidRPr="00655494" w:rsidRDefault="006C7CA2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14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6271"/>
              <w:gridCol w:w="1984"/>
              <w:gridCol w:w="1701"/>
              <w:gridCol w:w="1843"/>
            </w:tblGrid>
            <w:tr w:rsidR="00655494" w:rsidRPr="00655494" w14:paraId="76483502" w14:textId="77777777" w:rsidTr="000265C2">
              <w:trPr>
                <w:trHeight w:val="276"/>
              </w:trPr>
              <w:tc>
                <w:tcPr>
                  <w:tcW w:w="3006" w:type="dxa"/>
                  <w:vMerge w:val="restart"/>
                  <w:shd w:val="clear" w:color="auto" w:fill="auto"/>
                </w:tcPr>
                <w:p w14:paraId="600EB3BC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6271" w:type="dxa"/>
                  <w:vMerge w:val="restart"/>
                  <w:shd w:val="clear" w:color="auto" w:fill="auto"/>
                </w:tcPr>
                <w:p w14:paraId="2F121228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Kriterijaus vertinimo aspektai ir paaiškinimai </w:t>
                  </w:r>
                </w:p>
                <w:p w14:paraId="634F60B8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14:paraId="773E6B07" w14:textId="77777777" w:rsidR="00655494" w:rsidRPr="00E7512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E7512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14:paraId="309CD2DF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Vertinimo metu suteiktų balų skaičius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14:paraId="0B527B13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Komentarai</w:t>
                  </w:r>
                </w:p>
              </w:tc>
            </w:tr>
            <w:tr w:rsidR="008B3E40" w:rsidRPr="00655494" w14:paraId="37448ED4" w14:textId="77777777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14:paraId="4B2674E7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14:paraId="1D5FA068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14:paraId="78996B21" w14:textId="77777777" w:rsidR="008B3E40" w:rsidRPr="00E7512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30AFB76B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14:paraId="601C4309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5494" w:rsidRPr="00655494" w14:paraId="1C684E74" w14:textId="77777777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14:paraId="5C283DB2" w14:textId="77777777" w:rsidR="00655494" w:rsidRPr="00655494" w:rsidRDefault="00655494" w:rsidP="0065549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14:paraId="0ED3B7F9" w14:textId="77777777"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14:paraId="6B458AEB" w14:textId="77777777" w:rsidR="00655494" w:rsidRPr="00E7512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65EF53CD" w14:textId="77777777"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14:paraId="296ED82F" w14:textId="77777777"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8B3E40" w:rsidRPr="00655494" w14:paraId="669E75DC" w14:textId="77777777" w:rsidTr="00082597">
              <w:tc>
                <w:tcPr>
                  <w:tcW w:w="3006" w:type="dxa"/>
                  <w:shd w:val="clear" w:color="auto" w:fill="auto"/>
                </w:tcPr>
                <w:p w14:paraId="689687A3" w14:textId="77777777" w:rsidR="008B3E40" w:rsidRDefault="008B3E40" w:rsidP="00AB66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1. </w:t>
                  </w:r>
                  <w:r w:rsid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Mokinių skaičius mokykloje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71DE6DB3" w14:textId="0591347D" w:rsidR="00AB66FF" w:rsidRPr="00AB66FF" w:rsidRDefault="00AB66FF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Kriterijus taikomas veiklai „Valstybinių ir nevalstybinių mokyklų pastatų ir mokymosi aplinkos modernizavimas“ projekto vertinimo metu. Kriterijus taikomas nevalstybinėms bendrosioms bendrojo ugdymo mokykloms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</w:t>
                  </w: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vertinant projektus dėl mokyklų pastatų ir edukacinių erdvių modernizavimo. Vertinama, ar mokyklos mokinių skaičius einamųjų mokslo metų rugsėjo 1 d. be mokinių skyriuose ir filialuose, turimuose kitose vietovėse, atitinka bent vieną iš šio projektų atrankos kriterijaus </w:t>
                  </w: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vertinimo</w:t>
                  </w:r>
                  <w:r w:rsidR="00BF7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</w:t>
                  </w:r>
                  <w:r w:rsidR="00BF7442" w:rsidRPr="00BF74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vadovaujantis Švietimo valdymo informacinėje sistemoje (http://www.svis.smm.lt/) pateikiamais duomenimis</w:t>
                  </w: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:</w:t>
                  </w:r>
                </w:p>
                <w:p w14:paraId="4420A583" w14:textId="17225DA7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714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evalstybinei bendrajai bendrojo ugdymo mokyklai </w:t>
                  </w:r>
                  <w:r w:rsidR="00232F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skiriama 20 balų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jei: </w:t>
                  </w:r>
                </w:p>
                <w:p w14:paraId="337A6F34" w14:textId="1C334736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.1. progimnazijos tipo mokykloje, kai yra 1-8 klasės, mokosi 80–100 mokinių, kai yra 5-8 klasės, mokosi 40–50 mokinių; </w:t>
                  </w:r>
                </w:p>
                <w:p w14:paraId="7B08E4D8" w14:textId="763FA35A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.2. pagrindinės mokyklos tipo mokykloje mokinių skaičius, kai yra 1-10 klasės, mokosi 100–120 mokinių, kai yra 5-10 klasės, mokosi 60–75 mokiniai; </w:t>
                  </w:r>
                </w:p>
                <w:p w14:paraId="1F403333" w14:textId="44FF1272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.3. gimnazijos tipo mokykloje mokinių skaičius, kai yra 1-8 ir gimnazijos I-IV klasės, mokosi 120–150 mokinių, kai yra 5-8 ir I-IV gimnazijos klasės, mokosi 80–100 mokinių</w:t>
                  </w:r>
                  <w:r w:rsidR="001C66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;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7CF8E166" w14:textId="1C6F91C2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A317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evalstybinei bendrajai bendrojo ugdymo mokyklai </w:t>
                  </w:r>
                  <w:r w:rsidR="00232F79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skiriama </w:t>
                  </w:r>
                  <w:r w:rsidR="00232F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40 balų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jei: </w:t>
                  </w:r>
                </w:p>
                <w:p w14:paraId="72EBF6E5" w14:textId="703C3DD4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.1. progimnazijos tipo mokykloje, kurioje yra 1-8 klasės, mokosi daugiau kaip 100 mokinių, kai yra 5-8 klasės, mokosi daugiau kaip 50 mokinių; </w:t>
                  </w:r>
                </w:p>
                <w:p w14:paraId="616B9E4F" w14:textId="3A36942A" w:rsidR="00AB66FF" w:rsidRPr="00AB66FF" w:rsidRDefault="00031DC8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.2. pagrindinės mokyklos tipo mokykloje, kurioje yra 1-10 klasės, mokosi daugiau kaip 120 mokinių, kurioje yra 5-10 klasės, mokosi daugiau kaip  75 mokiniai; </w:t>
                  </w:r>
                </w:p>
                <w:p w14:paraId="78A524EC" w14:textId="5ADEDFBB" w:rsidR="008B3E40" w:rsidRPr="00206650" w:rsidRDefault="00031DC8" w:rsidP="004927A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.3. gimnazijos tipo mokykloje, kurioje yra 1-8 ir I-IV gimnazijos klasės, mokosi daugiau kaip 150 mokinių, kurioje yra 5-8 ir I-IV gimnazijos klasės, mokosi daugiau kaip 100 mokinių.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28664F9" w14:textId="77777777" w:rsidR="008B3E40" w:rsidRPr="002C43B9" w:rsidRDefault="005A6358" w:rsidP="000825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caps/>
                      <w:sz w:val="24"/>
                      <w:szCs w:val="24"/>
                      <w:highlight w:val="yellow"/>
                    </w:rPr>
                  </w:pPr>
                  <w:r w:rsidRPr="005A6358">
                    <w:rPr>
                      <w:rFonts w:ascii="Times New Roman" w:eastAsia="Calibri" w:hAnsi="Times New Roman" w:cs="Times New Roman"/>
                      <w:bCs/>
                      <w:caps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8DC8C62" w14:textId="77777777" w:rsidR="008B3E40" w:rsidRPr="00655494" w:rsidRDefault="008B3E40" w:rsidP="000825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002630B" w14:textId="77777777" w:rsidR="008B3E40" w:rsidRPr="00655494" w:rsidRDefault="008B3E40" w:rsidP="000825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B3E40" w:rsidRPr="00655494" w14:paraId="27E2F57C" w14:textId="77777777" w:rsidTr="000265C2">
              <w:tc>
                <w:tcPr>
                  <w:tcW w:w="3006" w:type="dxa"/>
                  <w:shd w:val="clear" w:color="auto" w:fill="auto"/>
                </w:tcPr>
                <w:p w14:paraId="68F6953B" w14:textId="1CB72C6F" w:rsidR="008B3E40" w:rsidRPr="00080BC7" w:rsidRDefault="00527BF8" w:rsidP="008B3E4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2</w:t>
                  </w:r>
                  <w:r w:rsidR="008B3E40"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.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Investicijų paskirtis</w:t>
                  </w:r>
                </w:p>
                <w:p w14:paraId="56C7F1BE" w14:textId="77777777" w:rsidR="008B3E40" w:rsidRPr="00655494" w:rsidRDefault="008B3E40" w:rsidP="008B3E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6271" w:type="dxa"/>
                  <w:shd w:val="clear" w:color="auto" w:fill="auto"/>
                </w:tcPr>
                <w:p w14:paraId="4F91E2C9" w14:textId="15DD0820" w:rsidR="00AB66FF" w:rsidRPr="00AB66FF" w:rsidRDefault="00AB66FF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Kriterijus taikomas veikl</w:t>
                  </w:r>
                  <w:r w:rsidR="00492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</w:t>
                  </w: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„Valstybinių ir nevalstybinių mokyklų pastatų ir mokymosi aplinkos modernizavimas“. </w:t>
                  </w:r>
                </w:p>
                <w:p w14:paraId="2AB60DEA" w14:textId="0924C047" w:rsidR="00AB66FF" w:rsidRPr="00AB66FF" w:rsidRDefault="003F3DA5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.1. 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balų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skiriama projektui, kurį įgyvendinant mokymosi aplinka bus modernizuojama neatliekant pastato (ar jo dalies) kapitalinio, paprastojo remonto ar rekonstravimo, o įsigyjant mokymo priemones bei įrangą, mokymo(</w:t>
                  </w:r>
                  <w:proofErr w:type="spellStart"/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aplinka šiuolaikinėms ugdymo organizavimo galimybėms bus pritaikyta atlikus tik specialiuosius statybos darbus, kurių reikės įrangos eksploatacijai.</w:t>
                  </w:r>
                </w:p>
                <w:p w14:paraId="25409C22" w14:textId="73A12C13" w:rsidR="00AB66FF" w:rsidRPr="00AB66FF" w:rsidRDefault="003F3DA5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.2. 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9D6053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skiriama projektui, kurį įgyvendinant mokyklos pastatui (ar jo daliai), kuriame modernizuojama mokymosi aplinka, reikės atlikti paprastąjį remontą bei įsigyti mokymo priemonės ir įrangą.</w:t>
                  </w:r>
                </w:p>
                <w:p w14:paraId="3AB27AD3" w14:textId="28DE4F9E" w:rsidR="008B3E40" w:rsidRPr="00080BC7" w:rsidRDefault="003F3DA5" w:rsidP="009D605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.3. 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9D6053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skiriama projektui, kurį įgyvendinant pastatui (ar jo daliai), kuriame modernizuojama mokymosi aplinka, reikės atlikti kapitalinį remontą ar rekonstravimą bei įsigyti mokymo priemones bei įrangą.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1ECC83" w14:textId="77777777" w:rsidR="008B3E40" w:rsidRPr="00E75124" w:rsidRDefault="005A6358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498B1F3" w14:textId="77777777" w:rsidR="008B3E40" w:rsidRPr="00655494" w:rsidRDefault="008B3E4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0EFBAEE" w14:textId="77777777" w:rsidR="008B3E40" w:rsidRPr="00655494" w:rsidRDefault="008B3E4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27BF8" w:rsidRPr="00655494" w14:paraId="04A0BBBB" w14:textId="77777777" w:rsidTr="000265C2">
              <w:tc>
                <w:tcPr>
                  <w:tcW w:w="3006" w:type="dxa"/>
                  <w:shd w:val="clear" w:color="auto" w:fill="auto"/>
                </w:tcPr>
                <w:p w14:paraId="1F460A00" w14:textId="07FC0771" w:rsidR="00527BF8" w:rsidRPr="00080BC7" w:rsidRDefault="00527BF8" w:rsidP="00527BF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3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.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Mokinių skaičiaus pokyčiai mokykloje per paskutinius trejus mokslo metus</w:t>
                  </w:r>
                  <w:r w:rsidRPr="00080B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)</w:t>
                  </w:r>
                </w:p>
                <w:p w14:paraId="3ACBF5F4" w14:textId="77777777" w:rsidR="00527BF8" w:rsidRDefault="00527BF8" w:rsidP="00527BF8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shd w:val="clear" w:color="auto" w:fill="auto"/>
                </w:tcPr>
                <w:p w14:paraId="5CFA7791" w14:textId="77777777" w:rsidR="00527BF8" w:rsidRPr="00AB66FF" w:rsidRDefault="00527BF8" w:rsidP="00527BF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Kriterijus taikomas veiklai „Valstybinių ir nevalstybinių mokyklų pastatų ir mokymosi aplinkos modernizavimas“ projekto vertinimo metu. Kriterijus taikomas nevalstybinėms bendrosioms bendrojo ugdymo mokykloms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,</w:t>
                  </w:r>
                  <w:r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vertinant projektus dėl mokyklų pastatų ir edukacinių erdvių modernizavimo. Vertinama, ar paskutinius trejus mokslo metus arba nuo mokyklos veiklos pradžios, jeigu mokykla veikia mažiau kaip </w:t>
                  </w:r>
                  <w:r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>trejus mokslo metus, skaičiuojant nuo einamųjų mokslo metų (imtinai), rugsėjo 1 d., be mokinių skyriuose ir filialuose, turimuose kitose vietovėse, atitinka bent vieną iš šio projektų atrankos kriterijaus vertinimo aspektų:</w:t>
                  </w:r>
                </w:p>
                <w:p w14:paraId="0FC9E027" w14:textId="56C53E8D" w:rsidR="00527BF8" w:rsidRPr="00AB66FF" w:rsidRDefault="003F3DA5" w:rsidP="00527BF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3</w:t>
                  </w:r>
                  <w:r w:rsidR="00527BF8"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.1. </w:t>
                  </w:r>
                  <w:r w:rsidR="0076046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n</w:t>
                  </w:r>
                  <w:r w:rsidR="00527BF8"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evalstybinei bendrojo ugdymo mokyklai </w:t>
                  </w:r>
                  <w:r w:rsidR="00527B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skiriama 10 balų</w:t>
                  </w:r>
                  <w:r w:rsidR="00527BF8"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, jei bendras mokinių, besimokančių  pagal bendrojo ugdymo programas, skaičius per paskutinius mokslo metus, skaičiuojant rugsėjo 1 d. nuo einamųjų mokslo metų (imtinai), yra toks pats arba ne daugiau kaip 5 proc. mažesnis, negu prieš dvejus metus rugsėjo 1 d.</w:t>
                  </w:r>
                  <w:r w:rsidR="00527B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, </w:t>
                  </w:r>
                  <w:r w:rsidR="00527BF8" w:rsidRPr="00BF744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vadovaujantis Švietimo valdymo informacinėje sistemoje (http://www.svis.smm.lt/) pateikiamais duomenimis</w:t>
                  </w:r>
                  <w:r w:rsidR="00AA0AF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3DA7688F" w14:textId="46BCC9E4" w:rsidR="00527BF8" w:rsidRPr="00AB66FF" w:rsidRDefault="003F3DA5" w:rsidP="00527BF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3</w:t>
                  </w:r>
                  <w:r w:rsidR="00527BF8"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.2. </w:t>
                  </w:r>
                  <w:r w:rsidR="00AA0AF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n</w:t>
                  </w:r>
                  <w:r w:rsidR="00527BF8"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evalstybinei bendrojo ugdymo mokyklai </w:t>
                  </w:r>
                  <w:r w:rsidR="00527B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skiriama 20 balų</w:t>
                  </w:r>
                  <w:r w:rsidR="00527BF8" w:rsidRPr="00AB66F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, jei bendras mokinių, besimokančių pagal bendrojo ugdymo programas, skaičius, skaičiuojant rugsėjo 1 d. nuo einamųjų mokslo metų (imtinai), yra didesnis negu prieš dvejus metus rugsėjo 1 d.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630466" w14:textId="4208C33E" w:rsidR="00527BF8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caps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3AC9DB7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02B3519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27BF8" w:rsidRPr="00655494" w14:paraId="0380978E" w14:textId="77777777" w:rsidTr="000265C2">
              <w:tc>
                <w:tcPr>
                  <w:tcW w:w="3006" w:type="dxa"/>
                  <w:shd w:val="clear" w:color="auto" w:fill="auto"/>
                </w:tcPr>
                <w:p w14:paraId="48F0524A" w14:textId="0AF07570" w:rsidR="00527BF8" w:rsidRPr="00655494" w:rsidRDefault="00527BF8" w:rsidP="003F3D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4</w:t>
                  </w:r>
                  <w:r w:rsidRPr="00655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.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Nevalstybinės mokyklos savininko (dalyvių susirinkimo) nuosavo įnašo dydis įgyvendinant projektą (ne mažesnis, kaip 15 proc. projekto vertės).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4691BC38" w14:textId="1FF4A5EB" w:rsidR="00527BF8" w:rsidRPr="00AB66FF" w:rsidRDefault="00527BF8" w:rsidP="00527BF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Kriterijus taikomas veikl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ai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„Valstybinių ir nevalstybinių mokyklų pastatų ir mokymosi aplinkos modernizavimas“. Kriterijus taikomas nevalstybinėms bendrojo ugdymo mokykloms vertinant projektus dėl mokyklų ar nevalstybinės neformaliojo vaikų švietimo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teikėjo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pastatų ir edukacinių erdvių modernizavimo. Vertinamas nevalstybinės mokyklos  savininko (dalyvių susirinkimo) nuosavo įnašo dydis įgyvendinant projektą, kuris yra privalomas, turi būti ne mažesnis, kaip 15 proc.</w:t>
                  </w:r>
                </w:p>
                <w:p w14:paraId="5FEE9A4A" w14:textId="45EDD5F5" w:rsidR="00527BF8" w:rsidRDefault="00527BF8" w:rsidP="00527BF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Nevalstybinėms mokykloms balai skiriami reitinguojant jas pagal paties pareiškėjo projekto įgyvendinimui skiriamo įnašo dydį  – kuo didesnė nuosavo įnašo dalis, tuo didesnis balas skiriamas.</w:t>
                  </w:r>
                </w:p>
                <w:p w14:paraId="5FA202F0" w14:textId="77777777" w:rsidR="00527BF8" w:rsidRPr="00080BC7" w:rsidRDefault="00527BF8" w:rsidP="00527BF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 procentų projektų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pareiškėjų 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(apvalinama iki sveiko skaičiaus, gavus rezultatą su skaičiumi „5“ po kablelio, apvalinama iki didesnio sveiko skaičiaus),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kurių </w:t>
                  </w:r>
                  <w:r w:rsidRPr="006513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projekto įgyvendinimui skiriam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 įnašas didžiausias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vertinami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balų. Į kiekvieną kitą 20 procentų intervalą patenkantys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projekto įgyvendinimui skiriantys mažesnį įnašą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pareiškėjai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vertinami suteikiant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balais mažesnį įvertinimą.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57AD44" w14:textId="77777777" w:rsidR="00527BF8" w:rsidRPr="00E7512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F9F021C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220E867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27BF8" w:rsidRPr="00655494" w14:paraId="352C6A58" w14:textId="77777777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14:paraId="1AA450DB" w14:textId="77777777" w:rsidR="00527BF8" w:rsidRPr="00655494" w:rsidRDefault="00527BF8" w:rsidP="00527BF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CBE9423" w14:textId="77777777" w:rsidR="00527BF8" w:rsidRPr="005A6358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5A6358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645CD7F" w14:textId="77777777" w:rsidR="00527BF8" w:rsidRPr="00655494" w:rsidRDefault="00527BF8" w:rsidP="00527BF8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14:paraId="5EE93F40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527BF8" w:rsidRPr="00655494" w14:paraId="226F3162" w14:textId="77777777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14:paraId="03F8819F" w14:textId="77777777" w:rsidR="00527BF8" w:rsidRPr="00655494" w:rsidRDefault="00527BF8" w:rsidP="00527BF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F916775" w14:textId="77777777" w:rsidR="00527BF8" w:rsidRPr="005A6358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5A6358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83AE446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14:paraId="46541324" w14:textId="77777777" w:rsidR="00527BF8" w:rsidRPr="00655494" w:rsidRDefault="00527BF8" w:rsidP="00527BF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14:paraId="1EC64642" w14:textId="77777777" w:rsidR="00655494" w:rsidRPr="00655494" w:rsidRDefault="00655494" w:rsidP="0065549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14:paraId="15458037" w14:textId="77777777" w:rsidR="00655494" w:rsidRPr="00655494" w:rsidRDefault="00655494" w:rsidP="00655494">
      <w:pPr>
        <w:tabs>
          <w:tab w:val="left" w:pos="9639"/>
        </w:tabs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26548803" w14:textId="77777777" w:rsidR="00655494" w:rsidRPr="00655494" w:rsidRDefault="00655494" w:rsidP="00A77DAE">
      <w:pPr>
        <w:tabs>
          <w:tab w:val="left" w:pos="9639"/>
        </w:tabs>
        <w:spacing w:after="0" w:line="240" w:lineRule="auto"/>
        <w:ind w:left="425"/>
        <w:jc w:val="both"/>
        <w:rPr>
          <w:rFonts w:ascii="Times New Roman" w:eastAsia="Calibri" w:hAnsi="Times New Roman" w:cs="Times New Roman"/>
        </w:rPr>
      </w:pPr>
      <w:r w:rsidRPr="00655494">
        <w:rPr>
          <w:rFonts w:ascii="Times New Roman" w:eastAsia="Calibri" w:hAnsi="Times New Roman" w:cs="Times New Roman"/>
        </w:rPr>
        <w:t>____________________________________</w:t>
      </w:r>
      <w:r w:rsidR="00E55836">
        <w:rPr>
          <w:rFonts w:ascii="Times New Roman" w:eastAsia="Calibri" w:hAnsi="Times New Roman" w:cs="Times New Roman"/>
        </w:rPr>
        <w:t>______________________________</w:t>
      </w:r>
      <w:r w:rsidRPr="00655494">
        <w:rPr>
          <w:rFonts w:ascii="Times New Roman" w:eastAsia="Calibri" w:hAnsi="Times New Roman" w:cs="Times New Roman"/>
        </w:rPr>
        <w:t xml:space="preserve">       </w:t>
      </w:r>
      <w:r w:rsidR="00E55836">
        <w:rPr>
          <w:rFonts w:ascii="Times New Roman" w:eastAsia="Calibri" w:hAnsi="Times New Roman" w:cs="Times New Roman"/>
        </w:rPr>
        <w:t xml:space="preserve"> </w:t>
      </w:r>
      <w:r w:rsidRPr="00655494">
        <w:rPr>
          <w:rFonts w:ascii="Times New Roman" w:eastAsia="Calibri" w:hAnsi="Times New Roman" w:cs="Times New Roman"/>
        </w:rPr>
        <w:t xml:space="preserve">_________ </w:t>
      </w:r>
      <w:r w:rsidR="00E55836">
        <w:rPr>
          <w:rFonts w:ascii="Times New Roman" w:eastAsia="Calibri" w:hAnsi="Times New Roman" w:cs="Times New Roman"/>
        </w:rPr>
        <w:t xml:space="preserve"> </w:t>
      </w:r>
      <w:r w:rsidR="00915FF5">
        <w:rPr>
          <w:rFonts w:ascii="Times New Roman" w:eastAsia="Calibri" w:hAnsi="Times New Roman" w:cs="Times New Roman"/>
        </w:rPr>
        <w:t xml:space="preserve">          </w:t>
      </w:r>
      <w:r w:rsidRPr="00655494">
        <w:rPr>
          <w:rFonts w:ascii="Times New Roman" w:eastAsia="Calibri" w:hAnsi="Times New Roman" w:cs="Times New Roman"/>
        </w:rPr>
        <w:t>___________________________</w:t>
      </w:r>
      <w:r w:rsidR="00E55836">
        <w:rPr>
          <w:rFonts w:ascii="Times New Roman" w:eastAsia="Calibri" w:hAnsi="Times New Roman" w:cs="Times New Roman"/>
        </w:rPr>
        <w:t>____________________</w:t>
      </w:r>
    </w:p>
    <w:p w14:paraId="13F2A040" w14:textId="378411EC" w:rsidR="00C533E7" w:rsidRDefault="00655494" w:rsidP="00A77DAE">
      <w:pPr>
        <w:tabs>
          <w:tab w:val="center" w:pos="10800"/>
        </w:tabs>
        <w:spacing w:after="0" w:line="240" w:lineRule="auto"/>
        <w:ind w:left="425"/>
        <w:jc w:val="both"/>
      </w:pPr>
      <w:r w:rsidRPr="00655494">
        <w:rPr>
          <w:rFonts w:ascii="Times New Roman" w:eastAsia="Calibri" w:hAnsi="Times New Roman" w:cs="Times New Roman"/>
        </w:rPr>
        <w:lastRenderedPageBreak/>
        <w:t xml:space="preserve">(paraiškos vertinimą atlikusios institucijos atsakingo asmens pareigų pavadinimas)           (data) </w:t>
      </w:r>
      <w:r w:rsidRPr="00655494">
        <w:rPr>
          <w:rFonts w:ascii="Times New Roman" w:eastAsia="Calibri" w:hAnsi="Times New Roman" w:cs="Times New Roman"/>
        </w:rPr>
        <w:tab/>
        <w:t xml:space="preserve">        </w:t>
      </w:r>
      <w:r>
        <w:rPr>
          <w:rFonts w:ascii="Times New Roman" w:eastAsia="Calibri" w:hAnsi="Times New Roman" w:cs="Times New Roman"/>
        </w:rPr>
        <w:t xml:space="preserve">        </w:t>
      </w:r>
      <w:r w:rsidRPr="00655494">
        <w:rPr>
          <w:rFonts w:ascii="Times New Roman" w:eastAsia="Calibri" w:hAnsi="Times New Roman" w:cs="Times New Roman"/>
        </w:rPr>
        <w:t>(vardas ir pavardė, parašas</w:t>
      </w:r>
      <w:r>
        <w:rPr>
          <w:rFonts w:ascii="Times New Roman" w:eastAsia="Calibri" w:hAnsi="Times New Roman" w:cs="Times New Roman"/>
        </w:rPr>
        <w:t xml:space="preserve">, jei pildoma popierinė </w:t>
      </w:r>
      <w:r w:rsidRPr="00655494">
        <w:rPr>
          <w:rFonts w:ascii="Times New Roman" w:eastAsia="Calibri" w:hAnsi="Times New Roman" w:cs="Times New Roman"/>
        </w:rPr>
        <w:t>versija</w:t>
      </w:r>
      <w:r>
        <w:rPr>
          <w:rFonts w:ascii="Times New Roman" w:eastAsia="Calibri" w:hAnsi="Times New Roman" w:cs="Times New Roman"/>
        </w:rPr>
        <w:t>)</w:t>
      </w:r>
    </w:p>
    <w:p w14:paraId="674D0DA2" w14:textId="77777777" w:rsidR="00C533E7" w:rsidRPr="00C533E7" w:rsidRDefault="00C533E7" w:rsidP="003F3DA5"/>
    <w:p w14:paraId="2C3CC44F" w14:textId="77777777" w:rsidR="00C533E7" w:rsidRPr="00C533E7" w:rsidRDefault="00C533E7" w:rsidP="003F3DA5"/>
    <w:p w14:paraId="706FC1A4" w14:textId="77777777" w:rsidR="00C533E7" w:rsidRPr="00C533E7" w:rsidRDefault="00C533E7" w:rsidP="003F3DA5"/>
    <w:p w14:paraId="60B0603A" w14:textId="0A649CEE" w:rsidR="00C533E7" w:rsidRDefault="00C533E7" w:rsidP="00C533E7"/>
    <w:p w14:paraId="50E4FCC0" w14:textId="7BC1249E" w:rsidR="00A9102F" w:rsidRPr="00C533E7" w:rsidRDefault="00C533E7" w:rsidP="003F3DA5">
      <w:pPr>
        <w:jc w:val="center"/>
      </w:pPr>
      <w:r>
        <w:t>__________________________</w:t>
      </w:r>
    </w:p>
    <w:sectPr w:rsidR="00A9102F" w:rsidRPr="00C533E7" w:rsidSect="00915FF5">
      <w:pgSz w:w="16838" w:h="11906" w:orient="landscape"/>
      <w:pgMar w:top="709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02DA"/>
    <w:multiLevelType w:val="hybridMultilevel"/>
    <w:tmpl w:val="73E2032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36CA3"/>
    <w:multiLevelType w:val="hybridMultilevel"/>
    <w:tmpl w:val="ED3EF3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1455"/>
    <w:multiLevelType w:val="hybridMultilevel"/>
    <w:tmpl w:val="B5806B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2C35"/>
    <w:multiLevelType w:val="hybridMultilevel"/>
    <w:tmpl w:val="2240547A"/>
    <w:lvl w:ilvl="0" w:tplc="5C2EACC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031DC8"/>
    <w:rsid w:val="0003341A"/>
    <w:rsid w:val="00080BC7"/>
    <w:rsid w:val="001922D2"/>
    <w:rsid w:val="001C6610"/>
    <w:rsid w:val="00206650"/>
    <w:rsid w:val="0020706D"/>
    <w:rsid w:val="00232F79"/>
    <w:rsid w:val="0023656C"/>
    <w:rsid w:val="00241FA5"/>
    <w:rsid w:val="00266AD6"/>
    <w:rsid w:val="00266D90"/>
    <w:rsid w:val="00275886"/>
    <w:rsid w:val="002B4EAC"/>
    <w:rsid w:val="002B635A"/>
    <w:rsid w:val="002C003F"/>
    <w:rsid w:val="002C43B9"/>
    <w:rsid w:val="00310427"/>
    <w:rsid w:val="00321C14"/>
    <w:rsid w:val="00334E26"/>
    <w:rsid w:val="00385ADC"/>
    <w:rsid w:val="003B782C"/>
    <w:rsid w:val="003F3DA5"/>
    <w:rsid w:val="00452CD1"/>
    <w:rsid w:val="0045337D"/>
    <w:rsid w:val="0047430A"/>
    <w:rsid w:val="00484138"/>
    <w:rsid w:val="004927AF"/>
    <w:rsid w:val="004E3EEC"/>
    <w:rsid w:val="00516775"/>
    <w:rsid w:val="00527BF8"/>
    <w:rsid w:val="005A6358"/>
    <w:rsid w:val="005D57CB"/>
    <w:rsid w:val="005E643D"/>
    <w:rsid w:val="005F2ACC"/>
    <w:rsid w:val="0063721C"/>
    <w:rsid w:val="00651365"/>
    <w:rsid w:val="00655494"/>
    <w:rsid w:val="006C18A5"/>
    <w:rsid w:val="006C7CA2"/>
    <w:rsid w:val="006E3E19"/>
    <w:rsid w:val="006F4D0D"/>
    <w:rsid w:val="00714CCB"/>
    <w:rsid w:val="00726872"/>
    <w:rsid w:val="00743077"/>
    <w:rsid w:val="007546AD"/>
    <w:rsid w:val="00760461"/>
    <w:rsid w:val="00761E15"/>
    <w:rsid w:val="00774413"/>
    <w:rsid w:val="0078569C"/>
    <w:rsid w:val="0079123B"/>
    <w:rsid w:val="007948C0"/>
    <w:rsid w:val="007B3B43"/>
    <w:rsid w:val="007C6250"/>
    <w:rsid w:val="007E7B60"/>
    <w:rsid w:val="00865FC1"/>
    <w:rsid w:val="0088239F"/>
    <w:rsid w:val="008B3E40"/>
    <w:rsid w:val="00915F8B"/>
    <w:rsid w:val="00915FF5"/>
    <w:rsid w:val="00916F0B"/>
    <w:rsid w:val="009201EE"/>
    <w:rsid w:val="00943F9A"/>
    <w:rsid w:val="0094798D"/>
    <w:rsid w:val="00950FC0"/>
    <w:rsid w:val="00952E6F"/>
    <w:rsid w:val="00974C24"/>
    <w:rsid w:val="00983DF5"/>
    <w:rsid w:val="009D6053"/>
    <w:rsid w:val="009E5CD6"/>
    <w:rsid w:val="009E73C5"/>
    <w:rsid w:val="00A0000B"/>
    <w:rsid w:val="00A31756"/>
    <w:rsid w:val="00A77DAE"/>
    <w:rsid w:val="00A826E2"/>
    <w:rsid w:val="00A9102F"/>
    <w:rsid w:val="00AA0AF3"/>
    <w:rsid w:val="00AB66FF"/>
    <w:rsid w:val="00AC1F8D"/>
    <w:rsid w:val="00B5684C"/>
    <w:rsid w:val="00B96820"/>
    <w:rsid w:val="00BF7442"/>
    <w:rsid w:val="00C479B0"/>
    <w:rsid w:val="00C533E7"/>
    <w:rsid w:val="00CA032B"/>
    <w:rsid w:val="00CF642E"/>
    <w:rsid w:val="00D05767"/>
    <w:rsid w:val="00D157A5"/>
    <w:rsid w:val="00DD7827"/>
    <w:rsid w:val="00E04B0B"/>
    <w:rsid w:val="00E164B0"/>
    <w:rsid w:val="00E403C6"/>
    <w:rsid w:val="00E47AFE"/>
    <w:rsid w:val="00E533DF"/>
    <w:rsid w:val="00E55836"/>
    <w:rsid w:val="00E677DC"/>
    <w:rsid w:val="00E75124"/>
    <w:rsid w:val="00E77A1C"/>
    <w:rsid w:val="00E85A24"/>
    <w:rsid w:val="00EC79EB"/>
    <w:rsid w:val="00F02E4D"/>
    <w:rsid w:val="00F27F90"/>
    <w:rsid w:val="00F33692"/>
    <w:rsid w:val="00F4002C"/>
    <w:rsid w:val="00F70B58"/>
    <w:rsid w:val="00F74835"/>
    <w:rsid w:val="00F95EB3"/>
    <w:rsid w:val="00F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E8DC"/>
  <w15:chartTrackingRefBased/>
  <w15:docId w15:val="{2E1C86B3-F5D2-4E8A-89DE-1560C90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E688-96B4-4835-9F8F-FC63AE1D3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E10A0-EFE2-4C82-BC4A-7344F568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A308FF-1305-4659-B15B-1DFC289FF0E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B446D0-1D1B-4ABC-AFFD-3F28D002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5974</Characters>
  <Application>Microsoft Office Word</Application>
  <DocSecurity>4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df41f781-ff5a-4230-8d73-f33442bd5a73</vt:lpstr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df41f781-ff5a-4230-8d73-f33442bd5a73</dc:title>
  <dc:subject/>
  <dc:creator>Gaidamavičienė Agnė</dc:creator>
  <cp:keywords/>
  <dc:description/>
  <cp:lastModifiedBy>Gitana Cieminienė</cp:lastModifiedBy>
  <cp:revision>2</cp:revision>
  <cp:lastPrinted>2018-04-05T06:33:00Z</cp:lastPrinted>
  <dcterms:created xsi:type="dcterms:W3CDTF">2018-04-05T06:33:00Z</dcterms:created>
  <dcterms:modified xsi:type="dcterms:W3CDTF">2018-04-05T06:33:00Z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