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41" w:rsidRPr="00640241" w:rsidRDefault="00640241" w:rsidP="00640241">
      <w:pPr>
        <w:pStyle w:val="Header"/>
        <w:jc w:val="center"/>
        <w:rPr>
          <w:rFonts w:ascii="Times New Roman" w:hAnsi="Times New Roman"/>
          <w:sz w:val="24"/>
          <w:szCs w:val="24"/>
        </w:rPr>
      </w:pPr>
      <w:r w:rsidRPr="00640241">
        <w:rPr>
          <w:rFonts w:ascii="Times New Roman" w:hAnsi="Times New Roman"/>
          <w:sz w:val="24"/>
          <w:szCs w:val="24"/>
        </w:rPr>
        <w:t>Projekto „Vaikų retų ligų kompetencijos centro įsteigimas LSMU ligoninėje Kauno klinikose“, Nr. 08.1.3-CPVA-V-612-01-0008</w:t>
      </w:r>
    </w:p>
    <w:p w:rsidR="00640241" w:rsidRDefault="00640241" w:rsidP="00913076">
      <w:pPr>
        <w:pStyle w:val="Header"/>
        <w:jc w:val="center"/>
        <w:outlineLvl w:val="0"/>
        <w:rPr>
          <w:rFonts w:ascii="Times New Roman" w:hAnsi="Times New Roman"/>
          <w:sz w:val="24"/>
          <w:szCs w:val="24"/>
        </w:rPr>
      </w:pPr>
      <w:r w:rsidRPr="00640241">
        <w:rPr>
          <w:rFonts w:ascii="Times New Roman" w:hAnsi="Times New Roman"/>
          <w:sz w:val="24"/>
          <w:szCs w:val="24"/>
        </w:rPr>
        <w:t>METODINĖS REKOMENDACIJOS</w:t>
      </w:r>
    </w:p>
    <w:p w:rsidR="00640241" w:rsidRDefault="00640241" w:rsidP="00640241">
      <w:pPr>
        <w:pStyle w:val="Header"/>
        <w:jc w:val="center"/>
        <w:rPr>
          <w:rFonts w:ascii="Times New Roman" w:hAnsi="Times New Roman"/>
          <w:sz w:val="24"/>
          <w:szCs w:val="24"/>
        </w:rPr>
      </w:pPr>
    </w:p>
    <w:p w:rsidR="00640241" w:rsidRDefault="00640241" w:rsidP="00640241">
      <w:pPr>
        <w:pStyle w:val="Header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173" w:type="dxa"/>
        <w:jc w:val="center"/>
        <w:tblLayout w:type="fixed"/>
        <w:tblLook w:val="04A0"/>
      </w:tblPr>
      <w:tblGrid>
        <w:gridCol w:w="675"/>
        <w:gridCol w:w="3402"/>
        <w:gridCol w:w="6096"/>
      </w:tblGrid>
      <w:tr w:rsidR="005F6DF6" w:rsidTr="009C229A">
        <w:trPr>
          <w:jc w:val="center"/>
        </w:trPr>
        <w:tc>
          <w:tcPr>
            <w:tcW w:w="675" w:type="dxa"/>
            <w:vAlign w:val="center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241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02" w:type="dxa"/>
            <w:vAlign w:val="center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b/>
                <w:sz w:val="24"/>
                <w:szCs w:val="24"/>
              </w:rPr>
              <w:t>Metodika</w:t>
            </w:r>
          </w:p>
        </w:tc>
        <w:tc>
          <w:tcPr>
            <w:tcW w:w="6096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Prieiga internete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intersticinių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plaučių ligų diagnostikos ir gydymo rekomendacijos gydytojams</w:t>
            </w:r>
          </w:p>
        </w:tc>
        <w:tc>
          <w:tcPr>
            <w:tcW w:w="6096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https://www.kaunoklinikos.lt/media/file/1.%20Vaik%E2%94%BC%E2%94%82%20intersticini%E2%94%BC%E2%94%82%20plau%E2%94%80%C3%ACi%E2%94%BC%E2%94%82%20lig%E2%94%BC%E2%94%82%20diagnostikos%20ir%20gydymo%20rekomendacijos%20gydytojams.pdf</w:t>
              </w:r>
            </w:hyperlink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Vaikų lėtinis kvėpavimo nepakankamumas: diagnostika ir pagalbos principai ligoninėje ir namuose (rekomendacijos gydytojams ir slaugos personalui)</w:t>
            </w:r>
          </w:p>
        </w:tc>
        <w:tc>
          <w:tcPr>
            <w:tcW w:w="6096" w:type="dxa"/>
          </w:tcPr>
          <w:p w:rsidR="005F6DF6" w:rsidRPr="00640241" w:rsidRDefault="009C229A" w:rsidP="0064024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https://www.kaunoklinikos.lt/media/file/2.%20Vaik%E2%94%BC%E2%94%82%20l%E2%94%80%C3%B9tinis%20kv%E2%94%80%C3%B9pavimo%20nepakankamumas%20diagnostika%20ir%20pagalbos%20principai%20ligonin%E2%94%80%C3%B9je%20ir%20namuose.pdf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Tipinio ir atipinio hemolizinio-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ureminio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sindromo diagnostikos ir gydymo rekomendacijos</w:t>
            </w:r>
          </w:p>
        </w:tc>
        <w:tc>
          <w:tcPr>
            <w:tcW w:w="6096" w:type="dxa"/>
          </w:tcPr>
          <w:p w:rsidR="005F6DF6" w:rsidRPr="00640241" w:rsidRDefault="009C229A" w:rsidP="0064024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https://www.kaunoklinikos.lt/media/file/3.%20Tipinio%20ir%20atipinio%20hemolizinio-ureminio%20sindromo%20diagnostikos%20ir%20gydymo%20rekomendacijos.pdf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Įskilo stuburo diagnostika, gydymas, komplikacijų prevencija</w:t>
            </w:r>
          </w:p>
        </w:tc>
        <w:tc>
          <w:tcPr>
            <w:tcW w:w="6096" w:type="dxa"/>
          </w:tcPr>
          <w:p w:rsidR="005F6DF6" w:rsidRPr="00640241" w:rsidRDefault="009C229A" w:rsidP="00640241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https://www.kaunoklinikos.lt/media/file/4.%20%E2%94%80%C2%ABskilo%20stuburo%20diagnostika,%20gydymas,%20komplikacij%E2%94%BC%E2%94%82%20prevencija.pdf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5F6DF6" w:rsidRPr="00640241" w:rsidRDefault="005F6DF6" w:rsidP="00640241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Ankstyvosios radioterapijos ir chemoterapijos komplikacijos vaikų amžiuje: diagnostikos ir gydymo rekomendacijos</w:t>
            </w:r>
          </w:p>
        </w:tc>
        <w:tc>
          <w:tcPr>
            <w:tcW w:w="6096" w:type="dxa"/>
          </w:tcPr>
          <w:p w:rsidR="005F6DF6" w:rsidRPr="00640241" w:rsidRDefault="009C229A" w:rsidP="00640241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https://www.kaunoklinikos.lt/media/file/5.%20Ankstyvosios%20radioterapijos%20ir%20chemoterapijos%20komplikacijos%20vaik%E2%94%BC%E2%94%82%20am%E2%94%BC%E2%95%9Biuje.pdf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Stebėjimas po kompleksinio vaikų navikų gydymo: metodinės rekomendacijos</w:t>
            </w:r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https://www.kaunoklinikos.lt/media/file/6.%20Steb%E2%94%80%C3%B9jimas%20po%20kompleksinio%20vaik%E2%94%BC%E2%94%82%20navik%E2%94%BC%E2%94%82%20gydymo.pdf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dilatacinės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kardiomiopatijos diagnostika ir gydymas</w:t>
            </w:r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https://www.kaunoklinikos.lt/media/file/7.%20Vaik%E2%94%BC%E2%94%82%20dilatacin%E2%94%80%C3%B9s%20kardiomiopatijos%20diagnostika%20ir%20gydymas.pdf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Vaikų sisteminės raudonosios vilkligės diagnostika, gydymas ir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stebėsena</w:t>
            </w:r>
            <w:proofErr w:type="spellEnd"/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https://www.kaunoklinikos.lt/media/file/8.%20Vaik%E2%94%BC%E2%94%82%20sistemin%E2%94%80%C3%B9s%20raudonosios%20vilklig%E2%94%80%C3%B9s%20diagnostika,%20gydymas%20ir%20steb%E2%94%80%C3%B9sena.pdf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640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Tulžies latakų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atrezijos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diagnostika ir gydymas</w:t>
            </w:r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https://www.kaunoklinikos.lt/media/file/9.%20Tul%E2%94%BC%E2%95%9Bies%20latak%E2%94%BC%E2%94%82%20atrezijos%20diagnostika%20ir%20gydymas.pdf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CD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Vaikų </w:t>
            </w:r>
            <w:proofErr w:type="spellStart"/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eozinofilinio</w:t>
            </w:r>
            <w:proofErr w:type="spellEnd"/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ezofagito</w:t>
            </w:r>
            <w:proofErr w:type="spellEnd"/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40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diagnostikos ir gydymo rekomendacijos</w:t>
            </w:r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https://www.kaunoklinikos.lt/media/file/10.%20Vaik%E2%</w:t>
              </w:r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94%BC%E2%94%82%20eozinofilinio%20ezofagito%20diagnostikos%20ir%20gydymo%20rekomendacijos.pdf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CD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tuberozinė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sklerozė: diagnostika, gydymas, ilgalaikė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stebėsena</w:t>
            </w:r>
            <w:proofErr w:type="spellEnd"/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https://www.kaunoklinikos.lt/media/file/11.%20Vaik%E2%94%BC%E2%94%82%20tuberozin%E2%94%80%C3%B9%20skleroz%E2%94%80%C3%B9%20diagnostika,%20gydymas,%20ilgalaik%E2%94%80%C3%B9%20steb%E2%94%80%C3%B9sena.pdf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6DF6" w:rsidTr="009C229A">
        <w:trPr>
          <w:jc w:val="center"/>
        </w:trPr>
        <w:tc>
          <w:tcPr>
            <w:tcW w:w="675" w:type="dxa"/>
          </w:tcPr>
          <w:p w:rsidR="005F6DF6" w:rsidRPr="00640241" w:rsidRDefault="005F6DF6" w:rsidP="00CD1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5F6DF6" w:rsidRPr="00640241" w:rsidRDefault="005F6DF6">
            <w:pPr>
              <w:rPr>
                <w:rFonts w:ascii="Times New Roman" w:hAnsi="Times New Roman"/>
                <w:sz w:val="24"/>
                <w:szCs w:val="24"/>
              </w:rPr>
            </w:pPr>
            <w:r w:rsidRPr="00640241">
              <w:rPr>
                <w:rFonts w:ascii="Times New Roman" w:hAnsi="Times New Roman"/>
                <w:sz w:val="24"/>
                <w:szCs w:val="24"/>
              </w:rPr>
              <w:t xml:space="preserve">Vaikų, sergančių progresuojančiomis raumenų distrofijomis, ilgalaikė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daugiadalykė</w:t>
            </w:r>
            <w:proofErr w:type="spellEnd"/>
            <w:r w:rsidRPr="00640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241">
              <w:rPr>
                <w:rFonts w:ascii="Times New Roman" w:hAnsi="Times New Roman"/>
                <w:sz w:val="24"/>
                <w:szCs w:val="24"/>
              </w:rPr>
              <w:t>stebėsena</w:t>
            </w:r>
            <w:proofErr w:type="spellEnd"/>
          </w:p>
        </w:tc>
        <w:tc>
          <w:tcPr>
            <w:tcW w:w="6096" w:type="dxa"/>
          </w:tcPr>
          <w:p w:rsidR="005F6DF6" w:rsidRPr="00640241" w:rsidRDefault="009C229A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C5A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https://www.kaunoklinikos.lt/media/file/12.%20Vaik%E2%94%BC%E2%94%82,%20sergan%E2%94%80%C3%ACi%E2%94%BC%E2%94%82%20progresuojan%E2%94%80%C3%ACiomis%20raumen%E2%94%BC%E2%94%82%20distrofijomis,%20ilgalaik%E2%94%80%C3%B9%20daugiadalyk%E2%94%80%C3%B9%20steb%E2%94%80%C3%B9sena.pdf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81176" w:rsidRDefault="00C81176"/>
    <w:sectPr w:rsidR="00C81176" w:rsidSect="00C811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41" w:rsidRDefault="00640241" w:rsidP="00640241">
      <w:pPr>
        <w:spacing w:after="0" w:line="240" w:lineRule="auto"/>
      </w:pPr>
      <w:r>
        <w:separator/>
      </w:r>
    </w:p>
  </w:endnote>
  <w:endnote w:type="continuationSeparator" w:id="0">
    <w:p w:rsidR="00640241" w:rsidRDefault="00640241" w:rsidP="0064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41" w:rsidRDefault="00640241" w:rsidP="00640241">
      <w:pPr>
        <w:spacing w:after="0" w:line="240" w:lineRule="auto"/>
      </w:pPr>
      <w:r>
        <w:separator/>
      </w:r>
    </w:p>
  </w:footnote>
  <w:footnote w:type="continuationSeparator" w:id="0">
    <w:p w:rsidR="00640241" w:rsidRDefault="00640241" w:rsidP="00640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241"/>
    <w:rsid w:val="005C3469"/>
    <w:rsid w:val="005F6DF6"/>
    <w:rsid w:val="00640241"/>
    <w:rsid w:val="00913076"/>
    <w:rsid w:val="009C229A"/>
    <w:rsid w:val="00C81176"/>
    <w:rsid w:val="00D35C53"/>
    <w:rsid w:val="00E5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41"/>
    <w:rPr>
      <w:rFonts w:ascii="Calibri" w:eastAsia="Times New Roman" w:hAnsi="Calibri" w:cs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241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241"/>
    <w:rPr>
      <w:rFonts w:ascii="Calibri" w:eastAsia="Times New Roman" w:hAnsi="Calibri" w:cs="Times New Roman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64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241"/>
    <w:rPr>
      <w:rFonts w:ascii="Calibri" w:eastAsia="Times New Roman" w:hAnsi="Calibri" w:cs="Times New Roman"/>
      <w:lang w:val="lt-LT" w:eastAsia="lt-L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3076"/>
    <w:rPr>
      <w:rFonts w:ascii="Tahoma" w:eastAsia="Times New Roman" w:hAnsi="Tahoma" w:cs="Tahoma"/>
      <w:sz w:val="16"/>
      <w:szCs w:val="16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5F6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oklinikos.lt/media/file/3.%20Tipinio%20ir%20atipinio%20hemolizinio-ureminio%20sindromo%20diagnostikos%20ir%20gydymo%20rekomendacijos.pdf" TargetMode="External"/><Relationship Id="rId13" Type="http://schemas.openxmlformats.org/officeDocument/2006/relationships/hyperlink" Target="https://www.kaunoklinikos.lt/media/file/8.%20Vaik%E2%94%BC%E2%94%82%20sistemin%E2%94%80%C3%B9s%20raudonosios%20vilklig%E2%94%80%C3%B9s%20diagnostika,%20gydymas%20ir%20steb%E2%94%80%C3%B9sen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unoklinikos.lt/media/file/2.%20Vaik%E2%94%BC%E2%94%82%20l%E2%94%80%C3%B9tinis%20kv%E2%94%80%C3%B9pavimo%20nepakankamumas%20diagnostika%20ir%20pagalbos%20principai%20ligonin%E2%94%80%C3%B9je%20ir%20namuose.pdf" TargetMode="External"/><Relationship Id="rId12" Type="http://schemas.openxmlformats.org/officeDocument/2006/relationships/hyperlink" Target="https://www.kaunoklinikos.lt/media/file/7.%20Vaik%E2%94%BC%E2%94%82%20dilatacin%E2%94%80%C3%B9s%20kardiomiopatijos%20diagnostika%20ir%20gydymas.pdf" TargetMode="External"/><Relationship Id="rId17" Type="http://schemas.openxmlformats.org/officeDocument/2006/relationships/hyperlink" Target="https://www.kaunoklinikos.lt/media/file/12.%20Vaik%E2%94%BC%E2%94%82,%20sergan%E2%94%80%C3%ACi%E2%94%BC%E2%94%82%20progresuojan%E2%94%80%C3%ACiomis%20raumen%E2%94%BC%E2%94%82%20distrofijomis,%20ilgalaik%E2%94%80%C3%B9%20daugiadalyk%E2%94%80%C3%B9%20steb%E2%94%80%C3%B9sen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unoklinikos.lt/media/file/11.%20Vaik%E2%94%BC%E2%94%82%20tuberozin%E2%94%80%C3%B9%20skleroz%E2%94%80%C3%B9%20diagnostika,%20gydymas,%20ilgalaik%E2%94%80%C3%B9%20steb%E2%94%80%C3%B9sen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unoklinikos.lt/media/file/1.%20Vaik%E2%94%BC%E2%94%82%20intersticini%E2%94%BC%E2%94%82%20plau%E2%94%80%C3%ACi%E2%94%BC%E2%94%82%20lig%E2%94%BC%E2%94%82%20diagnostikos%20ir%20gydymo%20rekomendacijos%20gydytojams.pdf" TargetMode="External"/><Relationship Id="rId11" Type="http://schemas.openxmlformats.org/officeDocument/2006/relationships/hyperlink" Target="https://www.kaunoklinikos.lt/media/file/6.%20Steb%E2%94%80%C3%B9jimas%20po%20kompleksinio%20vaik%E2%94%BC%E2%94%82%20navik%E2%94%BC%E2%94%82%20gydymo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aunoklinikos.lt/media/file/10.%20Vaik%E2%94%BC%E2%94%82%20eozinofilinio%20ezofagito%20diagnostikos%20ir%20gydymo%20rekomendacijos.pdf" TargetMode="External"/><Relationship Id="rId10" Type="http://schemas.openxmlformats.org/officeDocument/2006/relationships/hyperlink" Target="https://www.kaunoklinikos.lt/media/file/5.%20Ankstyvosios%20radioterapijos%20ir%20chemoterapijos%20komplikacijos%20vaik%E2%94%BC%E2%94%82%20am%E2%94%BC%E2%95%9Biuje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aunoklinikos.lt/media/file/4.%20%E2%94%80%C2%ABskilo%20stuburo%20diagnostika,%20gydymas,%20komplikacij%E2%94%BC%E2%94%82%20prevencija.pdf" TargetMode="External"/><Relationship Id="rId14" Type="http://schemas.openxmlformats.org/officeDocument/2006/relationships/hyperlink" Target="https://www.kaunoklinikos.lt/media/file/9.%20Tul%E2%94%BC%E2%95%9Bies%20latak%E2%94%BC%E2%94%82%20atrezijos%20diagnostika%20ir%20gydy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</dc:creator>
  <cp:keywords/>
  <dc:description/>
  <cp:lastModifiedBy>Giedre</cp:lastModifiedBy>
  <cp:revision>4</cp:revision>
  <dcterms:created xsi:type="dcterms:W3CDTF">2021-01-27T10:11:00Z</dcterms:created>
  <dcterms:modified xsi:type="dcterms:W3CDTF">2021-01-27T13:49:00Z</dcterms:modified>
</cp:coreProperties>
</file>