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41A6" w14:textId="400191C5" w:rsidR="00A540BF" w:rsidRPr="00817AF9" w:rsidRDefault="00AB0ED7" w:rsidP="00AB0ED7">
      <w:pPr>
        <w:spacing w:line="360" w:lineRule="auto"/>
        <w:rPr>
          <w:rFonts w:ascii="Arial" w:hAnsi="Arial" w:cs="Arial"/>
        </w:rPr>
      </w:pPr>
      <w:r>
        <w:rPr>
          <w:rFonts w:ascii="Arial" w:hAnsi="Arial" w:cs="Arial"/>
          <w:noProof/>
          <w:lang w:eastAsia="lt-LT"/>
        </w:rPr>
        <w:drawing>
          <wp:anchor distT="0" distB="0" distL="114300" distR="114300" simplePos="0" relativeHeight="251659264" behindDoc="0" locked="0" layoutInCell="1" allowOverlap="1" wp14:anchorId="1E47E00F" wp14:editId="30257C11">
            <wp:simplePos x="0" y="0"/>
            <wp:positionH relativeFrom="margin">
              <wp:align>left</wp:align>
            </wp:positionH>
            <wp:positionV relativeFrom="paragraph">
              <wp:posOffset>13335</wp:posOffset>
            </wp:positionV>
            <wp:extent cx="933450" cy="1027845"/>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153" t="14608" r="17710" b="20319"/>
                    <a:stretch/>
                  </pic:blipFill>
                  <pic:spPr bwMode="auto">
                    <a:xfrm>
                      <a:off x="0" y="0"/>
                      <a:ext cx="938540" cy="10334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58240" behindDoc="0" locked="0" layoutInCell="1" allowOverlap="1" wp14:anchorId="1A539396" wp14:editId="4EB1C6C3">
            <wp:simplePos x="0" y="0"/>
            <wp:positionH relativeFrom="margin">
              <wp:align>right</wp:align>
            </wp:positionH>
            <wp:positionV relativeFrom="paragraph">
              <wp:posOffset>13334</wp:posOffset>
            </wp:positionV>
            <wp:extent cx="1942822" cy="828675"/>
            <wp:effectExtent l="0" t="0" r="635" b="0"/>
            <wp:wrapNone/>
            <wp:docPr id="1" name="Picture 1" descr="2014-2020 ES fondų investicijų ženklas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2020 ES fondų investicijų ženklas | 2014-2020 Europos Sąjungos fondų  investicijos Lietuvoj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752" r="1995" b="15172"/>
                    <a:stretch/>
                  </pic:blipFill>
                  <pic:spPr bwMode="auto">
                    <a:xfrm>
                      <a:off x="0" y="0"/>
                      <a:ext cx="1942822" cy="82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57C33C" w14:textId="77777777" w:rsidR="00A540BF" w:rsidRPr="00817AF9" w:rsidRDefault="00A540BF" w:rsidP="00A540BF">
      <w:pPr>
        <w:spacing w:line="360" w:lineRule="auto"/>
        <w:ind w:firstLine="1296"/>
        <w:jc w:val="center"/>
        <w:rPr>
          <w:rFonts w:ascii="Arial" w:hAnsi="Arial" w:cs="Arial"/>
        </w:rPr>
      </w:pPr>
    </w:p>
    <w:p w14:paraId="6C2AE5E2" w14:textId="53C1E50E" w:rsidR="00A540BF" w:rsidRPr="00817AF9" w:rsidRDefault="00A540BF" w:rsidP="00A540BF">
      <w:pPr>
        <w:spacing w:line="360" w:lineRule="auto"/>
        <w:ind w:firstLine="1296"/>
        <w:jc w:val="center"/>
        <w:rPr>
          <w:rFonts w:ascii="Arial" w:hAnsi="Arial" w:cs="Arial"/>
        </w:rPr>
      </w:pPr>
    </w:p>
    <w:p w14:paraId="611A5461" w14:textId="7292DEF2" w:rsidR="00A540BF" w:rsidRPr="00817AF9" w:rsidRDefault="00A540BF" w:rsidP="00A540BF">
      <w:pPr>
        <w:spacing w:line="360" w:lineRule="auto"/>
        <w:ind w:firstLine="1296"/>
        <w:jc w:val="center"/>
        <w:rPr>
          <w:rFonts w:ascii="Arial" w:hAnsi="Arial" w:cs="Arial"/>
        </w:rPr>
      </w:pPr>
    </w:p>
    <w:p w14:paraId="5F5910F1" w14:textId="77777777" w:rsidR="00A540BF" w:rsidRPr="00817AF9" w:rsidRDefault="00A540BF" w:rsidP="00A540BF">
      <w:pPr>
        <w:spacing w:line="360" w:lineRule="auto"/>
        <w:ind w:firstLine="1296"/>
        <w:jc w:val="center"/>
        <w:rPr>
          <w:rFonts w:ascii="Arial" w:hAnsi="Arial" w:cs="Arial"/>
        </w:rPr>
      </w:pPr>
    </w:p>
    <w:p w14:paraId="533B003A" w14:textId="77777777" w:rsidR="00A540BF" w:rsidRPr="00817AF9" w:rsidRDefault="00A540BF" w:rsidP="00A540BF">
      <w:pPr>
        <w:spacing w:line="360" w:lineRule="auto"/>
        <w:ind w:firstLine="1296"/>
        <w:jc w:val="center"/>
        <w:rPr>
          <w:rFonts w:ascii="Arial" w:hAnsi="Arial" w:cs="Arial"/>
        </w:rPr>
      </w:pPr>
    </w:p>
    <w:p w14:paraId="1E8F8A08" w14:textId="77777777" w:rsidR="00A540BF" w:rsidRPr="00817AF9" w:rsidRDefault="00A540BF" w:rsidP="00A540BF">
      <w:pPr>
        <w:spacing w:line="360" w:lineRule="auto"/>
        <w:ind w:firstLine="0"/>
        <w:rPr>
          <w:rFonts w:ascii="Arial" w:hAnsi="Arial" w:cs="Arial"/>
        </w:rPr>
      </w:pPr>
    </w:p>
    <w:p w14:paraId="6EDE3261" w14:textId="77777777" w:rsidR="00A540BF" w:rsidRPr="00817AF9" w:rsidRDefault="00A540BF" w:rsidP="00A540BF">
      <w:pPr>
        <w:spacing w:line="360" w:lineRule="auto"/>
        <w:ind w:firstLine="0"/>
        <w:jc w:val="center"/>
        <w:rPr>
          <w:rFonts w:ascii="Arial" w:hAnsi="Arial" w:cs="Arial"/>
        </w:rPr>
      </w:pPr>
    </w:p>
    <w:p w14:paraId="6FAE698D" w14:textId="77777777" w:rsidR="00A540BF" w:rsidRPr="00817AF9" w:rsidRDefault="00A540BF" w:rsidP="00A540BF">
      <w:pPr>
        <w:spacing w:line="360" w:lineRule="auto"/>
        <w:ind w:firstLine="0"/>
        <w:jc w:val="center"/>
        <w:rPr>
          <w:rFonts w:ascii="Arial" w:hAnsi="Arial" w:cs="Arial"/>
        </w:rPr>
      </w:pPr>
    </w:p>
    <w:p w14:paraId="503C1A74" w14:textId="25E3C27E" w:rsidR="00A540BF" w:rsidRPr="00817AF9" w:rsidRDefault="00A540BF" w:rsidP="00A540BF">
      <w:pPr>
        <w:spacing w:line="360" w:lineRule="auto"/>
        <w:ind w:firstLine="0"/>
        <w:jc w:val="center"/>
        <w:rPr>
          <w:rFonts w:ascii="Arial" w:hAnsi="Arial" w:cs="Arial"/>
          <w:b/>
        </w:rPr>
      </w:pPr>
      <w:r w:rsidRPr="00817AF9">
        <w:rPr>
          <w:rFonts w:ascii="Arial" w:hAnsi="Arial" w:cs="Arial"/>
          <w:b/>
        </w:rPr>
        <w:t>LYGINAMOJI STUDIJŲ PROCESO ORGANIZAVIMO VILNIAUS UNIVERSITETE IR ŠIAULIŲ UNIVERSITETE ANALIZĖ IR UŽSIENIO AUKŠTŲJŲ MOKYKLŲ GEROSIOS PRAKTIKOS APRAŠAS</w:t>
      </w:r>
    </w:p>
    <w:p w14:paraId="2DA92BB9" w14:textId="4DFF2AC7" w:rsidR="00A540BF" w:rsidRPr="00817AF9" w:rsidRDefault="00A540BF" w:rsidP="00A540BF">
      <w:pPr>
        <w:spacing w:line="360" w:lineRule="auto"/>
        <w:ind w:firstLine="0"/>
        <w:jc w:val="center"/>
        <w:rPr>
          <w:rFonts w:ascii="Arial" w:hAnsi="Arial" w:cs="Arial"/>
          <w:b/>
        </w:rPr>
      </w:pPr>
    </w:p>
    <w:p w14:paraId="156B49E4" w14:textId="4FFE646D" w:rsidR="00A540BF" w:rsidRPr="00817AF9" w:rsidRDefault="00A540BF" w:rsidP="00A540BF">
      <w:pPr>
        <w:spacing w:line="360" w:lineRule="auto"/>
        <w:ind w:firstLine="0"/>
        <w:rPr>
          <w:rFonts w:ascii="Arial" w:hAnsi="Arial" w:cs="Arial"/>
          <w:b/>
        </w:rPr>
      </w:pPr>
    </w:p>
    <w:p w14:paraId="6D5F9711" w14:textId="07334F7B" w:rsidR="00A540BF" w:rsidRPr="00817AF9" w:rsidRDefault="00A540BF" w:rsidP="00A540BF">
      <w:pPr>
        <w:spacing w:line="360" w:lineRule="auto"/>
        <w:ind w:firstLine="0"/>
        <w:jc w:val="center"/>
        <w:rPr>
          <w:rFonts w:ascii="Arial" w:hAnsi="Arial" w:cs="Arial"/>
          <w:b/>
        </w:rPr>
      </w:pPr>
    </w:p>
    <w:p w14:paraId="567CCF2A" w14:textId="0538ED7F" w:rsidR="00A540BF" w:rsidRPr="00817AF9" w:rsidRDefault="00A540BF" w:rsidP="00A540BF">
      <w:pPr>
        <w:spacing w:line="360" w:lineRule="auto"/>
        <w:ind w:firstLine="0"/>
        <w:jc w:val="center"/>
        <w:rPr>
          <w:rFonts w:ascii="Arial" w:hAnsi="Arial" w:cs="Arial"/>
          <w:b/>
        </w:rPr>
      </w:pPr>
    </w:p>
    <w:p w14:paraId="73FBE23F" w14:textId="2123852C" w:rsidR="00817AF9" w:rsidRPr="00817AF9" w:rsidRDefault="00817AF9" w:rsidP="00A540BF">
      <w:pPr>
        <w:spacing w:line="360" w:lineRule="auto"/>
        <w:ind w:firstLine="0"/>
        <w:jc w:val="center"/>
        <w:rPr>
          <w:rFonts w:ascii="Arial" w:hAnsi="Arial" w:cs="Arial"/>
          <w:b/>
        </w:rPr>
      </w:pPr>
    </w:p>
    <w:p w14:paraId="73F12B07" w14:textId="060CA754" w:rsidR="00817AF9" w:rsidRPr="00817AF9" w:rsidRDefault="00817AF9" w:rsidP="00A540BF">
      <w:pPr>
        <w:spacing w:line="360" w:lineRule="auto"/>
        <w:ind w:firstLine="0"/>
        <w:jc w:val="center"/>
        <w:rPr>
          <w:rFonts w:ascii="Arial" w:hAnsi="Arial" w:cs="Arial"/>
          <w:b/>
        </w:rPr>
      </w:pPr>
    </w:p>
    <w:p w14:paraId="2E7BF7B1" w14:textId="77777777" w:rsidR="00817AF9" w:rsidRPr="00817AF9" w:rsidRDefault="00817AF9" w:rsidP="00A540BF">
      <w:pPr>
        <w:spacing w:line="360" w:lineRule="auto"/>
        <w:ind w:firstLine="0"/>
        <w:jc w:val="center"/>
        <w:rPr>
          <w:rFonts w:ascii="Arial" w:hAnsi="Arial" w:cs="Arial"/>
          <w:b/>
        </w:rPr>
      </w:pPr>
    </w:p>
    <w:p w14:paraId="571C81A5" w14:textId="7C52DDC6" w:rsidR="00A540BF" w:rsidRPr="00817AF9" w:rsidRDefault="00817AF9" w:rsidP="00A540BF">
      <w:pPr>
        <w:spacing w:line="360" w:lineRule="auto"/>
        <w:ind w:firstLine="0"/>
        <w:jc w:val="center"/>
        <w:rPr>
          <w:rFonts w:ascii="Arial" w:hAnsi="Arial" w:cs="Arial"/>
          <w:i/>
        </w:rPr>
      </w:pPr>
      <w:r w:rsidRPr="00817AF9">
        <w:rPr>
          <w:rFonts w:ascii="Arial" w:hAnsi="Arial" w:cs="Arial"/>
          <w:i/>
        </w:rPr>
        <w:t xml:space="preserve">Parengta pagal </w:t>
      </w:r>
      <w:r w:rsidR="00A540BF" w:rsidRPr="00817AF9">
        <w:rPr>
          <w:rFonts w:ascii="Arial" w:hAnsi="Arial" w:cs="Arial"/>
          <w:i/>
        </w:rPr>
        <w:t>Europos Sąjungos struktūrinių fondų bendrai finansuojam</w:t>
      </w:r>
      <w:r w:rsidRPr="00817AF9">
        <w:rPr>
          <w:rFonts w:ascii="Arial" w:hAnsi="Arial" w:cs="Arial"/>
          <w:i/>
        </w:rPr>
        <w:t>ą</w:t>
      </w:r>
      <w:r w:rsidR="00A540BF" w:rsidRPr="00817AF9">
        <w:rPr>
          <w:rFonts w:ascii="Arial" w:hAnsi="Arial" w:cs="Arial"/>
          <w:i/>
        </w:rPr>
        <w:t xml:space="preserve"> projekt</w:t>
      </w:r>
      <w:r w:rsidRPr="00817AF9">
        <w:rPr>
          <w:rFonts w:ascii="Arial" w:hAnsi="Arial" w:cs="Arial"/>
          <w:i/>
        </w:rPr>
        <w:t xml:space="preserve">ą </w:t>
      </w:r>
    </w:p>
    <w:p w14:paraId="1CC6C031" w14:textId="51F2929C" w:rsidR="00A540BF" w:rsidRPr="00817AF9" w:rsidRDefault="00A540BF" w:rsidP="00A540BF">
      <w:pPr>
        <w:spacing w:line="360" w:lineRule="auto"/>
        <w:ind w:firstLine="0"/>
        <w:jc w:val="center"/>
        <w:rPr>
          <w:rFonts w:ascii="Arial" w:hAnsi="Arial" w:cs="Arial"/>
          <w:i/>
        </w:rPr>
      </w:pPr>
      <w:r w:rsidRPr="00817AF9">
        <w:rPr>
          <w:rFonts w:ascii="Arial" w:hAnsi="Arial" w:cs="Arial"/>
          <w:i/>
        </w:rPr>
        <w:t>Nr. 09.3.1-ESFA-V-738-03-0001 „Aukštųjų mokyklų tinklo optimizavimas ir studijų kokybės gerinimas Šiaulių universitetą prijungiant prie Vilniaus universiteto“</w:t>
      </w:r>
      <w:r w:rsidR="006C13D4">
        <w:rPr>
          <w:rFonts w:ascii="Arial" w:hAnsi="Arial" w:cs="Arial"/>
          <w:i/>
        </w:rPr>
        <w:t xml:space="preserve">. </w:t>
      </w:r>
      <w:proofErr w:type="spellStart"/>
      <w:r w:rsidR="006C13D4" w:rsidRPr="006C13D4">
        <w:rPr>
          <w:rFonts w:ascii="Arial" w:hAnsi="Arial" w:cs="Arial"/>
          <w:i/>
          <w:lang w:val="en-US"/>
        </w:rPr>
        <w:t>Projektas</w:t>
      </w:r>
      <w:proofErr w:type="spellEnd"/>
      <w:r w:rsidR="006C13D4" w:rsidRPr="006C13D4">
        <w:rPr>
          <w:rFonts w:ascii="Arial" w:hAnsi="Arial" w:cs="Arial"/>
          <w:i/>
          <w:lang w:val="en-US"/>
        </w:rPr>
        <w:t xml:space="preserve"> </w:t>
      </w:r>
      <w:proofErr w:type="spellStart"/>
      <w:r w:rsidR="006C13D4" w:rsidRPr="006C13D4">
        <w:rPr>
          <w:rFonts w:ascii="Arial" w:hAnsi="Arial" w:cs="Arial"/>
          <w:i/>
          <w:lang w:val="en-US"/>
        </w:rPr>
        <w:t>finansuojamas</w:t>
      </w:r>
      <w:proofErr w:type="spellEnd"/>
      <w:r w:rsidR="006C13D4" w:rsidRPr="006C13D4">
        <w:rPr>
          <w:rFonts w:ascii="Arial" w:hAnsi="Arial" w:cs="Arial"/>
          <w:i/>
          <w:lang w:val="en-US"/>
        </w:rPr>
        <w:t xml:space="preserve"> </w:t>
      </w:r>
      <w:proofErr w:type="spellStart"/>
      <w:r w:rsidR="006C13D4" w:rsidRPr="006C13D4">
        <w:rPr>
          <w:rFonts w:ascii="Arial" w:hAnsi="Arial" w:cs="Arial"/>
          <w:i/>
          <w:lang w:val="en-US"/>
        </w:rPr>
        <w:t>iš</w:t>
      </w:r>
      <w:proofErr w:type="spellEnd"/>
      <w:r w:rsidR="006C13D4" w:rsidRPr="006C13D4">
        <w:rPr>
          <w:rFonts w:ascii="Arial" w:hAnsi="Arial" w:cs="Arial"/>
          <w:i/>
          <w:lang w:val="en-US"/>
        </w:rPr>
        <w:t xml:space="preserve"> Europos </w:t>
      </w:r>
      <w:proofErr w:type="spellStart"/>
      <w:r w:rsidR="006C13D4" w:rsidRPr="006C13D4">
        <w:rPr>
          <w:rFonts w:ascii="Arial" w:hAnsi="Arial" w:cs="Arial"/>
          <w:i/>
          <w:lang w:val="en-US"/>
        </w:rPr>
        <w:t>socialinio</w:t>
      </w:r>
      <w:proofErr w:type="spellEnd"/>
      <w:r w:rsidR="006C13D4" w:rsidRPr="006C13D4">
        <w:rPr>
          <w:rFonts w:ascii="Arial" w:hAnsi="Arial" w:cs="Arial"/>
          <w:i/>
          <w:lang w:val="en-US"/>
        </w:rPr>
        <w:t xml:space="preserve"> </w:t>
      </w:r>
      <w:proofErr w:type="spellStart"/>
      <w:r w:rsidR="006C13D4" w:rsidRPr="006C13D4">
        <w:rPr>
          <w:rFonts w:ascii="Arial" w:hAnsi="Arial" w:cs="Arial"/>
          <w:i/>
          <w:lang w:val="en-US"/>
        </w:rPr>
        <w:t>fondo</w:t>
      </w:r>
      <w:proofErr w:type="spellEnd"/>
      <w:r w:rsidR="006C13D4" w:rsidRPr="006C13D4">
        <w:rPr>
          <w:rFonts w:ascii="Arial" w:hAnsi="Arial" w:cs="Arial"/>
          <w:i/>
          <w:lang w:val="en-US"/>
        </w:rPr>
        <w:t>.</w:t>
      </w:r>
      <w:r w:rsidR="006C13D4">
        <w:rPr>
          <w:rFonts w:ascii="Arial" w:hAnsi="Arial" w:cs="Arial"/>
          <w:i/>
        </w:rPr>
        <w:t xml:space="preserve"> </w:t>
      </w:r>
    </w:p>
    <w:p w14:paraId="023A9F2F" w14:textId="77777777" w:rsidR="00A540BF" w:rsidRPr="00817AF9" w:rsidRDefault="00A540BF" w:rsidP="00A540BF">
      <w:pPr>
        <w:ind w:firstLine="0"/>
        <w:rPr>
          <w:rFonts w:ascii="Arial" w:eastAsia="Times New Roman" w:hAnsi="Arial" w:cs="Arial"/>
          <w:lang w:eastAsia="en-GB"/>
        </w:rPr>
      </w:pPr>
    </w:p>
    <w:p w14:paraId="088CC8A9" w14:textId="77777777" w:rsidR="00A540BF" w:rsidRPr="00817AF9" w:rsidRDefault="00A540BF" w:rsidP="00A540BF">
      <w:pPr>
        <w:ind w:firstLine="0"/>
        <w:rPr>
          <w:rFonts w:ascii="Arial" w:eastAsia="Times New Roman" w:hAnsi="Arial" w:cs="Arial"/>
          <w:lang w:eastAsia="en-GB"/>
        </w:rPr>
      </w:pPr>
    </w:p>
    <w:p w14:paraId="789DEF01" w14:textId="77777777" w:rsidR="00A540BF" w:rsidRPr="00817AF9" w:rsidRDefault="00A540BF" w:rsidP="00A540BF">
      <w:pPr>
        <w:ind w:firstLine="0"/>
        <w:rPr>
          <w:rFonts w:ascii="Arial" w:eastAsia="Times New Roman" w:hAnsi="Arial" w:cs="Arial"/>
          <w:lang w:eastAsia="en-GB"/>
        </w:rPr>
      </w:pPr>
    </w:p>
    <w:p w14:paraId="7E3541B2" w14:textId="77777777" w:rsidR="00A540BF" w:rsidRPr="00817AF9" w:rsidRDefault="00A540BF" w:rsidP="00A540BF">
      <w:pPr>
        <w:ind w:firstLine="0"/>
        <w:rPr>
          <w:rFonts w:ascii="Arial" w:eastAsia="Times New Roman" w:hAnsi="Arial" w:cs="Arial"/>
          <w:lang w:eastAsia="en-GB"/>
        </w:rPr>
      </w:pPr>
    </w:p>
    <w:p w14:paraId="447F34E0" w14:textId="77777777" w:rsidR="00A540BF" w:rsidRPr="00817AF9" w:rsidRDefault="00A540BF" w:rsidP="00A540BF">
      <w:pPr>
        <w:ind w:firstLine="0"/>
        <w:rPr>
          <w:rFonts w:ascii="Arial" w:eastAsia="Times New Roman" w:hAnsi="Arial" w:cs="Arial"/>
          <w:lang w:eastAsia="en-GB"/>
        </w:rPr>
      </w:pPr>
    </w:p>
    <w:p w14:paraId="5B5CEB0F" w14:textId="77777777" w:rsidR="00A540BF" w:rsidRPr="00817AF9" w:rsidRDefault="00A540BF" w:rsidP="00A540BF">
      <w:pPr>
        <w:ind w:firstLine="0"/>
        <w:rPr>
          <w:rFonts w:ascii="Arial" w:eastAsia="Times New Roman" w:hAnsi="Arial" w:cs="Arial"/>
          <w:lang w:eastAsia="en-GB"/>
        </w:rPr>
      </w:pPr>
    </w:p>
    <w:p w14:paraId="2128B202" w14:textId="77777777" w:rsidR="00A540BF" w:rsidRPr="00817AF9" w:rsidRDefault="00A540BF" w:rsidP="00A540BF">
      <w:pPr>
        <w:ind w:firstLine="0"/>
        <w:rPr>
          <w:rFonts w:ascii="Arial" w:eastAsia="Times New Roman" w:hAnsi="Arial" w:cs="Arial"/>
          <w:lang w:eastAsia="en-GB"/>
        </w:rPr>
      </w:pPr>
    </w:p>
    <w:p w14:paraId="3F39BDEB" w14:textId="77777777" w:rsidR="00A540BF" w:rsidRPr="00817AF9" w:rsidRDefault="00A540BF" w:rsidP="00A540BF">
      <w:pPr>
        <w:ind w:firstLine="0"/>
        <w:rPr>
          <w:rFonts w:ascii="Arial" w:eastAsia="Times New Roman" w:hAnsi="Arial" w:cs="Arial"/>
          <w:lang w:eastAsia="en-GB"/>
        </w:rPr>
      </w:pPr>
    </w:p>
    <w:p w14:paraId="7D7C05AD" w14:textId="77777777" w:rsidR="00A540BF" w:rsidRPr="00817AF9" w:rsidRDefault="00A540BF" w:rsidP="00A540BF">
      <w:pPr>
        <w:ind w:firstLine="0"/>
        <w:rPr>
          <w:rFonts w:ascii="Arial" w:eastAsia="Times New Roman" w:hAnsi="Arial" w:cs="Arial"/>
          <w:lang w:eastAsia="en-GB"/>
        </w:rPr>
      </w:pPr>
    </w:p>
    <w:p w14:paraId="0D279071" w14:textId="77777777" w:rsidR="00A540BF" w:rsidRPr="00817AF9" w:rsidRDefault="00A540BF" w:rsidP="00A540BF">
      <w:pPr>
        <w:ind w:firstLine="0"/>
        <w:rPr>
          <w:rFonts w:ascii="Arial" w:eastAsia="Times New Roman" w:hAnsi="Arial" w:cs="Arial"/>
          <w:lang w:eastAsia="en-GB"/>
        </w:rPr>
      </w:pPr>
    </w:p>
    <w:p w14:paraId="53512239" w14:textId="77777777" w:rsidR="00A540BF" w:rsidRPr="00817AF9" w:rsidRDefault="00A540BF" w:rsidP="00A540BF">
      <w:pPr>
        <w:ind w:firstLine="0"/>
        <w:rPr>
          <w:rFonts w:ascii="Arial" w:eastAsia="Times New Roman" w:hAnsi="Arial" w:cs="Arial"/>
          <w:lang w:eastAsia="en-GB"/>
        </w:rPr>
      </w:pPr>
    </w:p>
    <w:p w14:paraId="50B48E31" w14:textId="77777777" w:rsidR="00A540BF" w:rsidRPr="00817AF9" w:rsidRDefault="00A540BF" w:rsidP="00A540BF">
      <w:pPr>
        <w:ind w:firstLine="0"/>
        <w:rPr>
          <w:rFonts w:ascii="Arial" w:eastAsia="Times New Roman" w:hAnsi="Arial" w:cs="Arial"/>
          <w:lang w:eastAsia="en-GB"/>
        </w:rPr>
      </w:pPr>
    </w:p>
    <w:p w14:paraId="0C385D51" w14:textId="77777777" w:rsidR="00A540BF" w:rsidRPr="00817AF9" w:rsidRDefault="00A540BF" w:rsidP="00A540BF">
      <w:pPr>
        <w:ind w:firstLine="0"/>
        <w:rPr>
          <w:rFonts w:ascii="Arial" w:eastAsia="Times New Roman" w:hAnsi="Arial" w:cs="Arial"/>
          <w:lang w:eastAsia="en-GB"/>
        </w:rPr>
      </w:pPr>
    </w:p>
    <w:p w14:paraId="39F49D53" w14:textId="77777777" w:rsidR="00A540BF" w:rsidRPr="00817AF9" w:rsidRDefault="00A540BF" w:rsidP="00A540BF">
      <w:pPr>
        <w:ind w:firstLine="0"/>
        <w:rPr>
          <w:rFonts w:ascii="Arial" w:eastAsia="Times New Roman" w:hAnsi="Arial" w:cs="Arial"/>
          <w:lang w:eastAsia="en-GB"/>
        </w:rPr>
      </w:pPr>
    </w:p>
    <w:p w14:paraId="5E361DB3" w14:textId="77777777" w:rsidR="00A540BF" w:rsidRPr="00817AF9" w:rsidRDefault="00A540BF" w:rsidP="00A540BF">
      <w:pPr>
        <w:ind w:firstLine="0"/>
        <w:jc w:val="center"/>
        <w:rPr>
          <w:rFonts w:ascii="Arial" w:eastAsia="Times New Roman" w:hAnsi="Arial" w:cs="Arial"/>
          <w:lang w:eastAsia="en-GB"/>
        </w:rPr>
      </w:pPr>
    </w:p>
    <w:p w14:paraId="6E7AAF7C" w14:textId="77777777" w:rsidR="00A540BF" w:rsidRPr="00817AF9" w:rsidRDefault="00A540BF" w:rsidP="00A540BF">
      <w:pPr>
        <w:ind w:firstLine="0"/>
        <w:jc w:val="center"/>
        <w:rPr>
          <w:rFonts w:ascii="Arial" w:eastAsia="Times New Roman" w:hAnsi="Arial" w:cs="Arial"/>
          <w:lang w:eastAsia="en-GB"/>
        </w:rPr>
      </w:pPr>
    </w:p>
    <w:p w14:paraId="07A43778" w14:textId="77777777" w:rsidR="00A540BF" w:rsidRPr="00817AF9" w:rsidRDefault="00A540BF" w:rsidP="00A540BF">
      <w:pPr>
        <w:ind w:firstLine="0"/>
        <w:jc w:val="center"/>
        <w:rPr>
          <w:rFonts w:ascii="Arial" w:eastAsia="Times New Roman" w:hAnsi="Arial" w:cs="Arial"/>
          <w:lang w:eastAsia="en-GB"/>
        </w:rPr>
      </w:pPr>
    </w:p>
    <w:p w14:paraId="680F1363" w14:textId="7ACD29E6" w:rsidR="00A540BF" w:rsidRPr="00817AF9" w:rsidRDefault="00A540BF" w:rsidP="00A540BF">
      <w:pPr>
        <w:ind w:firstLine="0"/>
        <w:jc w:val="center"/>
        <w:rPr>
          <w:rFonts w:ascii="Arial" w:eastAsia="Times New Roman" w:hAnsi="Arial" w:cs="Arial"/>
          <w:lang w:eastAsia="en-GB"/>
        </w:rPr>
      </w:pPr>
      <w:r w:rsidRPr="00817AF9">
        <w:rPr>
          <w:rFonts w:ascii="Arial" w:eastAsia="Times New Roman" w:hAnsi="Arial" w:cs="Arial"/>
          <w:lang w:eastAsia="en-GB"/>
        </w:rPr>
        <w:t>Vilnius, 2021</w:t>
      </w:r>
      <w:r w:rsidRPr="00817AF9">
        <w:rPr>
          <w:rFonts w:ascii="Arial" w:eastAsia="Times New Roman" w:hAnsi="Arial" w:cs="Arial"/>
          <w:lang w:eastAsia="en-GB"/>
        </w:rPr>
        <w:br w:type="page"/>
      </w:r>
    </w:p>
    <w:p w14:paraId="350F146C" w14:textId="4D4A4F39" w:rsidR="00AB0ED7" w:rsidRDefault="00AB0ED7" w:rsidP="00AB0ED7">
      <w:pPr>
        <w:spacing w:before="100" w:beforeAutospacing="1" w:after="100" w:afterAutospacing="1" w:line="360" w:lineRule="auto"/>
        <w:ind w:firstLine="0"/>
        <w:jc w:val="center"/>
        <w:rPr>
          <w:rFonts w:ascii="Arial" w:eastAsia="Times New Roman" w:hAnsi="Arial" w:cs="Arial"/>
          <w:lang w:eastAsia="en-GB"/>
        </w:rPr>
      </w:pPr>
      <w:r w:rsidRPr="00817AF9">
        <w:rPr>
          <w:rFonts w:ascii="Arial" w:hAnsi="Arial" w:cs="Arial"/>
          <w:b/>
        </w:rPr>
        <w:lastRenderedPageBreak/>
        <w:t>LYGINAMOJI STUDIJŲ PROCESO ORGANIZAVIMO VILNIAUS UNIVERSITETE IR ŠIAULIŲ UNIVERSITETE ANALIZĖ</w:t>
      </w:r>
    </w:p>
    <w:p w14:paraId="547BB43F" w14:textId="5B665435" w:rsidR="00A540BF" w:rsidRPr="00817AF9" w:rsidRDefault="00AB0ED7" w:rsidP="00A540BF">
      <w:pPr>
        <w:spacing w:before="100" w:beforeAutospacing="1" w:after="100" w:afterAutospacing="1" w:line="360" w:lineRule="auto"/>
        <w:jc w:val="both"/>
        <w:rPr>
          <w:rFonts w:ascii="Arial" w:eastAsia="Times New Roman" w:hAnsi="Arial" w:cs="Arial"/>
          <w:lang w:eastAsia="en-GB"/>
        </w:rPr>
      </w:pPr>
      <w:r>
        <w:rPr>
          <w:rFonts w:ascii="Arial" w:hAnsi="Arial" w:cs="Arial"/>
        </w:rPr>
        <w:t>R</w:t>
      </w:r>
      <w:r w:rsidRPr="00817AF9">
        <w:rPr>
          <w:rFonts w:ascii="Arial" w:hAnsi="Arial" w:cs="Arial"/>
        </w:rPr>
        <w:t>engiant naująjį Vilniaus universiteto studijų proceso administravimo modelį</w:t>
      </w:r>
      <w:r>
        <w:rPr>
          <w:rFonts w:ascii="Arial" w:hAnsi="Arial" w:cs="Arial"/>
        </w:rPr>
        <w:t xml:space="preserve">, projekto įgyvendinimo </w:t>
      </w:r>
      <w:r w:rsidR="00A540BF" w:rsidRPr="00817AF9">
        <w:rPr>
          <w:rFonts w:ascii="Arial" w:eastAsia="Times New Roman" w:hAnsi="Arial" w:cs="Arial"/>
          <w:lang w:eastAsia="en-GB"/>
        </w:rPr>
        <w:t xml:space="preserve">studijų srityje pirminėje stadijoje buvo siekiama identifikuoti esamus esminius studijų proceso organizavimo ir planavimo principų </w:t>
      </w:r>
      <w:r w:rsidR="00817AF9" w:rsidRPr="00817AF9">
        <w:rPr>
          <w:rFonts w:ascii="Arial" w:eastAsia="Times New Roman" w:hAnsi="Arial" w:cs="Arial"/>
          <w:b/>
          <w:bCs/>
          <w:lang w:eastAsia="en-GB"/>
        </w:rPr>
        <w:t>pagrindinius skirtumus</w:t>
      </w:r>
      <w:r w:rsidR="00A540BF" w:rsidRPr="00817AF9">
        <w:rPr>
          <w:rFonts w:ascii="Arial" w:eastAsia="Times New Roman" w:hAnsi="Arial" w:cs="Arial"/>
          <w:lang w:eastAsia="en-GB"/>
        </w:rPr>
        <w:t xml:space="preserve"> tarp Vilniaus universiteto ir Šiaulių universiteto:</w:t>
      </w:r>
    </w:p>
    <w:p w14:paraId="28BEA4B0" w14:textId="4F075F88" w:rsidR="00A540BF" w:rsidRPr="00817AF9" w:rsidRDefault="00A540BF" w:rsidP="00817AF9">
      <w:pPr>
        <w:spacing w:after="120" w:line="360" w:lineRule="auto"/>
        <w:ind w:firstLine="0"/>
        <w:jc w:val="both"/>
        <w:outlineLvl w:val="2"/>
        <w:rPr>
          <w:rFonts w:ascii="Arial" w:eastAsia="Times New Roman" w:hAnsi="Arial" w:cs="Arial"/>
          <w:b/>
          <w:bCs/>
          <w:lang w:eastAsia="en-GB"/>
        </w:rPr>
      </w:pPr>
      <w:r w:rsidRPr="00817AF9">
        <w:rPr>
          <w:rFonts w:ascii="Arial" w:eastAsia="Times New Roman" w:hAnsi="Arial" w:cs="Arial"/>
          <w:b/>
          <w:bCs/>
          <w:lang w:eastAsia="en-GB"/>
        </w:rPr>
        <w:t>Studijų procesas ir planavimas</w:t>
      </w:r>
    </w:p>
    <w:p w14:paraId="34C0B893" w14:textId="67717ED3" w:rsidR="00A540BF" w:rsidRPr="00817AF9" w:rsidRDefault="00A540BF" w:rsidP="00A540BF">
      <w:pPr>
        <w:numPr>
          <w:ilvl w:val="0"/>
          <w:numId w:val="1"/>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Pagrindinis civilinės atsakomybės objektas, įteisinantis studijuojančiojo aukštojoje mokykloje statusą – </w:t>
      </w:r>
      <w:r w:rsidRPr="00817AF9">
        <w:rPr>
          <w:rFonts w:ascii="Arial" w:eastAsia="Times New Roman" w:hAnsi="Arial" w:cs="Arial"/>
          <w:b/>
          <w:bCs/>
          <w:lang w:eastAsia="en-GB"/>
        </w:rPr>
        <w:t>studijų sutartis</w:t>
      </w:r>
      <w:r w:rsidRPr="00817AF9">
        <w:rPr>
          <w:rFonts w:ascii="Arial" w:eastAsia="Times New Roman" w:hAnsi="Arial" w:cs="Arial"/>
          <w:lang w:eastAsia="en-GB"/>
        </w:rPr>
        <w:t>, skirtingai nei Šiaulių universitete, Vilniaus universitete išsamiai apibrėžė ne tik studijuojančiojo pagrindines teises ir pareigas, apibrėžtas Lietuvos Respublikos mokslo ir studijų įstatyme, bet ir numatė papildomas sąlygas dėl studijuojančiųjų intelektinės nuosavybės apsaugos ir valdymo, asmens duomenų apsaugos ir valdymo, detalesnius aukštosios mokyklos ir studijuojančiojo tarpusavio įsipareigojimus įgyvendinant sutartinius studijų sutarties vykdymo ir įgyvendinimo įsipareigojimus (pavyzdžiui, Vilniaus universiteto tipinė studijų sutartis numatė atvejus, kuomet gali būti inicijuojamas studijų įmokos išieškojimas ir pan.). Atsižvelgiant į Šiaulių universitete vykdytą pedagoginių studijų specifiką, aukštųjų mokyklų reorganizavimo metu Vilniaus universiteto tipinė studijų sutartis buvo papildyta projektinio studijų finansavimo aspektu.</w:t>
      </w:r>
    </w:p>
    <w:p w14:paraId="6075A190" w14:textId="77777777" w:rsidR="00A540BF" w:rsidRPr="00817AF9" w:rsidRDefault="00A540BF" w:rsidP="00A540BF">
      <w:pPr>
        <w:numPr>
          <w:ilvl w:val="0"/>
          <w:numId w:val="1"/>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Įgyvendinant </w:t>
      </w:r>
      <w:r w:rsidRPr="00817AF9">
        <w:rPr>
          <w:rFonts w:ascii="Arial" w:eastAsia="Times New Roman" w:hAnsi="Arial" w:cs="Arial"/>
          <w:b/>
          <w:bCs/>
          <w:lang w:eastAsia="en-GB"/>
        </w:rPr>
        <w:t>studijų planavimo procesų</w:t>
      </w:r>
      <w:r w:rsidRPr="00817AF9">
        <w:rPr>
          <w:rFonts w:ascii="Arial" w:eastAsia="Times New Roman" w:hAnsi="Arial" w:cs="Arial"/>
          <w:lang w:eastAsia="en-GB"/>
        </w:rPr>
        <w:t xml:space="preserve"> integraciją, identifikuoti tam tikri studijų planavimo principų skirtumai tarp skirtingų aukštųjų mokyklų: </w:t>
      </w:r>
    </w:p>
    <w:p w14:paraId="1BC3FA11" w14:textId="77777777" w:rsidR="00A540BF" w:rsidRPr="00817AF9" w:rsidRDefault="00A540BF" w:rsidP="00A540BF">
      <w:pPr>
        <w:numPr>
          <w:ilvl w:val="1"/>
          <w:numId w:val="1"/>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Vilniaus universitete pavasario semestro studijos prasideda </w:t>
      </w:r>
      <w:r w:rsidRPr="00817AF9">
        <w:rPr>
          <w:rFonts w:ascii="Arial" w:eastAsia="Times New Roman" w:hAnsi="Arial" w:cs="Arial"/>
          <w:b/>
          <w:bCs/>
          <w:lang w:eastAsia="en-GB"/>
        </w:rPr>
        <w:t>vasario 4 d.</w:t>
      </w:r>
      <w:r w:rsidRPr="00817AF9">
        <w:rPr>
          <w:rFonts w:ascii="Arial" w:eastAsia="Times New Roman" w:hAnsi="Arial" w:cs="Arial"/>
          <w:lang w:eastAsia="en-GB"/>
        </w:rPr>
        <w:t xml:space="preserve">, o Šiaulių universitete – nuo </w:t>
      </w:r>
      <w:r w:rsidRPr="00817AF9">
        <w:rPr>
          <w:rFonts w:ascii="Arial" w:eastAsia="Times New Roman" w:hAnsi="Arial" w:cs="Arial"/>
          <w:b/>
          <w:bCs/>
          <w:lang w:eastAsia="en-GB"/>
        </w:rPr>
        <w:t>vasario 1 d.</w:t>
      </w:r>
    </w:p>
    <w:p w14:paraId="485D0F1B" w14:textId="77777777" w:rsidR="00A540BF" w:rsidRPr="00817AF9" w:rsidRDefault="00A540BF" w:rsidP="00A540BF">
      <w:pPr>
        <w:numPr>
          <w:ilvl w:val="1"/>
          <w:numId w:val="1"/>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Vilniaus universiteto studentai studijų pasirenkamuosius dalykus renkasi </w:t>
      </w:r>
      <w:r w:rsidRPr="00817AF9">
        <w:rPr>
          <w:rFonts w:ascii="Arial" w:eastAsia="Times New Roman" w:hAnsi="Arial" w:cs="Arial"/>
          <w:b/>
          <w:bCs/>
          <w:lang w:eastAsia="en-GB"/>
        </w:rPr>
        <w:t>vieno semestro</w:t>
      </w:r>
      <w:r w:rsidRPr="00817AF9">
        <w:rPr>
          <w:rFonts w:ascii="Arial" w:eastAsia="Times New Roman" w:hAnsi="Arial" w:cs="Arial"/>
          <w:lang w:eastAsia="en-GB"/>
        </w:rPr>
        <w:t xml:space="preserve"> laikotarpiui, tuo tarpu Šiaulių universiteto studentai – </w:t>
      </w:r>
      <w:r w:rsidRPr="00817AF9">
        <w:rPr>
          <w:rFonts w:ascii="Arial" w:eastAsia="Times New Roman" w:hAnsi="Arial" w:cs="Arial"/>
          <w:b/>
          <w:bCs/>
          <w:lang w:eastAsia="en-GB"/>
        </w:rPr>
        <w:t>vienerių studijų metų laikotarpiu</w:t>
      </w:r>
      <w:r w:rsidRPr="00817AF9">
        <w:rPr>
          <w:rFonts w:ascii="Arial" w:eastAsia="Times New Roman" w:hAnsi="Arial" w:cs="Arial"/>
          <w:lang w:eastAsia="en-GB"/>
        </w:rPr>
        <w:t>. Šis skirtumas gali būti paaiškinamas skirtingomis pedagoginio personalo krūvio planavimo metodikomis tarp skirtingų aukštųjų mokyklų.</w:t>
      </w:r>
    </w:p>
    <w:p w14:paraId="351949BD" w14:textId="77777777" w:rsidR="00A540BF" w:rsidRPr="00817AF9" w:rsidRDefault="00A540BF" w:rsidP="00A540BF">
      <w:pPr>
        <w:numPr>
          <w:ilvl w:val="1"/>
          <w:numId w:val="1"/>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Vilniaus universitete studijų tvarkaraščiai yra skelbiami likus 2–3 mėnesiams iki naujo studijų semestro pradžios; tuo tarpu Šiaulių universitete – likus 1 savaitei iki naujo studijų semestro pradžios.</w:t>
      </w:r>
    </w:p>
    <w:p w14:paraId="262EA3B7" w14:textId="77777777" w:rsidR="00A540BF" w:rsidRPr="00817AF9" w:rsidRDefault="00A540BF" w:rsidP="00A540BF">
      <w:pPr>
        <w:numPr>
          <w:ilvl w:val="1"/>
          <w:numId w:val="1"/>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lastRenderedPageBreak/>
        <w:t>Vilniaus universitete lankomumas studijų užsiėmimuose ir skatinimas dalyvauti juose yra deleguojamas akademinio personalo darbuotojų diskrecijai; tuo tarpu Šiaulių universiteto teisės aktai nustatė imperatyvias nuostatas, kuriomis studijuojantieji turėjo tiesioginę atsakomybę, nustatytą Šiaulių universiteto studijų nuostatuose, dalyvauti studijų užsiėmimuose.</w:t>
      </w:r>
    </w:p>
    <w:p w14:paraId="664B64F7" w14:textId="77777777" w:rsidR="00A540BF" w:rsidRPr="00817AF9" w:rsidRDefault="00A540BF" w:rsidP="00A540BF">
      <w:pPr>
        <w:numPr>
          <w:ilvl w:val="1"/>
          <w:numId w:val="1"/>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Vilniaus universitete studijuojantieji, jau pasirinkę studijų pasirenkamuosius dalykus, per naujojo semestro dvi savaites turi galimybę juos pakeisti. Šiaulių universitete pasirinkti studijų pasirenkamieji dalykai gali būti keičiami pateikus argumentuotą prašymą.</w:t>
      </w:r>
    </w:p>
    <w:p w14:paraId="756D4E7D" w14:textId="77777777" w:rsidR="00A540BF" w:rsidRPr="00817AF9" w:rsidRDefault="00A540BF" w:rsidP="00817AF9">
      <w:pPr>
        <w:spacing w:after="120" w:line="360" w:lineRule="auto"/>
        <w:ind w:firstLine="0"/>
        <w:jc w:val="both"/>
        <w:outlineLvl w:val="2"/>
        <w:rPr>
          <w:rFonts w:ascii="Arial" w:eastAsia="Times New Roman" w:hAnsi="Arial" w:cs="Arial"/>
          <w:b/>
          <w:bCs/>
          <w:lang w:eastAsia="en-GB"/>
        </w:rPr>
      </w:pPr>
      <w:r w:rsidRPr="00817AF9">
        <w:rPr>
          <w:rFonts w:ascii="Arial" w:eastAsia="Times New Roman" w:hAnsi="Arial" w:cs="Arial"/>
          <w:b/>
          <w:bCs/>
          <w:lang w:eastAsia="en-GB"/>
        </w:rPr>
        <w:t>Studijų pasiekimų vertinimas ir jo procesas</w:t>
      </w:r>
    </w:p>
    <w:p w14:paraId="7D690DCA" w14:textId="77777777" w:rsidR="00A540BF" w:rsidRPr="00817AF9" w:rsidRDefault="00A540BF" w:rsidP="00A540BF">
      <w:pPr>
        <w:numPr>
          <w:ilvl w:val="0"/>
          <w:numId w:val="2"/>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Tiek Vilniaus universitete, tiek ir Šiaulių universitete studijuojančiųjų studijų pasiekimai yra skirstomi į tris lygmenis – </w:t>
      </w:r>
      <w:r w:rsidRPr="00817AF9">
        <w:rPr>
          <w:rFonts w:ascii="Arial" w:eastAsia="Times New Roman" w:hAnsi="Arial" w:cs="Arial"/>
          <w:b/>
          <w:bCs/>
          <w:lang w:eastAsia="en-GB"/>
        </w:rPr>
        <w:t>puikų</w:t>
      </w:r>
      <w:r w:rsidRPr="00817AF9">
        <w:rPr>
          <w:rFonts w:ascii="Arial" w:eastAsia="Times New Roman" w:hAnsi="Arial" w:cs="Arial"/>
          <w:lang w:eastAsia="en-GB"/>
        </w:rPr>
        <w:t xml:space="preserve">, </w:t>
      </w:r>
      <w:r w:rsidRPr="00817AF9">
        <w:rPr>
          <w:rFonts w:ascii="Arial" w:eastAsia="Times New Roman" w:hAnsi="Arial" w:cs="Arial"/>
          <w:b/>
          <w:bCs/>
          <w:lang w:eastAsia="en-GB"/>
        </w:rPr>
        <w:t>tipinį</w:t>
      </w:r>
      <w:r w:rsidRPr="00817AF9">
        <w:rPr>
          <w:rFonts w:ascii="Arial" w:eastAsia="Times New Roman" w:hAnsi="Arial" w:cs="Arial"/>
          <w:lang w:eastAsia="en-GB"/>
        </w:rPr>
        <w:t xml:space="preserve"> ir </w:t>
      </w:r>
      <w:r w:rsidRPr="00817AF9">
        <w:rPr>
          <w:rFonts w:ascii="Arial" w:eastAsia="Times New Roman" w:hAnsi="Arial" w:cs="Arial"/>
          <w:b/>
          <w:bCs/>
          <w:lang w:eastAsia="en-GB"/>
        </w:rPr>
        <w:t>slenkstinį</w:t>
      </w:r>
      <w:r w:rsidRPr="00817AF9">
        <w:rPr>
          <w:rFonts w:ascii="Arial" w:eastAsia="Times New Roman" w:hAnsi="Arial" w:cs="Arial"/>
          <w:lang w:eastAsia="en-GB"/>
        </w:rPr>
        <w:t xml:space="preserve">, tačiau skiriasi šių lygmenų apimtys įvertinimais: </w:t>
      </w:r>
    </w:p>
    <w:p w14:paraId="4242EC4E" w14:textId="77777777" w:rsidR="00A540BF" w:rsidRPr="00817AF9" w:rsidRDefault="00A540BF" w:rsidP="00A540BF">
      <w:pPr>
        <w:numPr>
          <w:ilvl w:val="1"/>
          <w:numId w:val="2"/>
        </w:numPr>
        <w:spacing w:after="120" w:line="360" w:lineRule="auto"/>
        <w:jc w:val="both"/>
        <w:rPr>
          <w:rFonts w:ascii="Arial" w:eastAsia="Times New Roman" w:hAnsi="Arial" w:cs="Arial"/>
          <w:lang w:eastAsia="en-GB"/>
        </w:rPr>
      </w:pPr>
      <w:r w:rsidRPr="00817AF9">
        <w:rPr>
          <w:rFonts w:ascii="Arial" w:eastAsia="Times New Roman" w:hAnsi="Arial" w:cs="Arial"/>
          <w:b/>
          <w:bCs/>
          <w:lang w:eastAsia="en-GB"/>
        </w:rPr>
        <w:t>Puikus</w:t>
      </w:r>
      <w:r w:rsidRPr="00817AF9">
        <w:rPr>
          <w:rFonts w:ascii="Arial" w:eastAsia="Times New Roman" w:hAnsi="Arial" w:cs="Arial"/>
          <w:lang w:eastAsia="en-GB"/>
        </w:rPr>
        <w:t xml:space="preserve"> pasiekimų lygmuo Vilniaus universitete ir Šiaulių universitete apėmė įvertinimus 9 ir 10;</w:t>
      </w:r>
    </w:p>
    <w:p w14:paraId="1C7031CC" w14:textId="77777777" w:rsidR="00A540BF" w:rsidRPr="00817AF9" w:rsidRDefault="00A540BF" w:rsidP="00A540BF">
      <w:pPr>
        <w:numPr>
          <w:ilvl w:val="1"/>
          <w:numId w:val="2"/>
        </w:numPr>
        <w:spacing w:after="120" w:line="360" w:lineRule="auto"/>
        <w:jc w:val="both"/>
        <w:rPr>
          <w:rFonts w:ascii="Arial" w:eastAsia="Times New Roman" w:hAnsi="Arial" w:cs="Arial"/>
          <w:lang w:eastAsia="en-GB"/>
        </w:rPr>
      </w:pPr>
      <w:r w:rsidRPr="00817AF9">
        <w:rPr>
          <w:rFonts w:ascii="Arial" w:eastAsia="Times New Roman" w:hAnsi="Arial" w:cs="Arial"/>
          <w:b/>
          <w:bCs/>
          <w:lang w:eastAsia="en-GB"/>
        </w:rPr>
        <w:t>Tipinis</w:t>
      </w:r>
      <w:r w:rsidRPr="00817AF9">
        <w:rPr>
          <w:rFonts w:ascii="Arial" w:eastAsia="Times New Roman" w:hAnsi="Arial" w:cs="Arial"/>
          <w:lang w:eastAsia="en-GB"/>
        </w:rPr>
        <w:t xml:space="preserve"> pasiekimų lygmuo Vilniaus universitete apėmė įvertinimus 5, 6, 7, 8, o Šiaulių universitete – 7 ir 8.</w:t>
      </w:r>
    </w:p>
    <w:p w14:paraId="17332133" w14:textId="77777777" w:rsidR="00A540BF" w:rsidRPr="00817AF9" w:rsidRDefault="00A540BF" w:rsidP="00A540BF">
      <w:pPr>
        <w:numPr>
          <w:ilvl w:val="1"/>
          <w:numId w:val="2"/>
        </w:numPr>
        <w:spacing w:after="120" w:line="360" w:lineRule="auto"/>
        <w:jc w:val="both"/>
        <w:rPr>
          <w:rFonts w:ascii="Arial" w:eastAsia="Times New Roman" w:hAnsi="Arial" w:cs="Arial"/>
          <w:lang w:eastAsia="en-GB"/>
        </w:rPr>
      </w:pPr>
      <w:r w:rsidRPr="00817AF9">
        <w:rPr>
          <w:rFonts w:ascii="Arial" w:eastAsia="Times New Roman" w:hAnsi="Arial" w:cs="Arial"/>
          <w:b/>
          <w:bCs/>
          <w:lang w:eastAsia="en-GB"/>
        </w:rPr>
        <w:t>Slenkstinis</w:t>
      </w:r>
      <w:r w:rsidRPr="00817AF9">
        <w:rPr>
          <w:rFonts w:ascii="Arial" w:eastAsia="Times New Roman" w:hAnsi="Arial" w:cs="Arial"/>
          <w:lang w:eastAsia="en-GB"/>
        </w:rPr>
        <w:t xml:space="preserve"> pasiekimų lygmuo Vilniaus universitete apėmė įvertinimus 4 ir 5, o Šiaulių universitete – 5 ir 6.</w:t>
      </w:r>
    </w:p>
    <w:p w14:paraId="1F8D5CF3" w14:textId="77777777" w:rsidR="00A540BF" w:rsidRPr="00817AF9" w:rsidRDefault="00A540BF" w:rsidP="00A540BF">
      <w:pPr>
        <w:numPr>
          <w:ilvl w:val="0"/>
          <w:numId w:val="2"/>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Studijuojančiajam pakartotinio galutinio studijų pasiekimų vertinimo metu studijuojančiajam pasiekus žemesnį nei slenkstinį studijų pasiekimų lygmenį, Vilniaus universitete, skirtingai nei Šiaulių universitete, yra fiksuojama </w:t>
      </w:r>
      <w:r w:rsidRPr="00817AF9">
        <w:rPr>
          <w:rFonts w:ascii="Arial" w:eastAsia="Times New Roman" w:hAnsi="Arial" w:cs="Arial"/>
          <w:b/>
          <w:bCs/>
          <w:lang w:eastAsia="en-GB"/>
        </w:rPr>
        <w:t>skola</w:t>
      </w:r>
      <w:r w:rsidRPr="00817AF9">
        <w:rPr>
          <w:rFonts w:ascii="Arial" w:eastAsia="Times New Roman" w:hAnsi="Arial" w:cs="Arial"/>
          <w:lang w:eastAsia="en-GB"/>
        </w:rPr>
        <w:t xml:space="preserve">, o Šiaulių universitete – </w:t>
      </w:r>
      <w:r w:rsidRPr="00817AF9">
        <w:rPr>
          <w:rFonts w:ascii="Arial" w:eastAsia="Times New Roman" w:hAnsi="Arial" w:cs="Arial"/>
          <w:b/>
          <w:bCs/>
          <w:lang w:eastAsia="en-GB"/>
        </w:rPr>
        <w:t>akademinė skola</w:t>
      </w:r>
      <w:r w:rsidRPr="00817AF9">
        <w:rPr>
          <w:rFonts w:ascii="Arial" w:eastAsia="Times New Roman" w:hAnsi="Arial" w:cs="Arial"/>
          <w:lang w:eastAsia="en-GB"/>
        </w:rPr>
        <w:t>.</w:t>
      </w:r>
    </w:p>
    <w:p w14:paraId="0D338B54" w14:textId="77777777" w:rsidR="00A540BF" w:rsidRPr="00817AF9" w:rsidRDefault="00A540BF" w:rsidP="00A540BF">
      <w:pPr>
        <w:numPr>
          <w:ilvl w:val="0"/>
          <w:numId w:val="2"/>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Šiaulių universiteto teisės aktai studijuojantiesiems Šiaulių universitete numatė galimybę turėti du dalyko (modulio) perlaikymus: vieną perlaikymą galima laikyti nemokamai (taip, kaip tai numato Lietuvos Respublikos mokslo ir studijų įstatymas), o kitą – už fiksuotą 23,00 EUR įmoką. Tuo tarpu studijuojantieji Vilniaus universitete turėjo galimybę dalyką (modulį) perlaikyti tik vieną kartą (nemokamai).</w:t>
      </w:r>
    </w:p>
    <w:p w14:paraId="0D74E013" w14:textId="77777777" w:rsidR="00A540BF" w:rsidRPr="00817AF9" w:rsidRDefault="00A540BF" w:rsidP="00A540BF">
      <w:pPr>
        <w:numPr>
          <w:ilvl w:val="0"/>
          <w:numId w:val="2"/>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Pastebėta, kad tarp aukštųjų mokyklų skiriasi skolų ir (ar) akademinių skolų ribos, kuomet jas pasiekus studijuojančiajam galėjo būti nutraukiama studijų sutartis dėl nepažangumo aukštosios mokyklos iniciatyva: Vilniaus universitete studijų sutartis su studijuojančiuoju galėjo būti nutraukiama jam pasiekus daugiau nei 15 ECTS kreditų </w:t>
      </w:r>
      <w:r w:rsidRPr="00817AF9">
        <w:rPr>
          <w:rFonts w:ascii="Arial" w:eastAsia="Times New Roman" w:hAnsi="Arial" w:cs="Arial"/>
          <w:lang w:eastAsia="en-GB"/>
        </w:rPr>
        <w:lastRenderedPageBreak/>
        <w:t>skolų ir (ar) akademinių skolų; tuo tarpu Šiaulių universitete – surinkus 3 dalykų (modulių) akademines skolas, neatsižvelgiant į dalykų (modulių) apimtį kreditais.</w:t>
      </w:r>
    </w:p>
    <w:p w14:paraId="57C4E21D" w14:textId="00CBD313" w:rsidR="00A540BF" w:rsidRPr="00817AF9" w:rsidRDefault="00A540BF" w:rsidP="00A540BF">
      <w:pPr>
        <w:numPr>
          <w:ilvl w:val="0"/>
          <w:numId w:val="2"/>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Studijuojančiajam, siekiančiam kartoti dalyko (modulio) kursą, Vilniaus universitete nėra taikomi kartojimo apribojimai. Šiaulių universitete studentas gali pasinaudoti kurso kartojimo galimybe ne daugiau kaip </w:t>
      </w:r>
      <w:r w:rsidR="00817AF9" w:rsidRPr="00817AF9">
        <w:rPr>
          <w:rFonts w:ascii="Arial" w:eastAsia="Times New Roman" w:hAnsi="Arial" w:cs="Arial"/>
          <w:lang w:eastAsia="en-GB"/>
        </w:rPr>
        <w:t>du</w:t>
      </w:r>
      <w:r w:rsidRPr="00817AF9">
        <w:rPr>
          <w:rFonts w:ascii="Arial" w:eastAsia="Times New Roman" w:hAnsi="Arial" w:cs="Arial"/>
          <w:lang w:eastAsia="en-GB"/>
        </w:rPr>
        <w:t xml:space="preserve"> kartus ir studentas, išnaudojęs šį limitą, yra braukiamas iš Šiaulių universiteto studentų sąrašų.</w:t>
      </w:r>
    </w:p>
    <w:p w14:paraId="372348A1" w14:textId="77777777" w:rsidR="00A540BF" w:rsidRPr="00817AF9" w:rsidRDefault="00A540BF" w:rsidP="00A540BF">
      <w:pPr>
        <w:numPr>
          <w:ilvl w:val="0"/>
          <w:numId w:val="2"/>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Pastebima, kad tarp aukštųjų mokyklų skiriasi studijų rezultatų apskaitos procedūros studijų informacinėse sistemose: Vilniaus universitete studijų pasiekimų galutiniai žinių įvertinimai yra fiksuojami ne vėliau kaip per 5 darbo dienas nuo įvykusio galutinio studijų pasiekimų vertinimo (egzamino) datos, tuo tarpu Šiaulių universitete galutinio studijų pasiekimų vertinimo (egzamino) studijų rezultatai įvedami likus 3 darbo dienoms iki studijų semestro pabaigos.</w:t>
      </w:r>
    </w:p>
    <w:p w14:paraId="5FA61703" w14:textId="77777777" w:rsidR="00A540BF" w:rsidRPr="00817AF9" w:rsidRDefault="00A540BF" w:rsidP="00A540BF">
      <w:pPr>
        <w:numPr>
          <w:ilvl w:val="0"/>
          <w:numId w:val="2"/>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Svarbu pažymėti, kad tarp aukštųjų mokyklų skiriasi apeliavimo dėl studijų rezultatų tvarka: Vilniaus universitete yra numatyta, kad studijuojantieji, nesutinkantys su galutiniu dalyko (modulio) įvertinimu (išskyrus baigiamųjų egzaminų ir baigiamojo darbo gynimo įvertinimus), ne vėliau kaip per septynias kalendorines dienas nuo galutinio dalyko (modulio) įvertinimo paskelbimo dienos, o dėl tarpinių atsiskaitymų, galutinio dalyko (modulio) studijų pasiekimų vertinimo, baigiamojo egzamino ar baigiamojo darbo gynimo procedūrinių pažeidimų – ne vėliau kaip per tris darbo dienas po tarpinių atsiskaitymų, galutinio dalyko (modulio) studijų pasiekimų vertinimo, baigiamojo egzamino ar baigiamojo darbo gynimo dienos, turi teisę motyvuotu raštu kreiptis į kamieninio akademinio padalinio ginčų nagrinėjimo komisiją nustatyta tvarka.</w:t>
      </w:r>
    </w:p>
    <w:p w14:paraId="01CDB5B8" w14:textId="77777777" w:rsidR="00A540BF" w:rsidRPr="00817AF9" w:rsidRDefault="00A540BF" w:rsidP="00A540BF">
      <w:pPr>
        <w:numPr>
          <w:ilvl w:val="0"/>
          <w:numId w:val="2"/>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Kitaip negu Šiaulių universitete, Vilniaus universitete studentų finansinei paramai už studijų pasiekimus du kartus per vienerius studijų metus yra sudaroma </w:t>
      </w:r>
      <w:r w:rsidRPr="00817AF9">
        <w:rPr>
          <w:rFonts w:ascii="Arial" w:eastAsia="Times New Roman" w:hAnsi="Arial" w:cs="Arial"/>
          <w:b/>
          <w:bCs/>
          <w:lang w:eastAsia="en-GB"/>
        </w:rPr>
        <w:t>geriausiųjų studentų pažangumo eilė</w:t>
      </w:r>
      <w:r w:rsidRPr="00817AF9">
        <w:rPr>
          <w:rFonts w:ascii="Arial" w:eastAsia="Times New Roman" w:hAnsi="Arial" w:cs="Arial"/>
          <w:lang w:eastAsia="en-GB"/>
        </w:rPr>
        <w:t>.</w:t>
      </w:r>
    </w:p>
    <w:p w14:paraId="4BC10F56" w14:textId="77777777" w:rsidR="00A540BF" w:rsidRPr="00817AF9" w:rsidRDefault="00A540BF" w:rsidP="00817AF9">
      <w:pPr>
        <w:spacing w:after="120" w:line="360" w:lineRule="auto"/>
        <w:ind w:firstLine="0"/>
        <w:jc w:val="both"/>
        <w:outlineLvl w:val="1"/>
        <w:rPr>
          <w:rFonts w:ascii="Arial" w:eastAsia="Times New Roman" w:hAnsi="Arial" w:cs="Arial"/>
          <w:b/>
          <w:bCs/>
          <w:lang w:eastAsia="en-GB"/>
        </w:rPr>
      </w:pPr>
      <w:r w:rsidRPr="00817AF9">
        <w:rPr>
          <w:rFonts w:ascii="Arial" w:eastAsia="Times New Roman" w:hAnsi="Arial" w:cs="Arial"/>
          <w:b/>
          <w:bCs/>
          <w:lang w:eastAsia="en-GB"/>
        </w:rPr>
        <w:t>Studijų duomenys ir jų administravimas</w:t>
      </w:r>
    </w:p>
    <w:p w14:paraId="487638A0" w14:textId="77777777" w:rsidR="00A540BF" w:rsidRPr="00817AF9" w:rsidRDefault="00A540BF" w:rsidP="00A540BF">
      <w:pPr>
        <w:numPr>
          <w:ilvl w:val="0"/>
          <w:numId w:val="3"/>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Pastebėtina, kad Vilniaus universitetas ir Šiaulių universitetas naudoja skirtingas informacines sistemas, skirtas studijų proceso administravimui: Vilniaus universitete yra naudojama Vilniaus universiteto studijų informacinė sistema, kurią aptarnauja Vilniaus universiteto Informacinių technologijų ir paslaugų centras; Šiaulių universitete yra naudojama Šiaulių universiteto akademinės informacijos sistema, aptarnaujama Kauno technologijos universiteto.</w:t>
      </w:r>
    </w:p>
    <w:p w14:paraId="7A672F8F" w14:textId="77777777" w:rsidR="00A540BF" w:rsidRPr="00817AF9" w:rsidRDefault="00A540BF" w:rsidP="00A540BF">
      <w:pPr>
        <w:numPr>
          <w:ilvl w:val="0"/>
          <w:numId w:val="3"/>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lastRenderedPageBreak/>
        <w:t>Vilniaus universiteto studijų informacinė sistema yra turinti gilesnę integraciją su valstybiniais registrais ir duomenų bazėmis – Studentų registru, Pedagogų registru, Diplomų, atestatų ir kvalifikacijos pažymėjimų registru, Elektronine plagiato atpažinimo sistema, Elektroninės Lietuvos akademinės bibliotekos (eLABa) duomenų bazėmis ir serveriais – kitaip nei Šiaulių universiteto akademinės informacijos sistema.</w:t>
      </w:r>
    </w:p>
    <w:p w14:paraId="63986E31" w14:textId="77777777" w:rsidR="00A540BF" w:rsidRPr="00817AF9" w:rsidRDefault="00A540BF" w:rsidP="00A540BF">
      <w:pPr>
        <w:numPr>
          <w:ilvl w:val="0"/>
          <w:numId w:val="3"/>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Nesant gilesnei Šiaulių universiteto akademinės informacijos sistemos integracijai su išorės sistemomis, Šiaulių universitete studijuojančiųjų studijų baigiamieji darbai plagiato atpažinimui yra pačių studijuojančiųjų savarankiškai yra keliami į eLABa duomenų bazes. Vilniaus universiteto studijų informacinėje sistemoje studentai gali patalpinti joje savo studijų baigiamuosius darbus, kuriuos vėliau sistema pati savarankiškai perduoda įkeltą darbą į eLABa posistemes ir automatiškai atlieka įkeliamo darbo sutaptį su kitais posistemėje esančiais darbais.</w:t>
      </w:r>
    </w:p>
    <w:p w14:paraId="69C847B5" w14:textId="77777777" w:rsidR="00A540BF" w:rsidRPr="00817AF9" w:rsidRDefault="00A540BF" w:rsidP="00A540BF">
      <w:pPr>
        <w:numPr>
          <w:ilvl w:val="0"/>
          <w:numId w:val="3"/>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Taip pat yra pastebėtina, kad Vilniaus universiteto studijų informacinė sistema turi labiau išvystytą studijų administravimo įrankį – automatinius teikimus ir įsakymus, kurių rengime yra reikalingas minimalus žmogiškojo faktoriaus įsikišimas.</w:t>
      </w:r>
    </w:p>
    <w:p w14:paraId="4373D8E6" w14:textId="77777777" w:rsidR="00A540BF" w:rsidRPr="00817AF9" w:rsidRDefault="00A540BF" w:rsidP="00817AF9">
      <w:pPr>
        <w:spacing w:after="120" w:line="360" w:lineRule="auto"/>
        <w:ind w:firstLine="0"/>
        <w:jc w:val="both"/>
        <w:outlineLvl w:val="1"/>
        <w:rPr>
          <w:rFonts w:ascii="Arial" w:eastAsia="Times New Roman" w:hAnsi="Arial" w:cs="Arial"/>
          <w:b/>
          <w:bCs/>
          <w:lang w:eastAsia="en-GB"/>
        </w:rPr>
      </w:pPr>
      <w:r w:rsidRPr="00817AF9">
        <w:rPr>
          <w:rFonts w:ascii="Arial" w:eastAsia="Times New Roman" w:hAnsi="Arial" w:cs="Arial"/>
          <w:b/>
          <w:bCs/>
          <w:lang w:eastAsia="en-GB"/>
        </w:rPr>
        <w:t>Studijų finansai ir jų valdymas</w:t>
      </w:r>
    </w:p>
    <w:p w14:paraId="4E54C9D8" w14:textId="77777777" w:rsidR="00A540BF" w:rsidRPr="00817AF9" w:rsidRDefault="00A540BF" w:rsidP="00A540BF">
      <w:pPr>
        <w:numPr>
          <w:ilvl w:val="0"/>
          <w:numId w:val="4"/>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Svarbu pažymėti, kad Šiaulių universitete nebuvo tinkamai apibrėžtos procedūros, susijusios su studijų įmokų išieškojimu iš studijuojančiųjų, kuomet yra neįvykdomi civiliniai studijų sutarties įgyvendinimo įsipareigojimai, dėl ko faktiškai Šiaulių universitete skolų išieškojimų iš studijuojančiųjų procedūros nebūdavo inicijuojamos ir Šiaulių universitetas patirdavo nuostolius. Vilniaus universitete įmokų už studijas išieškojimo procedūrą nustato Vilniaus universiteto studijuojančiųjų įmokų už studijas mokėjimo, grąžinimo ir išieškojimo tvarkos aprašas ir kiti Universiteto teisės aktai, nustatantys civilinių ieškinių inicijavimą teisminiu keliu.</w:t>
      </w:r>
    </w:p>
    <w:p w14:paraId="25D03897" w14:textId="1A82ACD0" w:rsidR="00A540BF" w:rsidRPr="00817AF9" w:rsidRDefault="00A540BF" w:rsidP="00A540BF">
      <w:pPr>
        <w:numPr>
          <w:ilvl w:val="0"/>
          <w:numId w:val="4"/>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Abiejuose universitetuose egzistuoja įmokų už studijas grąžinimo procedūra, tačiau kiekvienoje aukštojoje mokykloje ji yra taikoma skirtingai: pavyzdžiui, Vilniaus universitete pilnai sumokėta įmoka už studijas gali būti grąžinama, jeigu studentas nedalyvavo studijų užsiėmimuose ir yra tai pagrindžiančių įrodymų; tuo tarpu Šiaulių universitete nedalyvaujant studijų veiklose įmoka už studijas nėra grąžinama. Vilniaus universitete įmokos už studijas yra grąžinamos proporcingai atsižvelgiant į išstudijuotą studijų laikotarpį (pavyzdžiui, grąžinama 60 proc. studijų įmokos, jeigu studijuojantysis studijų sutartį nutraukė spalio 1–31 d. (pavasario semestre – kovo 1–31 d.).</w:t>
      </w:r>
    </w:p>
    <w:p w14:paraId="4017B985" w14:textId="77777777" w:rsidR="00A540BF" w:rsidRPr="00817AF9" w:rsidRDefault="00A540BF" w:rsidP="00A540BF">
      <w:pPr>
        <w:numPr>
          <w:ilvl w:val="0"/>
          <w:numId w:val="4"/>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lastRenderedPageBreak/>
        <w:t>Pastebima, kad Šiaulių universitete, kitaip nei Vilniaus universitete, visiškas (arba iš dalies) atleidimas nuo studijų įmokos gali būti taikytinas studijuojantiesiems, esantiems sunkioje materialioje padėtyje. Atvejus, kuomet atleidimas nuo studijų įmokos gali būti taikytinas, svarsto Šiaulių universiteto rektoriaus įsakymu sudaroma Studijų mokesčio sumažinimo ar visiško atleidimo nuo mokesčių už studijas komisija</w:t>
      </w:r>
    </w:p>
    <w:p w14:paraId="6934F3CA" w14:textId="77777777" w:rsidR="00A540BF" w:rsidRPr="00817AF9" w:rsidRDefault="00A540BF" w:rsidP="00A540BF">
      <w:pPr>
        <w:numPr>
          <w:ilvl w:val="0"/>
          <w:numId w:val="4"/>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Šiaulių universitete sprendimą dėl mokėjimo atidėjimo dalimis, mokėjimo termino atidėjimo, atleidimo nuo mokesčio (ar jo dalies) priima Šiaulių universiteto rektoriaus įsakymu sudaryta Studijų mokesčio sumažinimo ar visiško atleidimo nuo mokesčių už studijas komisija, tuo tarpu Vilniuas universitete – kamieninio akademinio padalinio (fakulteto) vadovas (kai kuriais atvejais – kamieninio akademinio padalinio (fakulteto) taryba).</w:t>
      </w:r>
    </w:p>
    <w:p w14:paraId="2F79695F" w14:textId="77777777" w:rsidR="00A540BF" w:rsidRPr="00817AF9" w:rsidRDefault="00A540BF" w:rsidP="00A540BF">
      <w:pPr>
        <w:numPr>
          <w:ilvl w:val="0"/>
          <w:numId w:val="4"/>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Dalyje Šiaulių universitete vykdomų studijų programų studentų studijų finansavimas yra užtikrinamas su juridiniais asmenimis sudarant trišales (</w:t>
      </w:r>
      <w:r w:rsidRPr="00817AF9">
        <w:rPr>
          <w:rFonts w:ascii="Arial" w:eastAsia="Times New Roman" w:hAnsi="Arial" w:cs="Arial"/>
          <w:i/>
          <w:iCs/>
          <w:lang w:eastAsia="en-GB"/>
        </w:rPr>
        <w:t>studentas</w:t>
      </w:r>
      <w:r w:rsidRPr="00817AF9">
        <w:rPr>
          <w:rFonts w:ascii="Arial" w:eastAsia="Times New Roman" w:hAnsi="Arial" w:cs="Arial"/>
          <w:lang w:eastAsia="en-GB"/>
        </w:rPr>
        <w:t xml:space="preserve"> – </w:t>
      </w:r>
      <w:r w:rsidRPr="00817AF9">
        <w:rPr>
          <w:rFonts w:ascii="Arial" w:eastAsia="Times New Roman" w:hAnsi="Arial" w:cs="Arial"/>
          <w:i/>
          <w:iCs/>
          <w:lang w:eastAsia="en-GB"/>
        </w:rPr>
        <w:t>juridinis asmuo</w:t>
      </w:r>
      <w:r w:rsidRPr="00817AF9">
        <w:rPr>
          <w:rFonts w:ascii="Arial" w:eastAsia="Times New Roman" w:hAnsi="Arial" w:cs="Arial"/>
          <w:lang w:eastAsia="en-GB"/>
        </w:rPr>
        <w:t xml:space="preserve"> – </w:t>
      </w:r>
      <w:r w:rsidRPr="00817AF9">
        <w:rPr>
          <w:rFonts w:ascii="Arial" w:eastAsia="Times New Roman" w:hAnsi="Arial" w:cs="Arial"/>
          <w:i/>
          <w:iCs/>
          <w:lang w:eastAsia="en-GB"/>
        </w:rPr>
        <w:t>universitetas</w:t>
      </w:r>
      <w:r w:rsidRPr="00817AF9">
        <w:rPr>
          <w:rFonts w:ascii="Arial" w:eastAsia="Times New Roman" w:hAnsi="Arial" w:cs="Arial"/>
          <w:lang w:eastAsia="en-GB"/>
        </w:rPr>
        <w:t>) tikslines sutartis. Vilniaus universitete nuo 2016 m. trišalės studijų finansavimo sutartys nėra sudaromos.</w:t>
      </w:r>
    </w:p>
    <w:p w14:paraId="5FCC24F2" w14:textId="77777777" w:rsidR="00A540BF" w:rsidRPr="00817AF9" w:rsidRDefault="00A540BF" w:rsidP="00A540BF">
      <w:pPr>
        <w:numPr>
          <w:ilvl w:val="0"/>
          <w:numId w:val="4"/>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Studijuojančiajam, siekiančiam sumažinti studijų įmoką ar būti atleistam nuo jos, Šiaulių universitete, kitaip nei Vilniaus universitete, yra taikomi papildomi reikalavimai – pavyzdžiui: </w:t>
      </w:r>
    </w:p>
    <w:p w14:paraId="35B24409" w14:textId="77777777" w:rsidR="00A540BF" w:rsidRPr="00817AF9" w:rsidRDefault="00A540BF" w:rsidP="00A540BF">
      <w:pPr>
        <w:numPr>
          <w:ilvl w:val="1"/>
          <w:numId w:val="4"/>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studijuojantysis neturi turėti akademinių skolų;</w:t>
      </w:r>
    </w:p>
    <w:p w14:paraId="12E8EB3C" w14:textId="77777777" w:rsidR="00A540BF" w:rsidRPr="00817AF9" w:rsidRDefault="00A540BF" w:rsidP="00A540BF">
      <w:pPr>
        <w:numPr>
          <w:ilvl w:val="1"/>
          <w:numId w:val="4"/>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studijuojantysis yra pasinaudojęs galimybe gauti ir gavo valstybės remiamą paskolą.</w:t>
      </w:r>
    </w:p>
    <w:p w14:paraId="0C9507BC" w14:textId="2D3637F2" w:rsidR="00A540BF" w:rsidRPr="00817AF9" w:rsidRDefault="00A540BF" w:rsidP="00817AF9">
      <w:pPr>
        <w:spacing w:after="120" w:line="360" w:lineRule="auto"/>
        <w:ind w:firstLine="0"/>
        <w:jc w:val="both"/>
        <w:outlineLvl w:val="1"/>
        <w:rPr>
          <w:rFonts w:ascii="Arial" w:eastAsia="Times New Roman" w:hAnsi="Arial" w:cs="Arial"/>
          <w:b/>
          <w:bCs/>
          <w:lang w:eastAsia="en-GB"/>
        </w:rPr>
      </w:pPr>
      <w:r w:rsidRPr="00817AF9">
        <w:rPr>
          <w:rFonts w:ascii="Arial" w:eastAsia="Times New Roman" w:hAnsi="Arial" w:cs="Arial"/>
          <w:b/>
          <w:bCs/>
          <w:lang w:eastAsia="en-GB"/>
        </w:rPr>
        <w:t>St</w:t>
      </w:r>
      <w:r w:rsidR="00817AF9" w:rsidRPr="00817AF9">
        <w:rPr>
          <w:rFonts w:ascii="Arial" w:eastAsia="Times New Roman" w:hAnsi="Arial" w:cs="Arial"/>
          <w:b/>
          <w:bCs/>
          <w:lang w:eastAsia="en-GB"/>
        </w:rPr>
        <w:t>udijuojančiųjų ir aukštosios mokyklos teisiniai įsipareigojimai</w:t>
      </w:r>
      <w:r w:rsidRPr="00817AF9">
        <w:rPr>
          <w:rFonts w:ascii="Arial" w:eastAsia="Times New Roman" w:hAnsi="Arial" w:cs="Arial"/>
          <w:b/>
          <w:bCs/>
          <w:lang w:eastAsia="en-GB"/>
        </w:rPr>
        <w:t xml:space="preserve"> ir studijų baigimas</w:t>
      </w:r>
    </w:p>
    <w:p w14:paraId="4C566DD8" w14:textId="77777777" w:rsidR="00A540BF" w:rsidRPr="00817AF9" w:rsidRDefault="00A540BF" w:rsidP="00A540BF">
      <w:pPr>
        <w:numPr>
          <w:ilvl w:val="0"/>
          <w:numId w:val="5"/>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Vilniaus universitete studijų sutartys yra sudaromos ir generuojamos Vilniaus universiteto studijų informacinėje sistemoje studijuojantiesiems jas pasirašant per sistemos išorinį portalą – Internetinę studijuojančiųjų aptarnavimo sistemą.</w:t>
      </w:r>
    </w:p>
    <w:p w14:paraId="2AC0DA4D" w14:textId="32E4BAB8" w:rsidR="00A540BF" w:rsidRPr="00817AF9" w:rsidRDefault="00A540BF" w:rsidP="00A540BF">
      <w:pPr>
        <w:numPr>
          <w:ilvl w:val="0"/>
          <w:numId w:val="5"/>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Pagrindinis civilinės atsakomybės objektas, įteisinantis studijuojančiojo aukštojoje mokykloje statusą – </w:t>
      </w:r>
      <w:r w:rsidRPr="00817AF9">
        <w:rPr>
          <w:rFonts w:ascii="Arial" w:eastAsia="Times New Roman" w:hAnsi="Arial" w:cs="Arial"/>
          <w:b/>
          <w:bCs/>
          <w:lang w:eastAsia="en-GB"/>
        </w:rPr>
        <w:t>studijų sutartis</w:t>
      </w:r>
      <w:r w:rsidRPr="00817AF9">
        <w:rPr>
          <w:rFonts w:ascii="Arial" w:eastAsia="Times New Roman" w:hAnsi="Arial" w:cs="Arial"/>
          <w:lang w:eastAsia="en-GB"/>
        </w:rPr>
        <w:t xml:space="preserve">, skirtingai nei Šiaulių universitete, Vilniaus universitete išsamiai apibrėžė ne tik studijuojančiojo pagrindines teises ir pareigas, apibrėžtas Lietuvos Respublikos mokslo ir studijų įstatyme, bet ir numatė papildomas sąlygas dėl studijuojančiųjų intelektinės nuosavybės apsaugos ir valdymo, asmens duomenų apsaugos ir valdymo, detalesnius aukštosios mokyklos ir studijuojančiojo tarpusavio įsipareigojimus įgyvendinant sutartinius studijų sutarties vykdymo ir įgyvendinimo įsipareigojimus (pavyzdžiui, Vilniaus universiteto tipinė studijų sutartis </w:t>
      </w:r>
      <w:r w:rsidRPr="00817AF9">
        <w:rPr>
          <w:rFonts w:ascii="Arial" w:eastAsia="Times New Roman" w:hAnsi="Arial" w:cs="Arial"/>
          <w:lang w:eastAsia="en-GB"/>
        </w:rPr>
        <w:lastRenderedPageBreak/>
        <w:t>numatė atvejus, kuomet gali būti inicijuojamas studijų įmokos išieškojimas ir pan.). Atsižvelgiant į Šiaulių universitete vykdytą pedagoginių studijų specifiką, aukštųjų mokyklų reorganizavimo metu Vilniaus universiteto tipinė studijų sutartis buvo papildyta projektinio studijų finansavimo aspektu.</w:t>
      </w:r>
    </w:p>
    <w:p w14:paraId="438385DA" w14:textId="77777777" w:rsidR="00A540BF" w:rsidRPr="00817AF9" w:rsidRDefault="00A540BF" w:rsidP="00A540BF">
      <w:pPr>
        <w:numPr>
          <w:ilvl w:val="0"/>
          <w:numId w:val="5"/>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Šiaulių universitete studijų sutartys studijuojančiojo iniciatyva gali būti nutraukiamos bet kada; Vilniaus universitete studijuojantysis, ketindamas nutraukti studijų sutartį, turi raštu įspėti Vilniaus universitetą ne mažiau kaip prieš 10 kalendorinių dienų.</w:t>
      </w:r>
    </w:p>
    <w:p w14:paraId="27B2D9C8" w14:textId="77777777" w:rsidR="00A540BF" w:rsidRPr="00817AF9" w:rsidRDefault="00A540BF" w:rsidP="00A540BF">
      <w:pPr>
        <w:numPr>
          <w:ilvl w:val="0"/>
          <w:numId w:val="5"/>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 xml:space="preserve">Šiaulių universitete ypač gerai baigusiems studijas absolventams yra išduodami diplomai su pagyrimu. Tokiems studentams Vilniaus universitete yra išduodami dviejų tipų diplomai: </w:t>
      </w:r>
      <w:r w:rsidRPr="00817AF9">
        <w:rPr>
          <w:rFonts w:ascii="Arial" w:eastAsia="Times New Roman" w:hAnsi="Arial" w:cs="Arial"/>
          <w:i/>
          <w:iCs/>
          <w:lang w:eastAsia="en-GB"/>
        </w:rPr>
        <w:t>Cum Laude</w:t>
      </w:r>
      <w:r w:rsidRPr="00817AF9">
        <w:rPr>
          <w:rFonts w:ascii="Arial" w:eastAsia="Times New Roman" w:hAnsi="Arial" w:cs="Arial"/>
          <w:lang w:eastAsia="en-GB"/>
        </w:rPr>
        <w:t xml:space="preserve"> diplomas ir </w:t>
      </w:r>
      <w:r w:rsidRPr="00817AF9">
        <w:rPr>
          <w:rFonts w:ascii="Arial" w:eastAsia="Times New Roman" w:hAnsi="Arial" w:cs="Arial"/>
          <w:i/>
          <w:iCs/>
          <w:lang w:eastAsia="en-GB"/>
        </w:rPr>
        <w:t>Magna Cum Laude</w:t>
      </w:r>
      <w:r w:rsidRPr="00817AF9">
        <w:rPr>
          <w:rFonts w:ascii="Arial" w:eastAsia="Times New Roman" w:hAnsi="Arial" w:cs="Arial"/>
          <w:lang w:eastAsia="en-GB"/>
        </w:rPr>
        <w:t xml:space="preserve"> diplomas. </w:t>
      </w:r>
      <w:r w:rsidRPr="00817AF9">
        <w:rPr>
          <w:rFonts w:ascii="Arial" w:eastAsia="Times New Roman" w:hAnsi="Arial" w:cs="Arial"/>
          <w:i/>
          <w:iCs/>
          <w:lang w:eastAsia="en-GB"/>
        </w:rPr>
        <w:t>Cum Laude</w:t>
      </w:r>
      <w:r w:rsidRPr="00817AF9">
        <w:rPr>
          <w:rFonts w:ascii="Arial" w:eastAsia="Times New Roman" w:hAnsi="Arial" w:cs="Arial"/>
          <w:lang w:eastAsia="en-GB"/>
        </w:rPr>
        <w:t xml:space="preserve"> diplomas yra išduodamas studentui, esančiam tarp 10 proc. geriausių studijų programos absolventų ir baigiamojo darbo (baigiamųjų egzaminų) metu gavus aukščiausią įvertinimą. </w:t>
      </w:r>
      <w:r w:rsidRPr="00817AF9">
        <w:rPr>
          <w:rFonts w:ascii="Arial" w:eastAsia="Times New Roman" w:hAnsi="Arial" w:cs="Arial"/>
          <w:i/>
          <w:iCs/>
          <w:lang w:eastAsia="en-GB"/>
        </w:rPr>
        <w:t>Magna Cum Laude</w:t>
      </w:r>
      <w:r w:rsidRPr="00817AF9">
        <w:rPr>
          <w:rFonts w:ascii="Arial" w:eastAsia="Times New Roman" w:hAnsi="Arial" w:cs="Arial"/>
          <w:lang w:eastAsia="en-GB"/>
        </w:rPr>
        <w:t xml:space="preserve"> diplomas yra išduodamas absolventams, atitinkantiems </w:t>
      </w:r>
      <w:r w:rsidRPr="00817AF9">
        <w:rPr>
          <w:rFonts w:ascii="Arial" w:eastAsia="Times New Roman" w:hAnsi="Arial" w:cs="Arial"/>
          <w:i/>
          <w:iCs/>
          <w:lang w:eastAsia="en-GB"/>
        </w:rPr>
        <w:t>Cum Laude</w:t>
      </w:r>
      <w:r w:rsidRPr="00817AF9">
        <w:rPr>
          <w:rFonts w:ascii="Arial" w:eastAsia="Times New Roman" w:hAnsi="Arial" w:cs="Arial"/>
          <w:lang w:eastAsia="en-GB"/>
        </w:rPr>
        <w:t xml:space="preserve"> diplomui išduoti keliamus kriterijus ir pasižymintiems svaria moksline veikla. </w:t>
      </w:r>
      <w:r w:rsidRPr="00817AF9">
        <w:rPr>
          <w:rFonts w:ascii="Arial" w:eastAsia="Times New Roman" w:hAnsi="Arial" w:cs="Arial"/>
          <w:i/>
          <w:iCs/>
          <w:lang w:eastAsia="en-GB"/>
        </w:rPr>
        <w:t>Magna Cum Laude</w:t>
      </w:r>
      <w:r w:rsidRPr="00817AF9">
        <w:rPr>
          <w:rFonts w:ascii="Arial" w:eastAsia="Times New Roman" w:hAnsi="Arial" w:cs="Arial"/>
          <w:lang w:eastAsia="en-GB"/>
        </w:rPr>
        <w:t xml:space="preserve"> diplomai yra išduodami Vilniaus universiteto senato sprendimu.</w:t>
      </w:r>
    </w:p>
    <w:p w14:paraId="1359A27A" w14:textId="77777777" w:rsidR="00A540BF" w:rsidRPr="00817AF9" w:rsidRDefault="00A540BF" w:rsidP="00A540BF">
      <w:pPr>
        <w:numPr>
          <w:ilvl w:val="0"/>
          <w:numId w:val="5"/>
        </w:numPr>
        <w:spacing w:after="120" w:line="360" w:lineRule="auto"/>
        <w:jc w:val="both"/>
        <w:rPr>
          <w:rFonts w:ascii="Arial" w:eastAsia="Times New Roman" w:hAnsi="Arial" w:cs="Arial"/>
          <w:lang w:eastAsia="en-GB"/>
        </w:rPr>
      </w:pPr>
      <w:r w:rsidRPr="00817AF9">
        <w:rPr>
          <w:rFonts w:ascii="Arial" w:eastAsia="Times New Roman" w:hAnsi="Arial" w:cs="Arial"/>
          <w:lang w:eastAsia="en-GB"/>
        </w:rPr>
        <w:t>Vilniaus universiteto studijuojantieji, baigiantys ar nutraukiantys studijas, privalo papildomai atsiskaityti su Vilniaus universiteto padaliniais už suteiktas paslaugas: Vilniaus universiteto biblioteka, Bendrabučių centru, Studentų atstovybe, Tarptautinių ryšių skyriumi, Studentų paslaugų ir karjeros skyriumi ir savo kamieniniu akademiniu padaliniu (fakultetu).</w:t>
      </w:r>
    </w:p>
    <w:p w14:paraId="70BAED79" w14:textId="77777777" w:rsidR="00A540BF" w:rsidRPr="00817AF9" w:rsidRDefault="00A540BF" w:rsidP="00A540BF">
      <w:pPr>
        <w:spacing w:after="120" w:line="360" w:lineRule="auto"/>
        <w:jc w:val="both"/>
        <w:rPr>
          <w:rFonts w:ascii="Arial" w:hAnsi="Arial" w:cs="Arial"/>
        </w:rPr>
      </w:pPr>
      <w:r w:rsidRPr="00817AF9">
        <w:rPr>
          <w:rFonts w:ascii="Arial" w:hAnsi="Arial" w:cs="Arial"/>
        </w:rPr>
        <w:t xml:space="preserve">Atsižvelgiant į 2020–2021 studijų metų eigoje potencialiai kilsiančius iššūkius vykdant organizavimą naujajame Vilniaus universiteto </w:t>
      </w:r>
      <w:proofErr w:type="spellStart"/>
      <w:r w:rsidRPr="00817AF9">
        <w:rPr>
          <w:rFonts w:ascii="Arial" w:hAnsi="Arial" w:cs="Arial"/>
          <w:i/>
          <w:iCs/>
        </w:rPr>
        <w:t>sui</w:t>
      </w:r>
      <w:proofErr w:type="spellEnd"/>
      <w:r w:rsidRPr="00817AF9">
        <w:rPr>
          <w:rFonts w:ascii="Arial" w:hAnsi="Arial" w:cs="Arial"/>
          <w:i/>
          <w:iCs/>
        </w:rPr>
        <w:t xml:space="preserve"> </w:t>
      </w:r>
      <w:proofErr w:type="spellStart"/>
      <w:r w:rsidRPr="00817AF9">
        <w:rPr>
          <w:rFonts w:ascii="Arial" w:hAnsi="Arial" w:cs="Arial"/>
          <w:i/>
          <w:iCs/>
        </w:rPr>
        <w:t>generis</w:t>
      </w:r>
      <w:proofErr w:type="spellEnd"/>
      <w:r w:rsidRPr="00817AF9">
        <w:rPr>
          <w:rFonts w:ascii="Arial" w:hAnsi="Arial" w:cs="Arial"/>
        </w:rPr>
        <w:t xml:space="preserve"> kamieniniame akademiniame padalinyje – Vilniaus universiteto Šiaulių akademijoje ir siekiant užtikrinti kuo sklandesnę studijų proceso integraciją tarp skirtingų aukštųjų mokyklų, Vilniaus universiteto senatas 2020 m. gruodžio 15 d. priėmė nutarimą Nr. SPN-90 „Dėl studijų procesą reglamentuojančių Vilniaus universiteto teisės aktų taikymo 2020–2021 studijų metais Vilniaus universiteto Šiaulių akademijoje laikinųjų nuostatų patvirtinimo“, kuriuo, atsižvelgiant į dalį anksčiau įvardintų skirtumų, Vilniaus universiteto Šiaulių akademijos studijų proceso administravimui ir organizavimui buvo pritaikytos pereinamosios (laikinosios) nuostatos, galiosiančios iki 2020–2021 studijų metų pabaigos.</w:t>
      </w:r>
    </w:p>
    <w:p w14:paraId="67F24631" w14:textId="77777777" w:rsidR="00A540BF" w:rsidRPr="00817AF9" w:rsidRDefault="00A540BF" w:rsidP="00A540BF">
      <w:pPr>
        <w:spacing w:line="360" w:lineRule="auto"/>
        <w:rPr>
          <w:rFonts w:ascii="Arial" w:hAnsi="Arial" w:cs="Arial"/>
        </w:rPr>
      </w:pPr>
      <w:r w:rsidRPr="00817AF9">
        <w:rPr>
          <w:rFonts w:ascii="Arial" w:hAnsi="Arial" w:cs="Arial"/>
        </w:rPr>
        <w:br w:type="page"/>
      </w:r>
    </w:p>
    <w:p w14:paraId="384FED8E" w14:textId="430074D1" w:rsidR="00AB0ED7" w:rsidRDefault="00AB0ED7" w:rsidP="00AB0ED7">
      <w:pPr>
        <w:spacing w:line="360" w:lineRule="auto"/>
        <w:ind w:firstLine="0"/>
        <w:jc w:val="center"/>
        <w:rPr>
          <w:rFonts w:ascii="Arial" w:hAnsi="Arial" w:cs="Arial"/>
          <w:b/>
        </w:rPr>
      </w:pPr>
      <w:r w:rsidRPr="00817AF9">
        <w:rPr>
          <w:rFonts w:ascii="Arial" w:hAnsi="Arial" w:cs="Arial"/>
          <w:b/>
        </w:rPr>
        <w:lastRenderedPageBreak/>
        <w:t>UŽSIENIO AUKŠTŲJŲ MOKYKLŲ GEROSIOS PRAKTIKOS APRAŠAS</w:t>
      </w:r>
    </w:p>
    <w:p w14:paraId="038E4A86" w14:textId="77777777" w:rsidR="00AB0ED7" w:rsidRDefault="00AB0ED7" w:rsidP="00AB0ED7">
      <w:pPr>
        <w:spacing w:line="360" w:lineRule="auto"/>
        <w:ind w:firstLine="0"/>
        <w:jc w:val="center"/>
        <w:rPr>
          <w:rFonts w:ascii="Arial" w:hAnsi="Arial" w:cs="Arial"/>
        </w:rPr>
      </w:pPr>
    </w:p>
    <w:p w14:paraId="272A1238" w14:textId="67D6D901" w:rsidR="007B5D49" w:rsidRPr="00817AF9" w:rsidRDefault="00902690" w:rsidP="00AB0ED7">
      <w:pPr>
        <w:spacing w:line="360" w:lineRule="auto"/>
        <w:jc w:val="both"/>
        <w:rPr>
          <w:rFonts w:ascii="Arial" w:hAnsi="Arial" w:cs="Arial"/>
        </w:rPr>
      </w:pPr>
      <w:r w:rsidRPr="00817AF9">
        <w:rPr>
          <w:rFonts w:ascii="Arial" w:hAnsi="Arial" w:cs="Arial"/>
        </w:rPr>
        <w:t>Užsienio aukštųjų mokyklų studijų proceso organizavimo gerosioms praktikoms</w:t>
      </w:r>
      <w:r w:rsidR="00C44646" w:rsidRPr="00817AF9">
        <w:rPr>
          <w:rFonts w:ascii="Arial" w:hAnsi="Arial" w:cs="Arial"/>
        </w:rPr>
        <w:t>, kurios galėtų būti pritaikytos rengiant naująjį Vilniaus universiteto studijų proceso administravimo modelį, kuris susidaro iš Vilniaus universiteto norminių teisės aktų bei Šiaulių akademijos padalinio vidinių studijų proceso administravimą aprašančių dokumentų,</w:t>
      </w:r>
      <w:r w:rsidRPr="00817AF9">
        <w:rPr>
          <w:rFonts w:ascii="Arial" w:hAnsi="Arial" w:cs="Arial"/>
        </w:rPr>
        <w:t xml:space="preserve"> surinkti buvo analizuojamos įvairiai būdais atrinkt</w:t>
      </w:r>
      <w:r w:rsidR="00C44646" w:rsidRPr="00817AF9">
        <w:rPr>
          <w:rFonts w:ascii="Arial" w:hAnsi="Arial" w:cs="Arial"/>
        </w:rPr>
        <w:t>ų</w:t>
      </w:r>
      <w:r w:rsidRPr="00817AF9">
        <w:rPr>
          <w:rFonts w:ascii="Arial" w:hAnsi="Arial" w:cs="Arial"/>
        </w:rPr>
        <w:t xml:space="preserve"> (atsitiktinai pasirinktos, regione veikiančios, panašiausius studijų vykdymo ir organizavimo principus turinčios) aukštųjų mokyklų </w:t>
      </w:r>
      <w:r w:rsidR="00C44646" w:rsidRPr="00817AF9">
        <w:rPr>
          <w:rFonts w:ascii="Arial" w:hAnsi="Arial" w:cs="Arial"/>
        </w:rPr>
        <w:t xml:space="preserve">studijų proceso organizavimo patirtys, taip pat vertintos ir </w:t>
      </w:r>
      <w:proofErr w:type="spellStart"/>
      <w:r w:rsidR="0080691E" w:rsidRPr="00817AF9">
        <w:rPr>
          <w:rFonts w:ascii="Arial" w:hAnsi="Arial" w:cs="Arial"/>
          <w:i/>
        </w:rPr>
        <w:t>Arqus</w:t>
      </w:r>
      <w:proofErr w:type="spellEnd"/>
      <w:r w:rsidR="0080691E" w:rsidRPr="00817AF9">
        <w:rPr>
          <w:rFonts w:ascii="Arial" w:hAnsi="Arial" w:cs="Arial"/>
        </w:rPr>
        <w:t xml:space="preserve"> </w:t>
      </w:r>
      <w:r w:rsidR="007B5D49" w:rsidRPr="00817AF9">
        <w:rPr>
          <w:rFonts w:ascii="Arial" w:hAnsi="Arial" w:cs="Arial"/>
        </w:rPr>
        <w:t>Europos universitetų aljanso</w:t>
      </w:r>
      <w:r w:rsidR="00C44646" w:rsidRPr="00817AF9">
        <w:rPr>
          <w:rFonts w:ascii="Arial" w:hAnsi="Arial" w:cs="Arial"/>
        </w:rPr>
        <w:t xml:space="preserve">, kurio dalimi yra ir Vilniaus universitetas, </w:t>
      </w:r>
      <w:r w:rsidR="00C8094E" w:rsidRPr="00817AF9">
        <w:rPr>
          <w:rFonts w:ascii="Arial" w:hAnsi="Arial" w:cs="Arial"/>
        </w:rPr>
        <w:t xml:space="preserve">studijų proceso administravimo </w:t>
      </w:r>
      <w:r w:rsidR="00C44646" w:rsidRPr="00817AF9">
        <w:rPr>
          <w:rFonts w:ascii="Arial" w:hAnsi="Arial" w:cs="Arial"/>
        </w:rPr>
        <w:t>s</w:t>
      </w:r>
      <w:r w:rsidR="00C8094E" w:rsidRPr="00817AF9">
        <w:rPr>
          <w:rFonts w:ascii="Arial" w:hAnsi="Arial" w:cs="Arial"/>
        </w:rPr>
        <w:t>istemos</w:t>
      </w:r>
      <w:r w:rsidR="00C44646" w:rsidRPr="00817AF9">
        <w:rPr>
          <w:rFonts w:ascii="Arial" w:hAnsi="Arial" w:cs="Arial"/>
        </w:rPr>
        <w:t>. Įvertinus užsienio aukštųjų mokyklų</w:t>
      </w:r>
      <w:r w:rsidR="007B5D49" w:rsidRPr="00817AF9">
        <w:rPr>
          <w:rFonts w:ascii="Arial" w:hAnsi="Arial" w:cs="Arial"/>
        </w:rPr>
        <w:t xml:space="preserve"> studijų </w:t>
      </w:r>
      <w:r w:rsidR="00C44646" w:rsidRPr="00817AF9">
        <w:rPr>
          <w:rFonts w:ascii="Arial" w:hAnsi="Arial" w:cs="Arial"/>
        </w:rPr>
        <w:t>proceso organizavimo</w:t>
      </w:r>
      <w:r w:rsidR="007B5D49" w:rsidRPr="00817AF9">
        <w:rPr>
          <w:rFonts w:ascii="Arial" w:hAnsi="Arial" w:cs="Arial"/>
        </w:rPr>
        <w:t xml:space="preserve"> </w:t>
      </w:r>
      <w:r w:rsidR="00C8094E" w:rsidRPr="00817AF9">
        <w:rPr>
          <w:rFonts w:ascii="Arial" w:hAnsi="Arial" w:cs="Arial"/>
        </w:rPr>
        <w:t>modelius</w:t>
      </w:r>
      <w:r w:rsidR="007B5D49" w:rsidRPr="00817AF9">
        <w:rPr>
          <w:rFonts w:ascii="Arial" w:hAnsi="Arial" w:cs="Arial"/>
        </w:rPr>
        <w:t>, b</w:t>
      </w:r>
      <w:r w:rsidR="00C44646" w:rsidRPr="00817AF9">
        <w:rPr>
          <w:rFonts w:ascii="Arial" w:hAnsi="Arial" w:cs="Arial"/>
        </w:rPr>
        <w:t xml:space="preserve">uvo išryškintos ir šiame apraše pateikiamos </w:t>
      </w:r>
      <w:r w:rsidR="00C8094E" w:rsidRPr="00817AF9">
        <w:rPr>
          <w:rFonts w:ascii="Arial" w:hAnsi="Arial" w:cs="Arial"/>
        </w:rPr>
        <w:t>apibendrintos gerosios praktikos</w:t>
      </w:r>
      <w:r w:rsidR="007B5D49" w:rsidRPr="00817AF9">
        <w:rPr>
          <w:rFonts w:ascii="Arial" w:hAnsi="Arial" w:cs="Arial"/>
        </w:rPr>
        <w:t xml:space="preserve">, kurios </w:t>
      </w:r>
      <w:r w:rsidR="002C0A4C" w:rsidRPr="00817AF9">
        <w:rPr>
          <w:rFonts w:ascii="Arial" w:hAnsi="Arial" w:cs="Arial"/>
        </w:rPr>
        <w:t>sudar</w:t>
      </w:r>
      <w:r w:rsidR="00C44646" w:rsidRPr="00817AF9">
        <w:rPr>
          <w:rFonts w:ascii="Arial" w:hAnsi="Arial" w:cs="Arial"/>
        </w:rPr>
        <w:t>o</w:t>
      </w:r>
      <w:r w:rsidR="002C0A4C" w:rsidRPr="00817AF9">
        <w:rPr>
          <w:rFonts w:ascii="Arial" w:hAnsi="Arial" w:cs="Arial"/>
        </w:rPr>
        <w:t xml:space="preserve"> prielaidas </w:t>
      </w:r>
      <w:r w:rsidR="00C8094E" w:rsidRPr="00817AF9">
        <w:rPr>
          <w:rFonts w:ascii="Arial" w:hAnsi="Arial" w:cs="Arial"/>
        </w:rPr>
        <w:t xml:space="preserve">remiantis užsienio aukštųjų mokyklų pavyzdžiais </w:t>
      </w:r>
      <w:r w:rsidR="002C0A4C" w:rsidRPr="00817AF9">
        <w:rPr>
          <w:rFonts w:ascii="Arial" w:hAnsi="Arial" w:cs="Arial"/>
        </w:rPr>
        <w:t xml:space="preserve">Vilniaus universitete </w:t>
      </w:r>
      <w:r w:rsidR="007B5D49" w:rsidRPr="00817AF9">
        <w:rPr>
          <w:rFonts w:ascii="Arial" w:hAnsi="Arial" w:cs="Arial"/>
        </w:rPr>
        <w:t>atnaujin</w:t>
      </w:r>
      <w:r w:rsidR="00ED62FD" w:rsidRPr="00817AF9">
        <w:rPr>
          <w:rFonts w:ascii="Arial" w:hAnsi="Arial" w:cs="Arial"/>
        </w:rPr>
        <w:t>ti</w:t>
      </w:r>
      <w:r w:rsidR="00C44646" w:rsidRPr="00817AF9">
        <w:rPr>
          <w:rFonts w:ascii="Arial" w:hAnsi="Arial" w:cs="Arial"/>
        </w:rPr>
        <w:t xml:space="preserve"> studijų proceso organizavimo modelį</w:t>
      </w:r>
      <w:r w:rsidR="00ED62FD" w:rsidRPr="00817AF9">
        <w:rPr>
          <w:rFonts w:ascii="Arial" w:hAnsi="Arial" w:cs="Arial"/>
        </w:rPr>
        <w:t>:</w:t>
      </w:r>
      <w:r w:rsidR="00C44646" w:rsidRPr="00817AF9">
        <w:rPr>
          <w:rFonts w:ascii="Arial" w:hAnsi="Arial" w:cs="Arial"/>
        </w:rPr>
        <w:t xml:space="preserve"> kurti atnaujintus</w:t>
      </w:r>
      <w:r w:rsidR="007B5D49" w:rsidRPr="00817AF9">
        <w:rPr>
          <w:rFonts w:ascii="Arial" w:hAnsi="Arial" w:cs="Arial"/>
        </w:rPr>
        <w:t xml:space="preserve"> studijų programų bei bendrąsias ir dalykines kompetencijas apimančių studijų siekinių sandaros konceptą</w:t>
      </w:r>
      <w:r w:rsidR="00C44646" w:rsidRPr="00817AF9">
        <w:rPr>
          <w:rFonts w:ascii="Arial" w:hAnsi="Arial" w:cs="Arial"/>
        </w:rPr>
        <w:t>, koreguoti</w:t>
      </w:r>
      <w:r w:rsidR="007B5D49" w:rsidRPr="00817AF9">
        <w:rPr>
          <w:rFonts w:ascii="Arial" w:hAnsi="Arial" w:cs="Arial"/>
        </w:rPr>
        <w:t xml:space="preserve"> Vilniaus universiteto studijas reglamentuojančius dokumentus: Vilniaus universiteto mokslo, meno veiklos ir studijų </w:t>
      </w:r>
      <w:proofErr w:type="spellStart"/>
      <w:r w:rsidR="007B5D49" w:rsidRPr="00817AF9">
        <w:rPr>
          <w:rFonts w:ascii="Arial" w:hAnsi="Arial" w:cs="Arial"/>
        </w:rPr>
        <w:t>reguliaminą</w:t>
      </w:r>
      <w:proofErr w:type="spellEnd"/>
      <w:r w:rsidR="007B5D49" w:rsidRPr="00817AF9">
        <w:rPr>
          <w:rFonts w:ascii="Arial" w:hAnsi="Arial" w:cs="Arial"/>
        </w:rPr>
        <w:t xml:space="preserve">, studijų nuostatus. Be to, parengti naujus reikalingus studijas reglamentuojančius dokumentus bei atlikti Šiaulių akademijos studijų programų pertvarką standartizuojant kreditų panaudojimą. </w:t>
      </w:r>
    </w:p>
    <w:p w14:paraId="1409B53B" w14:textId="77777777" w:rsidR="002C0A4C" w:rsidRPr="00817AF9" w:rsidRDefault="002C0A4C" w:rsidP="00A540BF">
      <w:pPr>
        <w:spacing w:line="360" w:lineRule="auto"/>
        <w:jc w:val="both"/>
        <w:rPr>
          <w:rFonts w:ascii="Arial" w:hAnsi="Arial" w:cs="Arial"/>
        </w:rPr>
      </w:pPr>
    </w:p>
    <w:p w14:paraId="6FD12F6B" w14:textId="4300F244" w:rsidR="0047019F" w:rsidRPr="00817AF9" w:rsidRDefault="0047019F" w:rsidP="00AB0ED7">
      <w:pPr>
        <w:spacing w:line="360" w:lineRule="auto"/>
        <w:ind w:firstLine="0"/>
        <w:jc w:val="both"/>
        <w:rPr>
          <w:rFonts w:ascii="Arial" w:hAnsi="Arial" w:cs="Arial"/>
          <w:b/>
        </w:rPr>
      </w:pPr>
      <w:r w:rsidRPr="00817AF9">
        <w:rPr>
          <w:rFonts w:ascii="Arial" w:hAnsi="Arial" w:cs="Arial"/>
          <w:b/>
        </w:rPr>
        <w:t>Studijų programų sandaros koncepto atnaujinimas</w:t>
      </w:r>
    </w:p>
    <w:p w14:paraId="2FB7E6A7" w14:textId="1286C7C2" w:rsidR="00A9424F" w:rsidRPr="00817AF9" w:rsidRDefault="0047019F" w:rsidP="00AB0ED7">
      <w:pPr>
        <w:spacing w:line="360" w:lineRule="auto"/>
        <w:jc w:val="both"/>
        <w:rPr>
          <w:rFonts w:ascii="Arial" w:hAnsi="Arial" w:cs="Arial"/>
        </w:rPr>
      </w:pPr>
      <w:r w:rsidRPr="00817AF9">
        <w:rPr>
          <w:rFonts w:ascii="Arial" w:hAnsi="Arial" w:cs="Arial"/>
        </w:rPr>
        <w:t xml:space="preserve">Užsienio universitetuose vienas </w:t>
      </w:r>
      <w:r w:rsidR="00696A63" w:rsidRPr="00817AF9">
        <w:rPr>
          <w:rFonts w:ascii="Arial" w:hAnsi="Arial" w:cs="Arial"/>
        </w:rPr>
        <w:t xml:space="preserve">iš geriausiai vertinamų ir paplitusių naudojamų </w:t>
      </w:r>
      <w:r w:rsidRPr="00817AF9">
        <w:rPr>
          <w:rFonts w:ascii="Arial" w:hAnsi="Arial" w:cs="Arial"/>
        </w:rPr>
        <w:t>studijų programos sandaros tipų yra grįstas studijų lankstumo ir laisvo studentų vidinio ir išorinio mobilumo principais. Pirmosios, antrosios pakopos ir vientisųjų studijų studentams yra sudaromos galimybės laisvai rinktis savo studijų kelią ir studijuoti dalykus (modulius), kurie yra jiems aktualiausi.</w:t>
      </w:r>
      <w:r w:rsidR="00C32135" w:rsidRPr="00817AF9">
        <w:rPr>
          <w:rFonts w:ascii="Arial" w:hAnsi="Arial" w:cs="Arial"/>
        </w:rPr>
        <w:t xml:space="preserve"> Toks į studentus orientuotų studijų modelio laisvumas skirtinguose universitetuose yra pritaikomas skirtingai, nuo visiškai laisvo (</w:t>
      </w:r>
      <w:proofErr w:type="spellStart"/>
      <w:r w:rsidR="00C32135" w:rsidRPr="00817AF9">
        <w:rPr>
          <w:rFonts w:ascii="Arial" w:hAnsi="Arial" w:cs="Arial"/>
          <w:i/>
        </w:rPr>
        <w:t>Brown</w:t>
      </w:r>
      <w:proofErr w:type="spellEnd"/>
      <w:r w:rsidR="00C32135" w:rsidRPr="00817AF9">
        <w:rPr>
          <w:rFonts w:ascii="Arial" w:hAnsi="Arial" w:cs="Arial"/>
          <w:i/>
        </w:rPr>
        <w:t xml:space="preserve"> University</w:t>
      </w:r>
      <w:r w:rsidR="0080691E" w:rsidRPr="00817AF9">
        <w:rPr>
          <w:rFonts w:ascii="Arial" w:hAnsi="Arial" w:cs="Arial"/>
          <w:i/>
        </w:rPr>
        <w:t xml:space="preserve">, University </w:t>
      </w:r>
      <w:proofErr w:type="spellStart"/>
      <w:r w:rsidR="0080691E" w:rsidRPr="00817AF9">
        <w:rPr>
          <w:rFonts w:ascii="Arial" w:hAnsi="Arial" w:cs="Arial"/>
          <w:i/>
        </w:rPr>
        <w:t>of</w:t>
      </w:r>
      <w:proofErr w:type="spellEnd"/>
      <w:r w:rsidR="0080691E" w:rsidRPr="00817AF9">
        <w:rPr>
          <w:rFonts w:ascii="Arial" w:hAnsi="Arial" w:cs="Arial"/>
          <w:i/>
        </w:rPr>
        <w:t xml:space="preserve"> </w:t>
      </w:r>
      <w:proofErr w:type="spellStart"/>
      <w:r w:rsidR="0080691E" w:rsidRPr="00817AF9">
        <w:rPr>
          <w:rFonts w:ascii="Arial" w:hAnsi="Arial" w:cs="Arial"/>
          <w:i/>
        </w:rPr>
        <w:t>Rochester</w:t>
      </w:r>
      <w:proofErr w:type="spellEnd"/>
      <w:r w:rsidR="00C32135" w:rsidRPr="00817AF9">
        <w:rPr>
          <w:rFonts w:ascii="Arial" w:hAnsi="Arial" w:cs="Arial"/>
        </w:rPr>
        <w:t xml:space="preserve">), kai studentams yra sudaromos galimybės rinktis studijų programą visiškai laisvai ir laikantis tik esminių principų, susijusių su studijų krypties kompetencijų ugdymu, iki pakankamai uždaro tipo studijų programos turinio, kuriame leidžiamas pasirinkimas apsiriboja atskirtų studijų krypties gilinamųjų, ar </w:t>
      </w:r>
      <w:proofErr w:type="spellStart"/>
      <w:r w:rsidR="00C32135" w:rsidRPr="00817AF9">
        <w:rPr>
          <w:rFonts w:ascii="Arial" w:hAnsi="Arial" w:cs="Arial"/>
        </w:rPr>
        <w:t>bendrauniversitetinių</w:t>
      </w:r>
      <w:proofErr w:type="spellEnd"/>
      <w:r w:rsidR="00C32135" w:rsidRPr="00817AF9">
        <w:rPr>
          <w:rFonts w:ascii="Arial" w:hAnsi="Arial" w:cs="Arial"/>
        </w:rPr>
        <w:t xml:space="preserve"> studijų dalykų (modulių) (</w:t>
      </w:r>
      <w:r w:rsidR="00A540BF" w:rsidRPr="00817AF9">
        <w:rPr>
          <w:rFonts w:ascii="Arial" w:hAnsi="Arial" w:cs="Arial"/>
        </w:rPr>
        <w:t>pavyzdžiui</w:t>
      </w:r>
      <w:r w:rsidR="0080691E" w:rsidRPr="00817AF9">
        <w:rPr>
          <w:rFonts w:ascii="Arial" w:hAnsi="Arial" w:cs="Arial"/>
        </w:rPr>
        <w:t xml:space="preserve">: </w:t>
      </w:r>
      <w:r w:rsidR="0080691E" w:rsidRPr="00817AF9">
        <w:rPr>
          <w:rFonts w:ascii="Arial" w:hAnsi="Arial" w:cs="Arial"/>
          <w:i/>
        </w:rPr>
        <w:t xml:space="preserve">University </w:t>
      </w:r>
      <w:proofErr w:type="spellStart"/>
      <w:r w:rsidR="0080691E" w:rsidRPr="00817AF9">
        <w:rPr>
          <w:rFonts w:ascii="Arial" w:hAnsi="Arial" w:cs="Arial"/>
          <w:i/>
        </w:rPr>
        <w:t>of</w:t>
      </w:r>
      <w:proofErr w:type="spellEnd"/>
      <w:r w:rsidR="0080691E" w:rsidRPr="00817AF9">
        <w:rPr>
          <w:rFonts w:ascii="Arial" w:hAnsi="Arial" w:cs="Arial"/>
          <w:i/>
        </w:rPr>
        <w:t xml:space="preserve"> </w:t>
      </w:r>
      <w:proofErr w:type="spellStart"/>
      <w:r w:rsidR="0080691E" w:rsidRPr="00817AF9">
        <w:rPr>
          <w:rFonts w:ascii="Arial" w:hAnsi="Arial" w:cs="Arial"/>
          <w:i/>
        </w:rPr>
        <w:t>Warsaw</w:t>
      </w:r>
      <w:proofErr w:type="spellEnd"/>
      <w:r w:rsidR="00C32135" w:rsidRPr="00817AF9">
        <w:rPr>
          <w:rFonts w:ascii="Arial" w:hAnsi="Arial" w:cs="Arial"/>
        </w:rPr>
        <w:t>). Dažniausiai užsienio aukštosiose mokyklose (</w:t>
      </w:r>
      <w:r w:rsidR="00C32135" w:rsidRPr="00817AF9">
        <w:rPr>
          <w:rFonts w:ascii="Arial" w:hAnsi="Arial" w:cs="Arial"/>
          <w:i/>
        </w:rPr>
        <w:t xml:space="preserve">University </w:t>
      </w:r>
      <w:proofErr w:type="spellStart"/>
      <w:r w:rsidR="00C32135" w:rsidRPr="00817AF9">
        <w:rPr>
          <w:rFonts w:ascii="Arial" w:hAnsi="Arial" w:cs="Arial"/>
          <w:i/>
        </w:rPr>
        <w:t>of</w:t>
      </w:r>
      <w:proofErr w:type="spellEnd"/>
      <w:r w:rsidR="00C32135" w:rsidRPr="00817AF9">
        <w:rPr>
          <w:rFonts w:ascii="Arial" w:hAnsi="Arial" w:cs="Arial"/>
          <w:i/>
        </w:rPr>
        <w:t xml:space="preserve"> Tartu, </w:t>
      </w:r>
      <w:proofErr w:type="spellStart"/>
      <w:r w:rsidR="00C32135" w:rsidRPr="00817AF9">
        <w:rPr>
          <w:rFonts w:ascii="Arial" w:hAnsi="Arial" w:cs="Arial"/>
          <w:i/>
        </w:rPr>
        <w:t>Lund</w:t>
      </w:r>
      <w:proofErr w:type="spellEnd"/>
      <w:r w:rsidR="00C32135" w:rsidRPr="00817AF9">
        <w:rPr>
          <w:rFonts w:ascii="Arial" w:hAnsi="Arial" w:cs="Arial"/>
          <w:i/>
        </w:rPr>
        <w:t xml:space="preserve"> University, </w:t>
      </w:r>
      <w:proofErr w:type="spellStart"/>
      <w:r w:rsidR="00C32135" w:rsidRPr="00817AF9">
        <w:rPr>
          <w:rFonts w:ascii="Arial" w:hAnsi="Arial" w:cs="Arial"/>
          <w:i/>
        </w:rPr>
        <w:t>Maastricht</w:t>
      </w:r>
      <w:proofErr w:type="spellEnd"/>
      <w:r w:rsidR="00C32135" w:rsidRPr="00817AF9">
        <w:rPr>
          <w:rFonts w:ascii="Arial" w:hAnsi="Arial" w:cs="Arial"/>
          <w:i/>
        </w:rPr>
        <w:t xml:space="preserve"> University</w:t>
      </w:r>
      <w:r w:rsidR="0080691E" w:rsidRPr="00817AF9">
        <w:rPr>
          <w:rFonts w:ascii="Arial" w:hAnsi="Arial" w:cs="Arial"/>
          <w:i/>
        </w:rPr>
        <w:t xml:space="preserve">, University </w:t>
      </w:r>
      <w:proofErr w:type="spellStart"/>
      <w:r w:rsidR="0080691E" w:rsidRPr="00817AF9">
        <w:rPr>
          <w:rFonts w:ascii="Arial" w:hAnsi="Arial" w:cs="Arial"/>
          <w:i/>
        </w:rPr>
        <w:t>of</w:t>
      </w:r>
      <w:proofErr w:type="spellEnd"/>
      <w:r w:rsidR="0080691E" w:rsidRPr="00817AF9">
        <w:rPr>
          <w:rFonts w:ascii="Arial" w:hAnsi="Arial" w:cs="Arial"/>
          <w:i/>
        </w:rPr>
        <w:t xml:space="preserve"> </w:t>
      </w:r>
      <w:proofErr w:type="spellStart"/>
      <w:r w:rsidR="0080691E" w:rsidRPr="00817AF9">
        <w:rPr>
          <w:rFonts w:ascii="Arial" w:hAnsi="Arial" w:cs="Arial"/>
          <w:i/>
        </w:rPr>
        <w:t>Bergen</w:t>
      </w:r>
      <w:proofErr w:type="spellEnd"/>
      <w:r w:rsidR="0080691E" w:rsidRPr="00817AF9">
        <w:rPr>
          <w:rFonts w:ascii="Arial" w:hAnsi="Arial" w:cs="Arial"/>
          <w:i/>
        </w:rPr>
        <w:t xml:space="preserve">, </w:t>
      </w:r>
      <w:proofErr w:type="spellStart"/>
      <w:r w:rsidR="0080691E" w:rsidRPr="00817AF9">
        <w:rPr>
          <w:rFonts w:ascii="Arial" w:hAnsi="Arial" w:cs="Arial"/>
          <w:i/>
        </w:rPr>
        <w:t>Leipzig</w:t>
      </w:r>
      <w:proofErr w:type="spellEnd"/>
      <w:r w:rsidR="0080691E" w:rsidRPr="00817AF9">
        <w:rPr>
          <w:rFonts w:ascii="Arial" w:hAnsi="Arial" w:cs="Arial"/>
          <w:i/>
        </w:rPr>
        <w:t xml:space="preserve"> University, University </w:t>
      </w:r>
      <w:proofErr w:type="spellStart"/>
      <w:r w:rsidR="0080691E" w:rsidRPr="00817AF9">
        <w:rPr>
          <w:rFonts w:ascii="Arial" w:hAnsi="Arial" w:cs="Arial"/>
          <w:i/>
        </w:rPr>
        <w:t>of</w:t>
      </w:r>
      <w:proofErr w:type="spellEnd"/>
      <w:r w:rsidR="0080691E" w:rsidRPr="00817AF9">
        <w:rPr>
          <w:rFonts w:ascii="Arial" w:hAnsi="Arial" w:cs="Arial"/>
          <w:i/>
        </w:rPr>
        <w:t xml:space="preserve"> </w:t>
      </w:r>
      <w:proofErr w:type="spellStart"/>
      <w:r w:rsidR="0080691E" w:rsidRPr="00817AF9">
        <w:rPr>
          <w:rFonts w:ascii="Arial" w:hAnsi="Arial" w:cs="Arial"/>
          <w:i/>
        </w:rPr>
        <w:t>Lyon</w:t>
      </w:r>
      <w:proofErr w:type="spellEnd"/>
      <w:r w:rsidR="00C32135" w:rsidRPr="00817AF9">
        <w:rPr>
          <w:rFonts w:ascii="Arial" w:hAnsi="Arial" w:cs="Arial"/>
        </w:rPr>
        <w:t xml:space="preserve"> ir kituose) šios nuostatos yra derinamos, užtikrinant, kad studentai įgis specifinių studijų programai kompetencijų ir studijuos privalomus ar dalinai </w:t>
      </w:r>
      <w:r w:rsidR="00C32135" w:rsidRPr="00817AF9">
        <w:rPr>
          <w:rFonts w:ascii="Arial" w:hAnsi="Arial" w:cs="Arial"/>
        </w:rPr>
        <w:lastRenderedPageBreak/>
        <w:t>privalomus dalykus (modulius) bei galės rinktis ir kitų studijų krypčių dalykus (modulius), ugdyti kitų sričių kompetencijas, studijuoti gretutines studijas (kai kuriais atvejais gretutinės studijos suteikia ir atskirą kvalifikacinį laipsnį), ar išvykti į studijų mainų programas kitose Europos (</w:t>
      </w:r>
      <w:r w:rsidR="00C32135" w:rsidRPr="00817AF9">
        <w:rPr>
          <w:rFonts w:ascii="Arial" w:hAnsi="Arial" w:cs="Arial"/>
          <w:i/>
        </w:rPr>
        <w:t>Erasmus+</w:t>
      </w:r>
      <w:r w:rsidR="00C32135" w:rsidRPr="00817AF9">
        <w:rPr>
          <w:rFonts w:ascii="Arial" w:hAnsi="Arial" w:cs="Arial"/>
        </w:rPr>
        <w:t xml:space="preserve"> programa) ar pasaulio aukštosiose mokyklose</w:t>
      </w:r>
      <w:r w:rsidR="0080691E" w:rsidRPr="00817AF9">
        <w:rPr>
          <w:rFonts w:ascii="Arial" w:hAnsi="Arial" w:cs="Arial"/>
        </w:rPr>
        <w:t>.</w:t>
      </w:r>
      <w:r w:rsidRPr="00817AF9">
        <w:rPr>
          <w:rFonts w:ascii="Arial" w:hAnsi="Arial" w:cs="Arial"/>
        </w:rPr>
        <w:t xml:space="preserve"> Tokių</w:t>
      </w:r>
      <w:r w:rsidR="00C32135" w:rsidRPr="00817AF9">
        <w:rPr>
          <w:rFonts w:ascii="Arial" w:hAnsi="Arial" w:cs="Arial"/>
        </w:rPr>
        <w:t>, atlaisvinto ir į studentus orientuoto studijų modelio,</w:t>
      </w:r>
      <w:r w:rsidRPr="00817AF9">
        <w:rPr>
          <w:rFonts w:ascii="Arial" w:hAnsi="Arial" w:cs="Arial"/>
        </w:rPr>
        <w:t xml:space="preserve"> nuostatų </w:t>
      </w:r>
      <w:r w:rsidR="0080691E" w:rsidRPr="00817AF9">
        <w:rPr>
          <w:rFonts w:ascii="Arial" w:hAnsi="Arial" w:cs="Arial"/>
        </w:rPr>
        <w:t xml:space="preserve">laisvumas </w:t>
      </w:r>
      <w:r w:rsidRPr="00817AF9">
        <w:rPr>
          <w:rFonts w:ascii="Arial" w:hAnsi="Arial" w:cs="Arial"/>
        </w:rPr>
        <w:t>Vilniaus universitete yra ribojamas Bendrųjų studijų vykdymo reikalavimų</w:t>
      </w:r>
      <w:r w:rsidR="00A9424F" w:rsidRPr="00817AF9">
        <w:rPr>
          <w:rFonts w:ascii="Arial" w:hAnsi="Arial" w:cs="Arial"/>
        </w:rPr>
        <w:t xml:space="preserve"> </w:t>
      </w:r>
      <w:r w:rsidR="00382615" w:rsidRPr="00817AF9">
        <w:rPr>
          <w:rFonts w:ascii="Arial" w:hAnsi="Arial" w:cs="Arial"/>
        </w:rPr>
        <w:t>aprašo</w:t>
      </w:r>
      <w:r w:rsidR="00AB0ED7">
        <w:rPr>
          <w:rFonts w:ascii="Arial" w:hAnsi="Arial" w:cs="Arial"/>
        </w:rPr>
        <w:t>, patvirtinto Lietuvos Respublikos švietimo ir mokslo ministro 2016 m. gruodžio 30 d. įsakymu Nr. V-1168,</w:t>
      </w:r>
      <w:r w:rsidR="00382615" w:rsidRPr="00817AF9">
        <w:rPr>
          <w:rFonts w:ascii="Arial" w:hAnsi="Arial" w:cs="Arial"/>
        </w:rPr>
        <w:t xml:space="preserve"> </w:t>
      </w:r>
      <w:r w:rsidR="00A9424F" w:rsidRPr="00817AF9">
        <w:rPr>
          <w:rFonts w:ascii="Arial" w:hAnsi="Arial" w:cs="Arial"/>
        </w:rPr>
        <w:t>nuostatų, tačiau š</w:t>
      </w:r>
      <w:r w:rsidR="00696A63" w:rsidRPr="00817AF9">
        <w:rPr>
          <w:rFonts w:ascii="Arial" w:hAnsi="Arial" w:cs="Arial"/>
        </w:rPr>
        <w:t>io dokumento nuostatos</w:t>
      </w:r>
      <w:r w:rsidR="00A9424F" w:rsidRPr="00817AF9">
        <w:rPr>
          <w:rFonts w:ascii="Arial" w:hAnsi="Arial" w:cs="Arial"/>
        </w:rPr>
        <w:t xml:space="preserve"> nesumažina galimybės koreguoti studijų programų sandaros, sudarant papildomas galimybes studentams rinktis dalykus (modulius) dėstomus skirtingose studijų programose bei Vilniaus universiteto padaliniuose</w:t>
      </w:r>
      <w:r w:rsidR="0080691E" w:rsidRPr="00817AF9">
        <w:rPr>
          <w:rFonts w:ascii="Arial" w:hAnsi="Arial" w:cs="Arial"/>
        </w:rPr>
        <w:t>, pasiekti kitų nei pagrindinė studijų programa krypčių kompetencijų, naudotis vidinio ir išorinio mobilumo galimybėmis</w:t>
      </w:r>
      <w:r w:rsidR="00A9424F" w:rsidRPr="00817AF9">
        <w:rPr>
          <w:rFonts w:ascii="Arial" w:hAnsi="Arial" w:cs="Arial"/>
        </w:rPr>
        <w:t xml:space="preserve">. </w:t>
      </w:r>
    </w:p>
    <w:p w14:paraId="25FE44B0" w14:textId="73753CC6" w:rsidR="00A8281B" w:rsidRPr="00817AF9" w:rsidRDefault="00A8281B" w:rsidP="00A540BF">
      <w:pPr>
        <w:spacing w:line="360" w:lineRule="auto"/>
        <w:ind w:firstLine="0"/>
        <w:jc w:val="both"/>
        <w:rPr>
          <w:rFonts w:ascii="Arial" w:hAnsi="Arial" w:cs="Arial"/>
          <w:b/>
        </w:rPr>
      </w:pPr>
      <w:r w:rsidRPr="00817AF9">
        <w:rPr>
          <w:rFonts w:ascii="Arial" w:hAnsi="Arial" w:cs="Arial"/>
          <w:b/>
        </w:rPr>
        <w:tab/>
      </w:r>
    </w:p>
    <w:p w14:paraId="12E026AB" w14:textId="13A183C1" w:rsidR="00A8281B" w:rsidRPr="00817AF9" w:rsidRDefault="00A8281B" w:rsidP="00A540BF">
      <w:pPr>
        <w:spacing w:line="360" w:lineRule="auto"/>
        <w:ind w:firstLine="0"/>
        <w:jc w:val="both"/>
        <w:rPr>
          <w:rFonts w:ascii="Arial" w:hAnsi="Arial" w:cs="Arial"/>
        </w:rPr>
      </w:pPr>
      <w:r w:rsidRPr="00817AF9">
        <w:rPr>
          <w:rFonts w:ascii="Arial" w:hAnsi="Arial" w:cs="Arial"/>
          <w:b/>
        </w:rPr>
        <w:t>Studijų programų atnaujinimas rengiant ir diegiant bendrųjų kompetencijų ugdymo sistemą</w:t>
      </w:r>
    </w:p>
    <w:p w14:paraId="0C95BCAD" w14:textId="18CFE92E" w:rsidR="0047019F" w:rsidRPr="00817AF9" w:rsidRDefault="00A9424F" w:rsidP="00AB0ED7">
      <w:pPr>
        <w:spacing w:line="360" w:lineRule="auto"/>
        <w:jc w:val="both"/>
        <w:rPr>
          <w:rFonts w:ascii="Arial" w:hAnsi="Arial" w:cs="Arial"/>
        </w:rPr>
      </w:pPr>
      <w:r w:rsidRPr="00817AF9">
        <w:rPr>
          <w:rFonts w:ascii="Arial" w:hAnsi="Arial" w:cs="Arial"/>
        </w:rPr>
        <w:t xml:space="preserve">Analizuojant </w:t>
      </w:r>
      <w:r w:rsidR="00A8281B" w:rsidRPr="00817AF9">
        <w:rPr>
          <w:rFonts w:ascii="Arial" w:hAnsi="Arial" w:cs="Arial"/>
        </w:rPr>
        <w:t xml:space="preserve">50-ies </w:t>
      </w:r>
      <w:r w:rsidRPr="00817AF9">
        <w:rPr>
          <w:rFonts w:ascii="Arial" w:hAnsi="Arial" w:cs="Arial"/>
        </w:rPr>
        <w:t xml:space="preserve">geriausių pasaulio universitetų pagal QS reitingą studijų sistemas buvo nustatyta, kad studijų programų sandaros pralaisvinimas užsienio aukštosiose mokyklose yra derinamas ir su bendrųjų kompetencijų modelio diegimu, kuris nustato, jog aukštoji mokykla prisiima įsipareigojimą, jog kiekvienas studijų programą baigęs absolventas bus įgijęs ne tik specialiųjų (studijų </w:t>
      </w:r>
      <w:r w:rsidR="00A8281B" w:rsidRPr="00817AF9">
        <w:rPr>
          <w:rFonts w:ascii="Arial" w:hAnsi="Arial" w:cs="Arial"/>
        </w:rPr>
        <w:t>krypčiai</w:t>
      </w:r>
      <w:r w:rsidRPr="00817AF9">
        <w:rPr>
          <w:rFonts w:ascii="Arial" w:hAnsi="Arial" w:cs="Arial"/>
        </w:rPr>
        <w:t xml:space="preserve"> taikomų), bet ir bendrųjų kompetencijų.</w:t>
      </w:r>
      <w:r w:rsidR="00A8281B" w:rsidRPr="00817AF9">
        <w:rPr>
          <w:rFonts w:ascii="Arial" w:hAnsi="Arial" w:cs="Arial"/>
        </w:rPr>
        <w:t xml:space="preserve"> Atliekant analizę buvo rastos geriausios bendrųjų kompetencijų ugdymo ir sistemos diegimo praktikos: </w:t>
      </w:r>
      <w:r w:rsidR="0080691E" w:rsidRPr="00817AF9">
        <w:rPr>
          <w:rFonts w:ascii="Arial" w:hAnsi="Arial" w:cs="Arial"/>
        </w:rPr>
        <w:t xml:space="preserve">pavyzdžiui, </w:t>
      </w:r>
      <w:r w:rsidR="00A8281B" w:rsidRPr="00817AF9">
        <w:rPr>
          <w:rFonts w:ascii="Arial" w:hAnsi="Arial" w:cs="Arial"/>
          <w:i/>
          <w:iCs/>
        </w:rPr>
        <w:t>MIT (</w:t>
      </w:r>
      <w:proofErr w:type="spellStart"/>
      <w:r w:rsidR="00A8281B" w:rsidRPr="00817AF9">
        <w:rPr>
          <w:rFonts w:ascii="Arial" w:hAnsi="Arial" w:cs="Arial"/>
          <w:i/>
          <w:iCs/>
        </w:rPr>
        <w:t>Massachusetts</w:t>
      </w:r>
      <w:proofErr w:type="spellEnd"/>
      <w:r w:rsidR="00A8281B" w:rsidRPr="00817AF9">
        <w:rPr>
          <w:rFonts w:ascii="Arial" w:hAnsi="Arial" w:cs="Arial"/>
          <w:i/>
          <w:iCs/>
        </w:rPr>
        <w:t xml:space="preserve"> Institute </w:t>
      </w:r>
      <w:proofErr w:type="spellStart"/>
      <w:r w:rsidR="00A8281B" w:rsidRPr="00817AF9">
        <w:rPr>
          <w:rFonts w:ascii="Arial" w:hAnsi="Arial" w:cs="Arial"/>
          <w:i/>
          <w:iCs/>
        </w:rPr>
        <w:t>of</w:t>
      </w:r>
      <w:proofErr w:type="spellEnd"/>
      <w:r w:rsidR="00A8281B" w:rsidRPr="00817AF9">
        <w:rPr>
          <w:rFonts w:ascii="Arial" w:hAnsi="Arial" w:cs="Arial"/>
          <w:i/>
          <w:iCs/>
        </w:rPr>
        <w:t xml:space="preserve"> </w:t>
      </w:r>
      <w:proofErr w:type="spellStart"/>
      <w:r w:rsidR="00A8281B" w:rsidRPr="00817AF9">
        <w:rPr>
          <w:rFonts w:ascii="Arial" w:hAnsi="Arial" w:cs="Arial"/>
          <w:i/>
          <w:iCs/>
        </w:rPr>
        <w:t>Technology</w:t>
      </w:r>
      <w:proofErr w:type="spellEnd"/>
      <w:r w:rsidR="00A8281B" w:rsidRPr="00817AF9">
        <w:rPr>
          <w:rFonts w:ascii="Arial" w:hAnsi="Arial" w:cs="Arial"/>
          <w:i/>
          <w:iCs/>
        </w:rPr>
        <w:t>)</w:t>
      </w:r>
      <w:r w:rsidR="00A8281B" w:rsidRPr="00817AF9">
        <w:rPr>
          <w:rFonts w:ascii="Arial" w:hAnsi="Arial" w:cs="Arial"/>
        </w:rPr>
        <w:t> – metodinės gairės dėstytojams apie bendrųjų kompetencijų diegimą į studijų dalykus; </w:t>
      </w:r>
      <w:r w:rsidR="00A8281B" w:rsidRPr="00817AF9">
        <w:rPr>
          <w:rFonts w:ascii="Arial" w:hAnsi="Arial" w:cs="Arial"/>
          <w:i/>
          <w:iCs/>
        </w:rPr>
        <w:t xml:space="preserve">University </w:t>
      </w:r>
      <w:proofErr w:type="spellStart"/>
      <w:r w:rsidR="00A8281B" w:rsidRPr="00817AF9">
        <w:rPr>
          <w:rFonts w:ascii="Arial" w:hAnsi="Arial" w:cs="Arial"/>
          <w:i/>
          <w:iCs/>
        </w:rPr>
        <w:t>of</w:t>
      </w:r>
      <w:proofErr w:type="spellEnd"/>
      <w:r w:rsidR="00A8281B" w:rsidRPr="00817AF9">
        <w:rPr>
          <w:rFonts w:ascii="Arial" w:hAnsi="Arial" w:cs="Arial"/>
          <w:i/>
          <w:iCs/>
        </w:rPr>
        <w:t xml:space="preserve"> </w:t>
      </w:r>
      <w:proofErr w:type="spellStart"/>
      <w:r w:rsidR="00A8281B" w:rsidRPr="00817AF9">
        <w:rPr>
          <w:rFonts w:ascii="Arial" w:hAnsi="Arial" w:cs="Arial"/>
          <w:i/>
          <w:iCs/>
        </w:rPr>
        <w:t>Edinburgh</w:t>
      </w:r>
      <w:proofErr w:type="spellEnd"/>
      <w:r w:rsidR="00A8281B" w:rsidRPr="00817AF9">
        <w:rPr>
          <w:rFonts w:ascii="Arial" w:hAnsi="Arial" w:cs="Arial"/>
          <w:i/>
          <w:iCs/>
        </w:rPr>
        <w:t xml:space="preserve"> – </w:t>
      </w:r>
      <w:r w:rsidR="00A8281B" w:rsidRPr="00817AF9">
        <w:rPr>
          <w:rFonts w:ascii="Arial" w:hAnsi="Arial" w:cs="Arial"/>
        </w:rPr>
        <w:t>kompetencijos skirstomos į „</w:t>
      </w:r>
      <w:proofErr w:type="spellStart"/>
      <w:r w:rsidR="00A8281B" w:rsidRPr="00817AF9">
        <w:rPr>
          <w:rFonts w:ascii="Arial" w:hAnsi="Arial" w:cs="Arial"/>
          <w:i/>
          <w:iCs/>
        </w:rPr>
        <w:t>mindset</w:t>
      </w:r>
      <w:proofErr w:type="spellEnd"/>
      <w:r w:rsidR="00A8281B" w:rsidRPr="00817AF9">
        <w:rPr>
          <w:rFonts w:ascii="Arial" w:hAnsi="Arial" w:cs="Arial"/>
        </w:rPr>
        <w:t>“ ir „</w:t>
      </w:r>
      <w:proofErr w:type="spellStart"/>
      <w:r w:rsidR="00A8281B" w:rsidRPr="00817AF9">
        <w:rPr>
          <w:rFonts w:ascii="Arial" w:hAnsi="Arial" w:cs="Arial"/>
          <w:i/>
          <w:iCs/>
        </w:rPr>
        <w:t>skills</w:t>
      </w:r>
      <w:proofErr w:type="spellEnd"/>
      <w:r w:rsidR="00A8281B" w:rsidRPr="00817AF9">
        <w:rPr>
          <w:rFonts w:ascii="Arial" w:hAnsi="Arial" w:cs="Arial"/>
        </w:rPr>
        <w:t>“, parodomas bendrųjų kompetencijų kompleksiškumas</w:t>
      </w:r>
      <w:r w:rsidR="0080691E" w:rsidRPr="00817AF9">
        <w:rPr>
          <w:rFonts w:ascii="Arial" w:hAnsi="Arial" w:cs="Arial"/>
        </w:rPr>
        <w:t xml:space="preserve">, šių savybių ir įgūdžių ugdymui sukurti ir </w:t>
      </w:r>
      <w:r w:rsidR="00BB64F1" w:rsidRPr="00817AF9">
        <w:rPr>
          <w:rFonts w:ascii="Arial" w:hAnsi="Arial" w:cs="Arial"/>
        </w:rPr>
        <w:t>tiek universiteto, tiek studijų programų lygmeniu taikomi specifiniai</w:t>
      </w:r>
      <w:r w:rsidR="0080691E" w:rsidRPr="00817AF9">
        <w:rPr>
          <w:rFonts w:ascii="Arial" w:hAnsi="Arial" w:cs="Arial"/>
        </w:rPr>
        <w:t xml:space="preserve"> planai</w:t>
      </w:r>
      <w:r w:rsidR="00A8281B" w:rsidRPr="00817AF9">
        <w:rPr>
          <w:rFonts w:ascii="Arial" w:hAnsi="Arial" w:cs="Arial"/>
        </w:rPr>
        <w:t>; </w:t>
      </w:r>
      <w:proofErr w:type="spellStart"/>
      <w:r w:rsidR="00A8281B" w:rsidRPr="00817AF9">
        <w:rPr>
          <w:rFonts w:ascii="Arial" w:hAnsi="Arial" w:cs="Arial"/>
          <w:i/>
          <w:iCs/>
        </w:rPr>
        <w:t>Honkong</w:t>
      </w:r>
      <w:proofErr w:type="spellEnd"/>
      <w:r w:rsidR="00A8281B" w:rsidRPr="00817AF9">
        <w:rPr>
          <w:rFonts w:ascii="Arial" w:hAnsi="Arial" w:cs="Arial"/>
          <w:i/>
          <w:iCs/>
        </w:rPr>
        <w:t xml:space="preserve"> University </w:t>
      </w:r>
      <w:r w:rsidR="00A8281B" w:rsidRPr="00817AF9">
        <w:rPr>
          <w:rFonts w:ascii="Arial" w:hAnsi="Arial" w:cs="Arial"/>
        </w:rPr>
        <w:t>– išskirtos universitetui būdingos kompetencijos, tačiau jų elgsenos skiriasi priklausomai nuo studijų pakopos; </w:t>
      </w:r>
      <w:proofErr w:type="spellStart"/>
      <w:r w:rsidR="00A8281B" w:rsidRPr="00817AF9">
        <w:rPr>
          <w:rFonts w:ascii="Arial" w:hAnsi="Arial" w:cs="Arial"/>
          <w:i/>
          <w:iCs/>
        </w:rPr>
        <w:t>Harvard</w:t>
      </w:r>
      <w:proofErr w:type="spellEnd"/>
      <w:r w:rsidR="00A8281B" w:rsidRPr="00817AF9">
        <w:rPr>
          <w:rFonts w:ascii="Arial" w:hAnsi="Arial" w:cs="Arial"/>
          <w:i/>
          <w:iCs/>
        </w:rPr>
        <w:t xml:space="preserve"> University </w:t>
      </w:r>
      <w:r w:rsidR="00A8281B" w:rsidRPr="00817AF9">
        <w:rPr>
          <w:rFonts w:ascii="Arial" w:hAnsi="Arial" w:cs="Arial"/>
        </w:rPr>
        <w:t>– sudarytas kompetencijų žodynas, išvardintos bazinės elgsenos. Apžvelgus gerąsias praktikas pastebima, kad k</w:t>
      </w:r>
      <w:r w:rsidRPr="00817AF9">
        <w:rPr>
          <w:rFonts w:ascii="Arial" w:hAnsi="Arial" w:cs="Arial"/>
        </w:rPr>
        <w:t xml:space="preserve">onkretus universitetų studijų programose bendrųjų kompetencijų sąrašas ir įgyvendinimo planai skiriasi, tad Vilniaus universitetas turėtų atskiro tyrimo metu nustatyti ugdomas bendrąsias kompetencijas ir parengti bendrųjų kompetencijų ugdymo studijų programose planą. </w:t>
      </w:r>
    </w:p>
    <w:p w14:paraId="5B103C27" w14:textId="18E07E76" w:rsidR="0080691E" w:rsidRPr="00817AF9" w:rsidRDefault="0080691E" w:rsidP="00A540BF">
      <w:pPr>
        <w:spacing w:line="360" w:lineRule="auto"/>
        <w:ind w:firstLine="0"/>
        <w:jc w:val="both"/>
        <w:rPr>
          <w:rFonts w:ascii="Arial" w:hAnsi="Arial" w:cs="Arial"/>
        </w:rPr>
      </w:pPr>
    </w:p>
    <w:p w14:paraId="763D0ADC" w14:textId="1800A9DC" w:rsidR="007B5D49" w:rsidRPr="00817AF9" w:rsidRDefault="006268DA" w:rsidP="00A540BF">
      <w:pPr>
        <w:spacing w:line="360" w:lineRule="auto"/>
        <w:ind w:firstLine="0"/>
        <w:jc w:val="both"/>
        <w:rPr>
          <w:rFonts w:ascii="Arial" w:hAnsi="Arial" w:cs="Arial"/>
          <w:b/>
        </w:rPr>
      </w:pPr>
      <w:r w:rsidRPr="00817AF9">
        <w:rPr>
          <w:rFonts w:ascii="Arial" w:hAnsi="Arial" w:cs="Arial"/>
          <w:b/>
        </w:rPr>
        <w:t>N</w:t>
      </w:r>
      <w:r w:rsidR="0080691E" w:rsidRPr="00817AF9">
        <w:rPr>
          <w:rFonts w:ascii="Arial" w:hAnsi="Arial" w:cs="Arial"/>
          <w:b/>
        </w:rPr>
        <w:t>eformal</w:t>
      </w:r>
      <w:r w:rsidRPr="00817AF9">
        <w:rPr>
          <w:rFonts w:ascii="Arial" w:hAnsi="Arial" w:cs="Arial"/>
          <w:b/>
        </w:rPr>
        <w:t>iuoju ir savišvietos būdu įgytų kompetencijos pripažinimas</w:t>
      </w:r>
    </w:p>
    <w:p w14:paraId="1ED698DA" w14:textId="04CDACEF" w:rsidR="007B5D49" w:rsidRPr="00817AF9" w:rsidRDefault="006268DA" w:rsidP="00AB0ED7">
      <w:pPr>
        <w:spacing w:line="360" w:lineRule="auto"/>
        <w:jc w:val="both"/>
        <w:rPr>
          <w:rFonts w:ascii="Arial" w:hAnsi="Arial" w:cs="Arial"/>
        </w:rPr>
      </w:pPr>
      <w:r w:rsidRPr="00817AF9">
        <w:rPr>
          <w:rFonts w:ascii="Arial" w:hAnsi="Arial" w:cs="Arial"/>
        </w:rPr>
        <w:t xml:space="preserve">Tiek bendrosioms, tiek dalykinėms kompetencijoms, įgytoms neformaliuoju ar savišvietos būdu užskaityti Šiaulių ir Vilniaus universitetai naudojo skirtingas procedūras. </w:t>
      </w:r>
      <w:r w:rsidRPr="00817AF9">
        <w:rPr>
          <w:rFonts w:ascii="Arial" w:hAnsi="Arial" w:cs="Arial"/>
        </w:rPr>
        <w:lastRenderedPageBreak/>
        <w:t xml:space="preserve">Todėl sujungiant šias dvi sistemas užsienio gerųjų patirčių analizė taip pat atskleidė keletą variantų, kuriais užsienio aukštosios mokyklos vykdo neformaliuoju ir savišvietos būdu įgytų kompetencijų pripažinimo ir įskaitymo procedūras ir kurios gali būti taikomos naujajame Vilniaus universiteto studijų proceso </w:t>
      </w:r>
      <w:r w:rsidR="001C5B40" w:rsidRPr="00817AF9">
        <w:rPr>
          <w:rFonts w:ascii="Arial" w:hAnsi="Arial" w:cs="Arial"/>
        </w:rPr>
        <w:t>administravimo</w:t>
      </w:r>
      <w:r w:rsidR="00A540BF" w:rsidRPr="00817AF9">
        <w:rPr>
          <w:rFonts w:ascii="Arial" w:hAnsi="Arial" w:cs="Arial"/>
        </w:rPr>
        <w:t xml:space="preserve"> </w:t>
      </w:r>
      <w:r w:rsidRPr="00817AF9">
        <w:rPr>
          <w:rFonts w:ascii="Arial" w:hAnsi="Arial" w:cs="Arial"/>
        </w:rPr>
        <w:t xml:space="preserve">modelyje. Šis, neformaliuoju ir savišvietos būdu įgytų kompetencijų pripažinimo, procesas užsienio aukštosiose mokyklose vykdomas skirtingais lygmenimis. Pvz. </w:t>
      </w:r>
      <w:proofErr w:type="spellStart"/>
      <w:r w:rsidRPr="00817AF9">
        <w:rPr>
          <w:rFonts w:ascii="Arial" w:hAnsi="Arial" w:cs="Arial"/>
          <w:i/>
        </w:rPr>
        <w:t>Jean</w:t>
      </w:r>
      <w:proofErr w:type="spellEnd"/>
      <w:r w:rsidRPr="00817AF9">
        <w:rPr>
          <w:rFonts w:ascii="Arial" w:hAnsi="Arial" w:cs="Arial"/>
          <w:i/>
        </w:rPr>
        <w:t xml:space="preserve"> </w:t>
      </w:r>
      <w:proofErr w:type="spellStart"/>
      <w:r w:rsidRPr="00817AF9">
        <w:rPr>
          <w:rFonts w:ascii="Arial" w:hAnsi="Arial" w:cs="Arial"/>
          <w:i/>
        </w:rPr>
        <w:t>Monnet</w:t>
      </w:r>
      <w:proofErr w:type="spellEnd"/>
      <w:r w:rsidRPr="00817AF9">
        <w:rPr>
          <w:rFonts w:ascii="Arial" w:hAnsi="Arial" w:cs="Arial"/>
          <w:i/>
        </w:rPr>
        <w:t xml:space="preserve"> University </w:t>
      </w:r>
      <w:r w:rsidRPr="00817AF9">
        <w:rPr>
          <w:rFonts w:ascii="Arial" w:hAnsi="Arial" w:cs="Arial"/>
        </w:rPr>
        <w:t xml:space="preserve">naudojama sistema apima keletą kompetencijų pripažinimo lygių: nuo atskirtų neformaliuoju būdu įgytų kompetencijų pripažinimo ir kreditų už tai suteikimo iki pilno kvalifikacinio laipsnio pripažinimo procedūros. Šioje aukštojoje mokykloje tiek profesinėje veikloje, tiek įvairiose </w:t>
      </w:r>
      <w:proofErr w:type="spellStart"/>
      <w:r w:rsidRPr="00817AF9">
        <w:rPr>
          <w:rFonts w:ascii="Arial" w:hAnsi="Arial" w:cs="Arial"/>
        </w:rPr>
        <w:t>popaskaitinėse</w:t>
      </w:r>
      <w:proofErr w:type="spellEnd"/>
      <w:r w:rsidRPr="00817AF9">
        <w:rPr>
          <w:rFonts w:ascii="Arial" w:hAnsi="Arial" w:cs="Arial"/>
        </w:rPr>
        <w:t xml:space="preserve"> veiklose įgytos kompetencijos gali būti įskaitomos kaip studijų programos turinio dalys, atskirtos kompetencijos, už tai suteikiami </w:t>
      </w:r>
      <w:r w:rsidR="00BC57FF" w:rsidRPr="00817AF9">
        <w:rPr>
          <w:rFonts w:ascii="Arial" w:hAnsi="Arial" w:cs="Arial"/>
        </w:rPr>
        <w:t xml:space="preserve">pažymėjimai, ar skiriami kreditai. Pripažinimo procedūra sudėtinga ir apimanti daug etapų, tad gali užtrukti ir iki kelių metų. Visa sistema paremta itin stipriu kandidatų užskaityti kompetencijas akademiniu konsultavimu, kurio metu kandidatams yra padedama sudaryti savo kompetencijų </w:t>
      </w:r>
      <w:proofErr w:type="spellStart"/>
      <w:r w:rsidR="00BC57FF" w:rsidRPr="00817AF9">
        <w:rPr>
          <w:rFonts w:ascii="Arial" w:hAnsi="Arial" w:cs="Arial"/>
        </w:rPr>
        <w:t>portfolio</w:t>
      </w:r>
      <w:proofErr w:type="spellEnd"/>
      <w:r w:rsidR="00BC57FF" w:rsidRPr="00817AF9">
        <w:rPr>
          <w:rFonts w:ascii="Arial" w:hAnsi="Arial" w:cs="Arial"/>
        </w:rPr>
        <w:t>, pasiruošti vertinimo procedūroms. Kitose aukštosiose mokyklose ši sistema nėra išvystyta iki tokio lygmens ir apsiriboja atskirtų dalykų ar kompetencijų pripažinimu.</w:t>
      </w:r>
      <w:r w:rsidR="00A540BF" w:rsidRPr="00817AF9">
        <w:rPr>
          <w:rFonts w:ascii="Arial" w:hAnsi="Arial" w:cs="Arial"/>
        </w:rPr>
        <w:t xml:space="preserve"> Pavyzdžiui,</w:t>
      </w:r>
      <w:r w:rsidR="00BC57FF" w:rsidRPr="00817AF9">
        <w:rPr>
          <w:rFonts w:ascii="Arial" w:hAnsi="Arial" w:cs="Arial"/>
        </w:rPr>
        <w:t xml:space="preserve"> </w:t>
      </w:r>
      <w:r w:rsidR="00BC57FF" w:rsidRPr="00817AF9">
        <w:rPr>
          <w:rFonts w:ascii="Arial" w:hAnsi="Arial" w:cs="Arial"/>
          <w:i/>
        </w:rPr>
        <w:t xml:space="preserve">University </w:t>
      </w:r>
      <w:proofErr w:type="spellStart"/>
      <w:r w:rsidR="00BC57FF" w:rsidRPr="00817AF9">
        <w:rPr>
          <w:rFonts w:ascii="Arial" w:hAnsi="Arial" w:cs="Arial"/>
          <w:i/>
        </w:rPr>
        <w:t>of</w:t>
      </w:r>
      <w:proofErr w:type="spellEnd"/>
      <w:r w:rsidR="00BC57FF" w:rsidRPr="00817AF9">
        <w:rPr>
          <w:rFonts w:ascii="Arial" w:hAnsi="Arial" w:cs="Arial"/>
          <w:i/>
        </w:rPr>
        <w:t xml:space="preserve"> Granada</w:t>
      </w:r>
      <w:r w:rsidR="00BC57FF" w:rsidRPr="00817AF9">
        <w:rPr>
          <w:rFonts w:ascii="Arial" w:hAnsi="Arial" w:cs="Arial"/>
        </w:rPr>
        <w:t xml:space="preserve"> neformaliuoju ir savišvietos būdu įgytos kompetencijos negali būti įskaitytos kaip visa kvalifikacija, tačiau už šias kompetencijas, įgytas neformaliose studijose, darbinėje praktikoje ar dalyvavime aukštosios mokyklos organizuojamose </w:t>
      </w:r>
      <w:proofErr w:type="spellStart"/>
      <w:r w:rsidR="00BC57FF" w:rsidRPr="00817AF9">
        <w:rPr>
          <w:rFonts w:ascii="Arial" w:hAnsi="Arial" w:cs="Arial"/>
        </w:rPr>
        <w:t>popaskaitinėje</w:t>
      </w:r>
      <w:proofErr w:type="spellEnd"/>
      <w:r w:rsidR="00BC57FF" w:rsidRPr="00817AF9">
        <w:rPr>
          <w:rFonts w:ascii="Arial" w:hAnsi="Arial" w:cs="Arial"/>
        </w:rPr>
        <w:t xml:space="preserve"> veikloje studentams gali būti suteikiami kreditai, kurie gali būti įskaitomi vietoje laisvai studentams pasirenkamų dalykų. Svarbu atkreipti dėmesį, kad dažnu atveju galimybes aukštajai mokyklai įskaityti neformaliuoju ir savišvietos būdu įgytas kompetencijas dalinai riboja ir nacionaliniai studijas reglamentuojantys teisės aktai, kurie apibrėžia tokio įskaitymo maksimalias ribas. Tačiau tai nesumažina prielaidų naujajame Vilniaus universiteto studijų proceso administravimo modelyje, įtraukiant ir Šiaulių universiteto bei užsienio aukštųjų mokyklų patirtį, pradėti diegti atnaujintą normaliuoju ir savišvietos būtų įgytų kompetencijų pripažinimo sistemą.    </w:t>
      </w:r>
    </w:p>
    <w:p w14:paraId="29B2B1A6" w14:textId="77777777" w:rsidR="007B5D49" w:rsidRPr="00817AF9" w:rsidRDefault="007B5D49" w:rsidP="00A540BF">
      <w:pPr>
        <w:spacing w:line="360" w:lineRule="auto"/>
        <w:jc w:val="both"/>
        <w:rPr>
          <w:rFonts w:ascii="Arial" w:hAnsi="Arial" w:cs="Arial"/>
        </w:rPr>
      </w:pPr>
    </w:p>
    <w:sectPr w:rsidR="007B5D49" w:rsidRPr="00817AF9" w:rsidSect="00B811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6BFD"/>
    <w:multiLevelType w:val="multilevel"/>
    <w:tmpl w:val="2188C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03F06"/>
    <w:multiLevelType w:val="hybridMultilevel"/>
    <w:tmpl w:val="375AE0E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22252821"/>
    <w:multiLevelType w:val="multilevel"/>
    <w:tmpl w:val="8D70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D04E1"/>
    <w:multiLevelType w:val="multilevel"/>
    <w:tmpl w:val="BA1EA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E2C84"/>
    <w:multiLevelType w:val="multilevel"/>
    <w:tmpl w:val="F53E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D20EE2"/>
    <w:multiLevelType w:val="multilevel"/>
    <w:tmpl w:val="560EC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0NDUzszSwtDAysjRV0lEKTi0uzszPAykwrAUAscVRuSwAAAA="/>
  </w:docVars>
  <w:rsids>
    <w:rsidRoot w:val="007B5D49"/>
    <w:rsid w:val="00026495"/>
    <w:rsid w:val="001A382F"/>
    <w:rsid w:val="001C5B40"/>
    <w:rsid w:val="00261A70"/>
    <w:rsid w:val="002C0A4C"/>
    <w:rsid w:val="00382615"/>
    <w:rsid w:val="00403A29"/>
    <w:rsid w:val="0047019F"/>
    <w:rsid w:val="004C5B31"/>
    <w:rsid w:val="005B3734"/>
    <w:rsid w:val="006268DA"/>
    <w:rsid w:val="00696A63"/>
    <w:rsid w:val="006C13D4"/>
    <w:rsid w:val="007B5D49"/>
    <w:rsid w:val="0080691E"/>
    <w:rsid w:val="00817AF9"/>
    <w:rsid w:val="00902690"/>
    <w:rsid w:val="00950F3E"/>
    <w:rsid w:val="00A540BF"/>
    <w:rsid w:val="00A8281B"/>
    <w:rsid w:val="00A9424F"/>
    <w:rsid w:val="00AB0ED7"/>
    <w:rsid w:val="00B81124"/>
    <w:rsid w:val="00BB64F1"/>
    <w:rsid w:val="00BC57FF"/>
    <w:rsid w:val="00C14AED"/>
    <w:rsid w:val="00C32135"/>
    <w:rsid w:val="00C44646"/>
    <w:rsid w:val="00C8094E"/>
    <w:rsid w:val="00DD76F5"/>
    <w:rsid w:val="00ED6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AB7C"/>
  <w15:chartTrackingRefBased/>
  <w15:docId w15:val="{A52BA65B-A780-4ACF-8051-34AC8F34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5D49"/>
    <w:rPr>
      <w:sz w:val="16"/>
      <w:szCs w:val="16"/>
    </w:rPr>
  </w:style>
  <w:style w:type="paragraph" w:styleId="CommentText">
    <w:name w:val="annotation text"/>
    <w:basedOn w:val="Normal"/>
    <w:link w:val="CommentTextChar"/>
    <w:uiPriority w:val="99"/>
    <w:semiHidden/>
    <w:unhideWhenUsed/>
    <w:rsid w:val="007B5D49"/>
    <w:rPr>
      <w:sz w:val="20"/>
      <w:szCs w:val="20"/>
    </w:rPr>
  </w:style>
  <w:style w:type="character" w:customStyle="1" w:styleId="CommentTextChar">
    <w:name w:val="Comment Text Char"/>
    <w:basedOn w:val="DefaultParagraphFont"/>
    <w:link w:val="CommentText"/>
    <w:uiPriority w:val="99"/>
    <w:semiHidden/>
    <w:rsid w:val="007B5D49"/>
    <w:rPr>
      <w:sz w:val="20"/>
      <w:szCs w:val="20"/>
    </w:rPr>
  </w:style>
  <w:style w:type="paragraph" w:styleId="CommentSubject">
    <w:name w:val="annotation subject"/>
    <w:basedOn w:val="CommentText"/>
    <w:next w:val="CommentText"/>
    <w:link w:val="CommentSubjectChar"/>
    <w:uiPriority w:val="99"/>
    <w:semiHidden/>
    <w:unhideWhenUsed/>
    <w:rsid w:val="007B5D49"/>
    <w:rPr>
      <w:b/>
      <w:bCs/>
    </w:rPr>
  </w:style>
  <w:style w:type="character" w:customStyle="1" w:styleId="CommentSubjectChar">
    <w:name w:val="Comment Subject Char"/>
    <w:basedOn w:val="CommentTextChar"/>
    <w:link w:val="CommentSubject"/>
    <w:uiPriority w:val="99"/>
    <w:semiHidden/>
    <w:rsid w:val="007B5D49"/>
    <w:rPr>
      <w:b/>
      <w:bCs/>
      <w:sz w:val="20"/>
      <w:szCs w:val="20"/>
    </w:rPr>
  </w:style>
  <w:style w:type="paragraph" w:styleId="BalloonText">
    <w:name w:val="Balloon Text"/>
    <w:basedOn w:val="Normal"/>
    <w:link w:val="BalloonTextChar"/>
    <w:uiPriority w:val="99"/>
    <w:semiHidden/>
    <w:unhideWhenUsed/>
    <w:rsid w:val="007B5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D49"/>
    <w:rPr>
      <w:rFonts w:ascii="Segoe UI" w:hAnsi="Segoe UI" w:cs="Segoe UI"/>
      <w:sz w:val="18"/>
      <w:szCs w:val="18"/>
    </w:rPr>
  </w:style>
  <w:style w:type="paragraph" w:styleId="ListParagraph">
    <w:name w:val="List Paragraph"/>
    <w:basedOn w:val="Normal"/>
    <w:uiPriority w:val="34"/>
    <w:qFormat/>
    <w:rsid w:val="00817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30345">
      <w:bodyDiv w:val="1"/>
      <w:marLeft w:val="0"/>
      <w:marRight w:val="0"/>
      <w:marTop w:val="0"/>
      <w:marBottom w:val="0"/>
      <w:divBdr>
        <w:top w:val="none" w:sz="0" w:space="0" w:color="auto"/>
        <w:left w:val="none" w:sz="0" w:space="0" w:color="auto"/>
        <w:bottom w:val="none" w:sz="0" w:space="0" w:color="auto"/>
        <w:right w:val="none" w:sz="0" w:space="0" w:color="auto"/>
      </w:divBdr>
      <w:divsChild>
        <w:div w:id="356077845">
          <w:marLeft w:val="0"/>
          <w:marRight w:val="0"/>
          <w:marTop w:val="0"/>
          <w:marBottom w:val="0"/>
          <w:divBdr>
            <w:top w:val="none" w:sz="0" w:space="0" w:color="auto"/>
            <w:left w:val="none" w:sz="0" w:space="0" w:color="auto"/>
            <w:bottom w:val="none" w:sz="0" w:space="0" w:color="auto"/>
            <w:right w:val="none" w:sz="0" w:space="0" w:color="auto"/>
          </w:divBdr>
        </w:div>
        <w:div w:id="840705668">
          <w:marLeft w:val="0"/>
          <w:marRight w:val="0"/>
          <w:marTop w:val="0"/>
          <w:marBottom w:val="0"/>
          <w:divBdr>
            <w:top w:val="none" w:sz="0" w:space="0" w:color="auto"/>
            <w:left w:val="none" w:sz="0" w:space="0" w:color="auto"/>
            <w:bottom w:val="none" w:sz="0" w:space="0" w:color="auto"/>
            <w:right w:val="none" w:sz="0" w:space="0" w:color="auto"/>
          </w:divBdr>
        </w:div>
        <w:div w:id="794131385">
          <w:marLeft w:val="0"/>
          <w:marRight w:val="0"/>
          <w:marTop w:val="0"/>
          <w:marBottom w:val="0"/>
          <w:divBdr>
            <w:top w:val="none" w:sz="0" w:space="0" w:color="auto"/>
            <w:left w:val="none" w:sz="0" w:space="0" w:color="auto"/>
            <w:bottom w:val="none" w:sz="0" w:space="0" w:color="auto"/>
            <w:right w:val="none" w:sz="0" w:space="0" w:color="auto"/>
          </w:divBdr>
        </w:div>
        <w:div w:id="108281834">
          <w:marLeft w:val="0"/>
          <w:marRight w:val="0"/>
          <w:marTop w:val="0"/>
          <w:marBottom w:val="0"/>
          <w:divBdr>
            <w:top w:val="none" w:sz="0" w:space="0" w:color="auto"/>
            <w:left w:val="none" w:sz="0" w:space="0" w:color="auto"/>
            <w:bottom w:val="none" w:sz="0" w:space="0" w:color="auto"/>
            <w:right w:val="none" w:sz="0" w:space="0" w:color="auto"/>
          </w:divBdr>
        </w:div>
      </w:divsChild>
    </w:div>
    <w:div w:id="691296775">
      <w:bodyDiv w:val="1"/>
      <w:marLeft w:val="0"/>
      <w:marRight w:val="0"/>
      <w:marTop w:val="0"/>
      <w:marBottom w:val="0"/>
      <w:divBdr>
        <w:top w:val="none" w:sz="0" w:space="0" w:color="auto"/>
        <w:left w:val="none" w:sz="0" w:space="0" w:color="auto"/>
        <w:bottom w:val="none" w:sz="0" w:space="0" w:color="auto"/>
        <w:right w:val="none" w:sz="0" w:space="0" w:color="auto"/>
      </w:divBdr>
      <w:divsChild>
        <w:div w:id="1389037527">
          <w:marLeft w:val="0"/>
          <w:marRight w:val="0"/>
          <w:marTop w:val="0"/>
          <w:marBottom w:val="0"/>
          <w:divBdr>
            <w:top w:val="none" w:sz="0" w:space="0" w:color="auto"/>
            <w:left w:val="none" w:sz="0" w:space="0" w:color="auto"/>
            <w:bottom w:val="none" w:sz="0" w:space="0" w:color="auto"/>
            <w:right w:val="none" w:sz="0" w:space="0" w:color="auto"/>
          </w:divBdr>
        </w:div>
        <w:div w:id="1432319796">
          <w:marLeft w:val="0"/>
          <w:marRight w:val="0"/>
          <w:marTop w:val="0"/>
          <w:marBottom w:val="0"/>
          <w:divBdr>
            <w:top w:val="none" w:sz="0" w:space="0" w:color="auto"/>
            <w:left w:val="none" w:sz="0" w:space="0" w:color="auto"/>
            <w:bottom w:val="none" w:sz="0" w:space="0" w:color="auto"/>
            <w:right w:val="none" w:sz="0" w:space="0" w:color="auto"/>
          </w:divBdr>
        </w:div>
        <w:div w:id="750926001">
          <w:marLeft w:val="0"/>
          <w:marRight w:val="0"/>
          <w:marTop w:val="0"/>
          <w:marBottom w:val="0"/>
          <w:divBdr>
            <w:top w:val="none" w:sz="0" w:space="0" w:color="auto"/>
            <w:left w:val="none" w:sz="0" w:space="0" w:color="auto"/>
            <w:bottom w:val="none" w:sz="0" w:space="0" w:color="auto"/>
            <w:right w:val="none" w:sz="0" w:space="0" w:color="auto"/>
          </w:divBdr>
        </w:div>
        <w:div w:id="78335353">
          <w:marLeft w:val="0"/>
          <w:marRight w:val="0"/>
          <w:marTop w:val="0"/>
          <w:marBottom w:val="0"/>
          <w:divBdr>
            <w:top w:val="none" w:sz="0" w:space="0" w:color="auto"/>
            <w:left w:val="none" w:sz="0" w:space="0" w:color="auto"/>
            <w:bottom w:val="none" w:sz="0" w:space="0" w:color="auto"/>
            <w:right w:val="none" w:sz="0" w:space="0" w:color="auto"/>
          </w:divBdr>
        </w:div>
      </w:divsChild>
    </w:div>
    <w:div w:id="788596295">
      <w:bodyDiv w:val="1"/>
      <w:marLeft w:val="0"/>
      <w:marRight w:val="0"/>
      <w:marTop w:val="0"/>
      <w:marBottom w:val="0"/>
      <w:divBdr>
        <w:top w:val="none" w:sz="0" w:space="0" w:color="auto"/>
        <w:left w:val="none" w:sz="0" w:space="0" w:color="auto"/>
        <w:bottom w:val="none" w:sz="0" w:space="0" w:color="auto"/>
        <w:right w:val="none" w:sz="0" w:space="0" w:color="auto"/>
      </w:divBdr>
      <w:divsChild>
        <w:div w:id="86967932">
          <w:marLeft w:val="0"/>
          <w:marRight w:val="0"/>
          <w:marTop w:val="0"/>
          <w:marBottom w:val="0"/>
          <w:divBdr>
            <w:top w:val="none" w:sz="0" w:space="0" w:color="auto"/>
            <w:left w:val="none" w:sz="0" w:space="0" w:color="auto"/>
            <w:bottom w:val="none" w:sz="0" w:space="0" w:color="auto"/>
            <w:right w:val="none" w:sz="0" w:space="0" w:color="auto"/>
          </w:divBdr>
        </w:div>
        <w:div w:id="1337919022">
          <w:marLeft w:val="0"/>
          <w:marRight w:val="0"/>
          <w:marTop w:val="0"/>
          <w:marBottom w:val="0"/>
          <w:divBdr>
            <w:top w:val="none" w:sz="0" w:space="0" w:color="auto"/>
            <w:left w:val="none" w:sz="0" w:space="0" w:color="auto"/>
            <w:bottom w:val="none" w:sz="0" w:space="0" w:color="auto"/>
            <w:right w:val="none" w:sz="0" w:space="0" w:color="auto"/>
          </w:divBdr>
        </w:div>
        <w:div w:id="401877202">
          <w:marLeft w:val="0"/>
          <w:marRight w:val="0"/>
          <w:marTop w:val="0"/>
          <w:marBottom w:val="0"/>
          <w:divBdr>
            <w:top w:val="none" w:sz="0" w:space="0" w:color="auto"/>
            <w:left w:val="none" w:sz="0" w:space="0" w:color="auto"/>
            <w:bottom w:val="none" w:sz="0" w:space="0" w:color="auto"/>
            <w:right w:val="none" w:sz="0" w:space="0" w:color="auto"/>
          </w:divBdr>
        </w:div>
        <w:div w:id="255481740">
          <w:marLeft w:val="0"/>
          <w:marRight w:val="0"/>
          <w:marTop w:val="0"/>
          <w:marBottom w:val="0"/>
          <w:divBdr>
            <w:top w:val="none" w:sz="0" w:space="0" w:color="auto"/>
            <w:left w:val="none" w:sz="0" w:space="0" w:color="auto"/>
            <w:bottom w:val="none" w:sz="0" w:space="0" w:color="auto"/>
            <w:right w:val="none" w:sz="0" w:space="0" w:color="auto"/>
          </w:divBdr>
        </w:div>
      </w:divsChild>
    </w:div>
    <w:div w:id="1365866585">
      <w:bodyDiv w:val="1"/>
      <w:marLeft w:val="0"/>
      <w:marRight w:val="0"/>
      <w:marTop w:val="0"/>
      <w:marBottom w:val="0"/>
      <w:divBdr>
        <w:top w:val="none" w:sz="0" w:space="0" w:color="auto"/>
        <w:left w:val="none" w:sz="0" w:space="0" w:color="auto"/>
        <w:bottom w:val="none" w:sz="0" w:space="0" w:color="auto"/>
        <w:right w:val="none" w:sz="0" w:space="0" w:color="auto"/>
      </w:divBdr>
      <w:divsChild>
        <w:div w:id="743333734">
          <w:marLeft w:val="0"/>
          <w:marRight w:val="0"/>
          <w:marTop w:val="0"/>
          <w:marBottom w:val="0"/>
          <w:divBdr>
            <w:top w:val="none" w:sz="0" w:space="0" w:color="auto"/>
            <w:left w:val="none" w:sz="0" w:space="0" w:color="auto"/>
            <w:bottom w:val="none" w:sz="0" w:space="0" w:color="auto"/>
            <w:right w:val="none" w:sz="0" w:space="0" w:color="auto"/>
          </w:divBdr>
        </w:div>
        <w:div w:id="2051952506">
          <w:marLeft w:val="0"/>
          <w:marRight w:val="0"/>
          <w:marTop w:val="0"/>
          <w:marBottom w:val="0"/>
          <w:divBdr>
            <w:top w:val="none" w:sz="0" w:space="0" w:color="auto"/>
            <w:left w:val="none" w:sz="0" w:space="0" w:color="auto"/>
            <w:bottom w:val="none" w:sz="0" w:space="0" w:color="auto"/>
            <w:right w:val="none" w:sz="0" w:space="0" w:color="auto"/>
          </w:divBdr>
        </w:div>
        <w:div w:id="354304982">
          <w:marLeft w:val="0"/>
          <w:marRight w:val="0"/>
          <w:marTop w:val="0"/>
          <w:marBottom w:val="0"/>
          <w:divBdr>
            <w:top w:val="none" w:sz="0" w:space="0" w:color="auto"/>
            <w:left w:val="none" w:sz="0" w:space="0" w:color="auto"/>
            <w:bottom w:val="none" w:sz="0" w:space="0" w:color="auto"/>
            <w:right w:val="none" w:sz="0" w:space="0" w:color="auto"/>
          </w:divBdr>
        </w:div>
        <w:div w:id="2055037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80A706AA124B44B7E0AC1D8CCA4FDF" ma:contentTypeVersion="21" ma:contentTypeDescription="Kurkite naują dokumentą." ma:contentTypeScope="" ma:versionID="8ee3dabaff3a02d1f1110168c362fb3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Kiti dokumentai (MPD3)</SFMISDocumentType>
    <SFMISDocumentSupersededInternalBy xmlns="http://ecm4d/sfmis/fields">sfmis</SFMISDocumentSupersededInternalBy>
    <SFMISDocumentId xmlns="http://ecm4d/sfmis/fields" xsi:nil="true"/>
    <SFMISDocumentSize xmlns="http://ecm4d/sfmis/fields">166</SFMISDocumentSize>
    <SFMISDocumentRemovedBy xmlns="http://ecm4d/sfmis/fields" xsi:nil="true"/>
    <SFMISDocumentDate xmlns="http://ecm4d/sfmis/fields">2021-12-27T06:59:00+00:00</SFMISDocumentDate>
    <SFMISDocumentFileName xmlns="http://ecm4d/sfmis/fields">Analizė ir užsienio gerosios praktikos aprašas</SFMISDocumentFileName>
    <SFMISDocumentSuperseded xmlns="http://ecm4d/sfmis/fields">2021-12-29T21:15:00+00:00</SFMISDocumentSuperseded>
    <SFMISDocumentObjectType xmlns="http://ecm4d/sfmis/fields">Mokėjimo prašymas</SFMISDocumentObjectType>
    <SFMISDocumentDescription xmlns="http://ecm4d/sfmis/fields">""</SFMISDocumentDescription>
    <SFMISProjectInternalId xmlns="http://ecm4d/sfmis/fields">28617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MP010</SFMISDocumentObjectId>
    <SFMISDocumentFullTitle xmlns="http://ecm4d/sfmis/fields">Analizė ir užsienio gerosios praktikos aprašas</SFMISDocumentFullTitle>
    <SFMISDocumentUploaded xmlns="http://ecm4d/sfmis/fields">2021-12-29T21:11:00+00:00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09.3.1-ESFA-V-738-03-0001</SFMISProjectId>
  </documentManagement>
</p:properties>
</file>

<file path=customXml/itemProps1.xml><?xml version="1.0" encoding="utf-8"?>
<ds:datastoreItem xmlns:ds="http://schemas.openxmlformats.org/officeDocument/2006/customXml" ds:itemID="{3F252686-62C4-488B-A90E-50756D1AB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864C6-4E3D-43BE-857B-E9ABC5294DCD}">
  <ds:schemaRefs>
    <ds:schemaRef ds:uri="http://schemas.microsoft.com/sharepoint/v3/contenttype/forms"/>
  </ds:schemaRefs>
</ds:datastoreItem>
</file>

<file path=customXml/itemProps3.xml><?xml version="1.0" encoding="utf-8"?>
<ds:datastoreItem xmlns:ds="http://schemas.openxmlformats.org/officeDocument/2006/customXml" ds:itemID="{D278E1E3-C29E-4E0D-AC33-C0E8012C071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14492</Words>
  <Characters>8261</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Analizė ir užsienio gerosios praktikos aprašas</dc:title>
  <dc:subject/>
  <dc:creator>Egidijus Kinderis</dc:creator>
  <cp:keywords/>
  <dc:description/>
  <cp:lastModifiedBy>Ineta Palionytė</cp:lastModifiedBy>
  <cp:revision>2</cp:revision>
  <dcterms:created xsi:type="dcterms:W3CDTF">2022-01-17T09:18:00Z</dcterms:created>
  <dcterms:modified xsi:type="dcterms:W3CDTF">2022-01-17T09:18:00Z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0x0101009680A706AA124B44B7E0AC1D8CCA4FDF</vt:lpwstr>
  </property>
</Properties>
</file>