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CD15C" w14:textId="64D9FA4D" w:rsidR="00CD2FA0" w:rsidRPr="00DC1DE4" w:rsidRDefault="00CD2FA0" w:rsidP="00CD2FA0">
      <w:pPr>
        <w:jc w:val="center"/>
        <w:rPr>
          <w:b/>
          <w:bCs/>
          <w:sz w:val="28"/>
          <w:szCs w:val="28"/>
        </w:rPr>
      </w:pPr>
      <w:r w:rsidRPr="00DC1DE4">
        <w:rPr>
          <w:b/>
          <w:bCs/>
          <w:sz w:val="28"/>
          <w:szCs w:val="28"/>
        </w:rPr>
        <w:t>TECHNINĖ SPECIFIKACIJA</w:t>
      </w:r>
      <w:r>
        <w:rPr>
          <w:b/>
          <w:bCs/>
          <w:sz w:val="28"/>
          <w:szCs w:val="28"/>
        </w:rPr>
        <w:t xml:space="preserve"> Nr. </w:t>
      </w:r>
      <w:bookmarkStart w:id="0" w:name="_GoBack"/>
      <w:bookmarkEnd w:id="0"/>
      <w:r>
        <w:rPr>
          <w:b/>
          <w:bCs/>
          <w:sz w:val="28"/>
          <w:szCs w:val="28"/>
        </w:rPr>
        <w:t xml:space="preserve">1 </w:t>
      </w:r>
    </w:p>
    <w:p w14:paraId="3468907D" w14:textId="77777777" w:rsidR="00CD2FA0" w:rsidRPr="00BA65A8" w:rsidRDefault="00CD2FA0" w:rsidP="00CD2FA0">
      <w:pPr>
        <w:jc w:val="center"/>
        <w:rPr>
          <w:b/>
          <w:bCs/>
          <w:szCs w:val="24"/>
        </w:rPr>
      </w:pPr>
    </w:p>
    <w:p w14:paraId="2A7BCBA0" w14:textId="77777777" w:rsidR="00CD2FA0" w:rsidRPr="00DB51DE" w:rsidRDefault="00CD2FA0" w:rsidP="00CD2FA0">
      <w:pPr>
        <w:ind w:firstLine="1296"/>
        <w:jc w:val="center"/>
        <w:rPr>
          <w:b/>
          <w:bCs/>
          <w:color w:val="333333"/>
          <w:szCs w:val="24"/>
        </w:rPr>
      </w:pPr>
      <w:proofErr w:type="spellStart"/>
      <w:r w:rsidRPr="00DB51DE">
        <w:rPr>
          <w:b/>
          <w:bCs/>
          <w:color w:val="333333"/>
          <w:szCs w:val="24"/>
        </w:rPr>
        <w:t>Chromoforų</w:t>
      </w:r>
      <w:proofErr w:type="spellEnd"/>
      <w:r w:rsidRPr="00DB51DE">
        <w:rPr>
          <w:b/>
          <w:bCs/>
          <w:color w:val="333333"/>
          <w:szCs w:val="24"/>
        </w:rPr>
        <w:t xml:space="preserve"> atpažinimo ir atskyrimo testavimo paslaugos </w:t>
      </w:r>
    </w:p>
    <w:p w14:paraId="6A3F8626" w14:textId="77777777" w:rsidR="00CD2FA0" w:rsidRPr="00DB51DE" w:rsidRDefault="00CD2FA0" w:rsidP="00CD2FA0">
      <w:pPr>
        <w:ind w:firstLine="1296"/>
        <w:jc w:val="center"/>
        <w:rPr>
          <w:b/>
          <w:bCs/>
          <w:color w:val="333333"/>
          <w:szCs w:val="24"/>
        </w:rPr>
      </w:pPr>
    </w:p>
    <w:p w14:paraId="220A5585" w14:textId="77777777" w:rsidR="00CD2FA0" w:rsidRPr="00DB51DE" w:rsidRDefault="00CD2FA0" w:rsidP="00CD2FA0">
      <w:pPr>
        <w:ind w:firstLine="1296"/>
        <w:jc w:val="center"/>
        <w:rPr>
          <w:b/>
          <w:bCs/>
          <w:color w:val="333333"/>
          <w:szCs w:val="24"/>
        </w:rPr>
      </w:pPr>
      <w:r w:rsidRPr="00DB51DE">
        <w:rPr>
          <w:b/>
          <w:bCs/>
          <w:color w:val="333333"/>
          <w:szCs w:val="24"/>
        </w:rPr>
        <w:t>Bus atliekami tyrimai žemiau detalizuota įranga</w:t>
      </w:r>
    </w:p>
    <w:p w14:paraId="017F9082" w14:textId="77777777" w:rsidR="00CD2FA0" w:rsidRPr="00BA65A8" w:rsidRDefault="00CD2FA0" w:rsidP="00CD2FA0">
      <w:pPr>
        <w:ind w:firstLine="1296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6"/>
        <w:gridCol w:w="4460"/>
      </w:tblGrid>
      <w:tr w:rsidR="00CD2FA0" w:rsidRPr="00BA65A8" w14:paraId="28B7C22D" w14:textId="77777777" w:rsidTr="00094726">
        <w:tc>
          <w:tcPr>
            <w:tcW w:w="4998" w:type="dxa"/>
            <w:shd w:val="clear" w:color="auto" w:fill="auto"/>
          </w:tcPr>
          <w:p w14:paraId="15D77FC1" w14:textId="77777777" w:rsidR="00CD2FA0" w:rsidRPr="00BA65A8" w:rsidRDefault="00CD2FA0" w:rsidP="00094726">
            <w:pPr>
              <w:rPr>
                <w:szCs w:val="24"/>
              </w:rPr>
            </w:pPr>
            <w:r w:rsidRPr="00BA65A8">
              <w:rPr>
                <w:szCs w:val="24"/>
              </w:rPr>
              <w:t>Rodiklio pavadinimas</w:t>
            </w:r>
          </w:p>
        </w:tc>
        <w:tc>
          <w:tcPr>
            <w:tcW w:w="4999" w:type="dxa"/>
            <w:shd w:val="clear" w:color="auto" w:fill="auto"/>
          </w:tcPr>
          <w:p w14:paraId="074CCF42" w14:textId="77777777" w:rsidR="00CD2FA0" w:rsidRPr="00BA65A8" w:rsidRDefault="00CD2FA0" w:rsidP="00094726">
            <w:pPr>
              <w:rPr>
                <w:szCs w:val="24"/>
              </w:rPr>
            </w:pPr>
            <w:r w:rsidRPr="00BA65A8">
              <w:rPr>
                <w:szCs w:val="24"/>
              </w:rPr>
              <w:t>Reikšmė</w:t>
            </w:r>
          </w:p>
        </w:tc>
      </w:tr>
      <w:tr w:rsidR="00CD2FA0" w:rsidRPr="00BA65A8" w14:paraId="591A3175" w14:textId="77777777" w:rsidTr="00094726">
        <w:tc>
          <w:tcPr>
            <w:tcW w:w="4998" w:type="dxa"/>
            <w:shd w:val="clear" w:color="auto" w:fill="auto"/>
          </w:tcPr>
          <w:p w14:paraId="2CA0F41B" w14:textId="77777777" w:rsidR="00CD2FA0" w:rsidRPr="00BA65A8" w:rsidRDefault="00CD2FA0" w:rsidP="00094726">
            <w:pPr>
              <w:rPr>
                <w:szCs w:val="24"/>
              </w:rPr>
            </w:pPr>
            <w:r w:rsidRPr="00BA65A8">
              <w:rPr>
                <w:szCs w:val="24"/>
              </w:rPr>
              <w:t xml:space="preserve">Sluoksniavimo kolonos medžiagų atpažinimo </w:t>
            </w:r>
            <w:proofErr w:type="spellStart"/>
            <w:r w:rsidRPr="00BA65A8">
              <w:rPr>
                <w:szCs w:val="24"/>
              </w:rPr>
              <w:t>sekvencija</w:t>
            </w:r>
            <w:proofErr w:type="spellEnd"/>
            <w:r w:rsidRPr="00BA65A8">
              <w:rPr>
                <w:szCs w:val="24"/>
              </w:rPr>
              <w:t xml:space="preserve"> (</w:t>
            </w:r>
            <w:proofErr w:type="spellStart"/>
            <w:r w:rsidRPr="00BA65A8">
              <w:rPr>
                <w:szCs w:val="24"/>
              </w:rPr>
              <w:t>sequencing</w:t>
            </w:r>
            <w:proofErr w:type="spellEnd"/>
            <w:r w:rsidRPr="00BA65A8">
              <w:rPr>
                <w:szCs w:val="24"/>
              </w:rPr>
              <w:t>) UV, VIS spektruose.</w:t>
            </w:r>
          </w:p>
        </w:tc>
        <w:tc>
          <w:tcPr>
            <w:tcW w:w="4999" w:type="dxa"/>
            <w:shd w:val="clear" w:color="auto" w:fill="auto"/>
          </w:tcPr>
          <w:p w14:paraId="35C17109" w14:textId="77777777" w:rsidR="00CD2FA0" w:rsidRPr="00BA65A8" w:rsidRDefault="00CD2FA0" w:rsidP="00094726">
            <w:pPr>
              <w:rPr>
                <w:szCs w:val="24"/>
              </w:rPr>
            </w:pPr>
            <w:r w:rsidRPr="00BA65A8">
              <w:rPr>
                <w:szCs w:val="24"/>
              </w:rPr>
              <w:t>0,5 %</w:t>
            </w:r>
          </w:p>
        </w:tc>
      </w:tr>
      <w:tr w:rsidR="00CD2FA0" w:rsidRPr="00BA65A8" w14:paraId="40EFE790" w14:textId="77777777" w:rsidTr="00094726">
        <w:tc>
          <w:tcPr>
            <w:tcW w:w="4998" w:type="dxa"/>
            <w:shd w:val="clear" w:color="auto" w:fill="auto"/>
          </w:tcPr>
          <w:p w14:paraId="5CE84D17" w14:textId="77777777" w:rsidR="00CD2FA0" w:rsidRPr="00BA65A8" w:rsidRDefault="00CD2FA0" w:rsidP="00094726">
            <w:pPr>
              <w:rPr>
                <w:szCs w:val="24"/>
              </w:rPr>
            </w:pPr>
            <w:r w:rsidRPr="00BA65A8">
              <w:rPr>
                <w:szCs w:val="24"/>
              </w:rPr>
              <w:t xml:space="preserve">Pratekamu medžiagų atpažinimo </w:t>
            </w:r>
            <w:proofErr w:type="spellStart"/>
            <w:r w:rsidRPr="00BA65A8">
              <w:rPr>
                <w:szCs w:val="24"/>
              </w:rPr>
              <w:t>sekvencija</w:t>
            </w:r>
            <w:proofErr w:type="spellEnd"/>
            <w:r w:rsidRPr="00BA65A8">
              <w:rPr>
                <w:szCs w:val="24"/>
              </w:rPr>
              <w:t xml:space="preserve"> (</w:t>
            </w:r>
            <w:proofErr w:type="spellStart"/>
            <w:r w:rsidRPr="00BA65A8">
              <w:rPr>
                <w:szCs w:val="24"/>
              </w:rPr>
              <w:t>sequencing</w:t>
            </w:r>
            <w:proofErr w:type="spellEnd"/>
            <w:r w:rsidRPr="00BA65A8">
              <w:rPr>
                <w:szCs w:val="24"/>
              </w:rPr>
              <w:t>) UV, VIS spektruose.</w:t>
            </w:r>
          </w:p>
        </w:tc>
        <w:tc>
          <w:tcPr>
            <w:tcW w:w="4999" w:type="dxa"/>
            <w:shd w:val="clear" w:color="auto" w:fill="auto"/>
          </w:tcPr>
          <w:p w14:paraId="56E2414C" w14:textId="77777777" w:rsidR="00CD2FA0" w:rsidRPr="00BA65A8" w:rsidRDefault="00CD2FA0" w:rsidP="00094726">
            <w:pPr>
              <w:rPr>
                <w:szCs w:val="24"/>
              </w:rPr>
            </w:pPr>
            <w:r w:rsidRPr="00BA65A8">
              <w:rPr>
                <w:szCs w:val="24"/>
              </w:rPr>
              <w:t>0,5 %</w:t>
            </w:r>
          </w:p>
        </w:tc>
      </w:tr>
      <w:tr w:rsidR="00CD2FA0" w:rsidRPr="00BA65A8" w14:paraId="2F7A2B55" w14:textId="77777777" w:rsidTr="00094726">
        <w:tc>
          <w:tcPr>
            <w:tcW w:w="4998" w:type="dxa"/>
            <w:shd w:val="clear" w:color="auto" w:fill="auto"/>
          </w:tcPr>
          <w:p w14:paraId="4E9348D1" w14:textId="77777777" w:rsidR="00CD2FA0" w:rsidRPr="00BA65A8" w:rsidRDefault="00CD2FA0" w:rsidP="00094726">
            <w:pPr>
              <w:rPr>
                <w:szCs w:val="24"/>
              </w:rPr>
            </w:pPr>
            <w:r w:rsidRPr="00BA65A8">
              <w:rPr>
                <w:szCs w:val="24"/>
              </w:rPr>
              <w:t>Frakcijų surinkėjas</w:t>
            </w:r>
          </w:p>
        </w:tc>
        <w:tc>
          <w:tcPr>
            <w:tcW w:w="4999" w:type="dxa"/>
            <w:shd w:val="clear" w:color="auto" w:fill="auto"/>
          </w:tcPr>
          <w:p w14:paraId="035D5B09" w14:textId="77777777" w:rsidR="00CD2FA0" w:rsidRPr="00BA65A8" w:rsidRDefault="00CD2FA0" w:rsidP="00094726">
            <w:pPr>
              <w:rPr>
                <w:szCs w:val="24"/>
              </w:rPr>
            </w:pPr>
            <w:r w:rsidRPr="00BA65A8">
              <w:rPr>
                <w:szCs w:val="24"/>
              </w:rPr>
              <w:t>1 Vnt.</w:t>
            </w:r>
          </w:p>
        </w:tc>
      </w:tr>
      <w:tr w:rsidR="00CD2FA0" w:rsidRPr="00BA65A8" w14:paraId="29AB2895" w14:textId="77777777" w:rsidTr="00094726">
        <w:tc>
          <w:tcPr>
            <w:tcW w:w="4998" w:type="dxa"/>
            <w:shd w:val="clear" w:color="auto" w:fill="auto"/>
          </w:tcPr>
          <w:p w14:paraId="7CDD2528" w14:textId="77777777" w:rsidR="00CD2FA0" w:rsidRPr="00BA65A8" w:rsidRDefault="00CD2FA0" w:rsidP="00094726">
            <w:pPr>
              <w:rPr>
                <w:szCs w:val="24"/>
              </w:rPr>
            </w:pPr>
            <w:r w:rsidRPr="00BA65A8">
              <w:rPr>
                <w:szCs w:val="24"/>
              </w:rPr>
              <w:t>Temperatūriniai parametrai</w:t>
            </w:r>
          </w:p>
        </w:tc>
        <w:tc>
          <w:tcPr>
            <w:tcW w:w="4999" w:type="dxa"/>
            <w:shd w:val="clear" w:color="auto" w:fill="auto"/>
          </w:tcPr>
          <w:p w14:paraId="4AE76219" w14:textId="77777777" w:rsidR="00CD2FA0" w:rsidRPr="00BA65A8" w:rsidRDefault="00CD2FA0" w:rsidP="00094726">
            <w:pPr>
              <w:rPr>
                <w:szCs w:val="24"/>
              </w:rPr>
            </w:pPr>
            <w:r w:rsidRPr="00BA65A8">
              <w:rPr>
                <w:szCs w:val="24"/>
              </w:rPr>
              <w:t xml:space="preserve">Iki 30 </w:t>
            </w:r>
            <w:r w:rsidRPr="00BA65A8">
              <w:rPr>
                <w:b/>
                <w:bCs/>
                <w:color w:val="222222"/>
                <w:szCs w:val="24"/>
                <w:shd w:val="clear" w:color="auto" w:fill="FFFFFF"/>
              </w:rPr>
              <w:t>°</w:t>
            </w:r>
            <w:r w:rsidRPr="00BA65A8">
              <w:rPr>
                <w:bCs/>
                <w:color w:val="222222"/>
                <w:szCs w:val="24"/>
                <w:shd w:val="clear" w:color="auto" w:fill="FFFFFF"/>
              </w:rPr>
              <w:t>C</w:t>
            </w:r>
          </w:p>
        </w:tc>
      </w:tr>
    </w:tbl>
    <w:p w14:paraId="2640AB41" w14:textId="77777777" w:rsidR="00CD2FA0" w:rsidRPr="000B5D80" w:rsidRDefault="00CD2FA0" w:rsidP="00CD2FA0">
      <w:pPr>
        <w:pStyle w:val="NoSpacing"/>
        <w:jc w:val="both"/>
        <w:rPr>
          <w:lang w:val="lt-LT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7AE5E3B" wp14:editId="6761BC72">
            <wp:simplePos x="0" y="0"/>
            <wp:positionH relativeFrom="column">
              <wp:posOffset>3816985</wp:posOffset>
            </wp:positionH>
            <wp:positionV relativeFrom="paragraph">
              <wp:posOffset>727075</wp:posOffset>
            </wp:positionV>
            <wp:extent cx="1195070" cy="2121535"/>
            <wp:effectExtent l="0" t="0" r="508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212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B875867" wp14:editId="02572BFB">
            <wp:simplePos x="0" y="0"/>
            <wp:positionH relativeFrom="column">
              <wp:posOffset>5017135</wp:posOffset>
            </wp:positionH>
            <wp:positionV relativeFrom="paragraph">
              <wp:posOffset>727710</wp:posOffset>
            </wp:positionV>
            <wp:extent cx="1193800" cy="2120900"/>
            <wp:effectExtent l="0" t="0" r="6350" b="0"/>
            <wp:wrapTight wrapText="bothSides">
              <wp:wrapPolygon edited="0">
                <wp:start x="0" y="0"/>
                <wp:lineTo x="0" y="21341"/>
                <wp:lineTo x="21370" y="21341"/>
                <wp:lineTo x="2137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5B06">
        <w:rPr>
          <w:lang w:val="lt-LT"/>
        </w:rPr>
        <w:t>Po ląstelių sienelių suardymo</w:t>
      </w:r>
      <w:r>
        <w:rPr>
          <w:lang w:val="lt-LT"/>
        </w:rPr>
        <w:t>, -</w:t>
      </w:r>
      <w:r w:rsidRPr="00B95B06">
        <w:rPr>
          <w:lang w:val="lt-LT"/>
        </w:rPr>
        <w:t xml:space="preserve"> </w:t>
      </w:r>
      <w:r>
        <w:rPr>
          <w:lang w:val="lt-LT"/>
        </w:rPr>
        <w:t xml:space="preserve">su </w:t>
      </w:r>
      <w:r w:rsidRPr="00513284">
        <w:rPr>
          <w:lang w:val="lt-LT"/>
        </w:rPr>
        <w:t>patentuot</w:t>
      </w:r>
      <w:r>
        <w:rPr>
          <w:lang w:val="lt-LT"/>
        </w:rPr>
        <w:t>u</w:t>
      </w:r>
      <w:r w:rsidRPr="00513284">
        <w:rPr>
          <w:lang w:val="lt-LT"/>
        </w:rPr>
        <w:t xml:space="preserve"> įrengini</w:t>
      </w:r>
      <w:r>
        <w:rPr>
          <w:lang w:val="lt-LT"/>
        </w:rPr>
        <w:t xml:space="preserve">u </w:t>
      </w:r>
      <w:r w:rsidRPr="00B95B06">
        <w:rPr>
          <w:lang w:val="lt-LT"/>
        </w:rPr>
        <w:t>„</w:t>
      </w:r>
      <w:proofErr w:type="spellStart"/>
      <w:r w:rsidRPr="00B95B06">
        <w:rPr>
          <w:lang w:val="lt-LT"/>
        </w:rPr>
        <w:t>Process</w:t>
      </w:r>
      <w:proofErr w:type="spellEnd"/>
      <w:r w:rsidRPr="00B95B06">
        <w:rPr>
          <w:lang w:val="lt-LT"/>
        </w:rPr>
        <w:t xml:space="preserve"> </w:t>
      </w:r>
      <w:proofErr w:type="spellStart"/>
      <w:r w:rsidRPr="00B95B06">
        <w:rPr>
          <w:lang w:val="lt-LT"/>
        </w:rPr>
        <w:t>activating</w:t>
      </w:r>
      <w:proofErr w:type="spellEnd"/>
      <w:r w:rsidRPr="00B95B06">
        <w:rPr>
          <w:lang w:val="lt-LT"/>
        </w:rPr>
        <w:t xml:space="preserve"> </w:t>
      </w:r>
      <w:proofErr w:type="spellStart"/>
      <w:r w:rsidRPr="00B95B06">
        <w:rPr>
          <w:lang w:val="lt-LT"/>
        </w:rPr>
        <w:t>unit</w:t>
      </w:r>
      <w:proofErr w:type="spellEnd"/>
      <w:r w:rsidRPr="00B95B06">
        <w:rPr>
          <w:lang w:val="lt-LT"/>
        </w:rPr>
        <w:t xml:space="preserve"> </w:t>
      </w:r>
      <w:proofErr w:type="spellStart"/>
      <w:r w:rsidRPr="00B95B06">
        <w:rPr>
          <w:lang w:val="lt-LT"/>
        </w:rPr>
        <w:t>Brevet</w:t>
      </w:r>
      <w:proofErr w:type="spellEnd"/>
      <w:r w:rsidRPr="00B95B06">
        <w:rPr>
          <w:lang w:val="lt-LT"/>
        </w:rPr>
        <w:t xml:space="preserve"> LU91865A1, </w:t>
      </w:r>
      <w:proofErr w:type="spellStart"/>
      <w:r w:rsidRPr="00B95B06">
        <w:rPr>
          <w:lang w:val="lt-LT"/>
        </w:rPr>
        <w:t>depose</w:t>
      </w:r>
      <w:proofErr w:type="spellEnd"/>
      <w:r w:rsidRPr="00B95B06">
        <w:rPr>
          <w:lang w:val="lt-LT"/>
        </w:rPr>
        <w:t xml:space="preserve"> </w:t>
      </w:r>
      <w:proofErr w:type="spellStart"/>
      <w:r w:rsidRPr="00B95B06">
        <w:rPr>
          <w:lang w:val="lt-LT"/>
        </w:rPr>
        <w:t>le</w:t>
      </w:r>
      <w:proofErr w:type="spellEnd"/>
      <w:r w:rsidRPr="00B95B06">
        <w:rPr>
          <w:lang w:val="lt-LT"/>
        </w:rPr>
        <w:t xml:space="preserve"> 05.09.2011 ir WO2013034558"</w:t>
      </w:r>
      <w:r>
        <w:rPr>
          <w:lang w:val="lt-LT"/>
        </w:rPr>
        <w:t xml:space="preserve"> </w:t>
      </w:r>
      <w:r w:rsidRPr="00B95B06">
        <w:rPr>
          <w:lang w:val="lt-LT"/>
        </w:rPr>
        <w:t>kuriame naudojamas sukamasis magnetinis laukas</w:t>
      </w:r>
      <w:r>
        <w:rPr>
          <w:lang w:val="lt-LT"/>
        </w:rPr>
        <w:t>,</w:t>
      </w:r>
      <w:r w:rsidRPr="00B95B06">
        <w:rPr>
          <w:lang w:val="lt-LT"/>
        </w:rPr>
        <w:t xml:space="preserve"> kur lokalinių elektromagnetinių laukų ir jų lydimų reiškinių superpozicijos visuminis poveikis tūrio vienete pasiekiamas 10 000 kW/m3 eilės galingumas </w:t>
      </w:r>
      <w:r>
        <w:rPr>
          <w:lang w:val="lt-LT"/>
        </w:rPr>
        <w:t>(</w:t>
      </w:r>
      <w:r w:rsidRPr="00B95B06">
        <w:rPr>
          <w:lang w:val="lt-LT"/>
        </w:rPr>
        <w:t>WR</w:t>
      </w:r>
      <w:r>
        <w:rPr>
          <w:lang w:val="lt-LT"/>
        </w:rPr>
        <w:t>);</w:t>
      </w:r>
      <w:r w:rsidRPr="00B95B06">
        <w:rPr>
          <w:lang w:val="lt-LT"/>
        </w:rPr>
        <w:t xml:space="preserve"> kur magnetinio srauto tankis yra nuo 0,08 iki 4 T; sukamojo magnetinio lauko </w:t>
      </w:r>
      <w:r w:rsidRPr="000B5D80">
        <w:rPr>
          <w:lang w:val="lt-LT"/>
        </w:rPr>
        <w:t xml:space="preserve">linijinis greitis iki 250 m/s, sukurtų papildomų laukų amplitudė iki 18 </w:t>
      </w:r>
      <w:proofErr w:type="spellStart"/>
      <w:r w:rsidRPr="000B5D80">
        <w:rPr>
          <w:lang w:val="lt-LT"/>
        </w:rPr>
        <w:t>mV</w:t>
      </w:r>
      <w:proofErr w:type="spellEnd"/>
      <w:r w:rsidRPr="000B5D80">
        <w:rPr>
          <w:lang w:val="lt-LT"/>
        </w:rPr>
        <w:t xml:space="preserve"> ir dažnis nuo 1 iki 400,000 Hz, kas lemia greitą ląstelių sienelių suardymą ir leidžia veiksmingai išskirti iš suardytos ląstelės tikslinius kompleksinius ir/ar atskirus joje sukauptus </w:t>
      </w:r>
      <w:proofErr w:type="spellStart"/>
      <w:r w:rsidRPr="000B5D80">
        <w:rPr>
          <w:lang w:val="lt-LT"/>
        </w:rPr>
        <w:t>bioproduktus</w:t>
      </w:r>
      <w:proofErr w:type="spellEnd"/>
      <w:r w:rsidRPr="000B5D80">
        <w:rPr>
          <w:lang w:val="lt-LT"/>
        </w:rPr>
        <w:t xml:space="preserve"> (lipidus, baltymus, pigmentus, vitaminus ir kt.) nepažeidžiant jų struktūros ir savybių iš suardytos ląstelės, naudojant mažas energijos ir laiko sąnaudas, nenaudojant cheminių tirpiklių, tuo neužteršiant biologiškai aktyvios medžiagos ir taip pat aplinkos, </w:t>
      </w:r>
      <w:proofErr w:type="spellStart"/>
      <w:r w:rsidRPr="000B5D80">
        <w:rPr>
          <w:lang w:val="lt-LT"/>
        </w:rPr>
        <w:t>t.y</w:t>
      </w:r>
      <w:proofErr w:type="spellEnd"/>
      <w:r w:rsidRPr="000B5D80">
        <w:rPr>
          <w:lang w:val="lt-LT"/>
        </w:rPr>
        <w:t xml:space="preserve">. gaunama apdorota biomasė, kuri, veikiant likutiniams magnetiniams laukams, elektrostatiniams krūviams ir t.t., linkusi išsisluoksniuoti; todėl žymiai palengvėja </w:t>
      </w:r>
      <w:proofErr w:type="spellStart"/>
      <w:r w:rsidRPr="000B5D80">
        <w:rPr>
          <w:lang w:val="lt-LT"/>
        </w:rPr>
        <w:t>bioproduktų</w:t>
      </w:r>
      <w:proofErr w:type="spellEnd"/>
      <w:r w:rsidRPr="000B5D80">
        <w:rPr>
          <w:lang w:val="lt-LT"/>
        </w:rPr>
        <w:t xml:space="preserve"> </w:t>
      </w:r>
      <w:proofErr w:type="spellStart"/>
      <w:r w:rsidRPr="000B5D80">
        <w:rPr>
          <w:lang w:val="lt-LT"/>
        </w:rPr>
        <w:t>frakcionavimo</w:t>
      </w:r>
      <w:proofErr w:type="spellEnd"/>
      <w:r w:rsidRPr="000B5D80">
        <w:rPr>
          <w:lang w:val="lt-LT"/>
        </w:rPr>
        <w:t xml:space="preserve"> ir/ar atskyrimo procesas. Šios savybės yra unikalios, nes medžiagos, išgautos kitokiais, klasikiniais ląstelių ardymo metodais, tokiomis savybėmis nepasižymi. </w:t>
      </w:r>
    </w:p>
    <w:p w14:paraId="19F6AF43" w14:textId="77777777" w:rsidR="00CD2FA0" w:rsidRDefault="00CD2FA0" w:rsidP="00CD2FA0">
      <w:pPr>
        <w:pStyle w:val="NoSpacing"/>
        <w:jc w:val="both"/>
        <w:rPr>
          <w:lang w:val="lt-LT"/>
        </w:rPr>
      </w:pPr>
      <w:r w:rsidRPr="000B5D80">
        <w:rPr>
          <w:lang w:val="lt-LT"/>
        </w:rPr>
        <w:t>P</w:t>
      </w:r>
      <w:r>
        <w:rPr>
          <w:lang w:val="lt-LT"/>
        </w:rPr>
        <w:t xml:space="preserve">aslauga turi remtis </w:t>
      </w:r>
      <w:r w:rsidRPr="000B5D80">
        <w:rPr>
          <w:lang w:val="lt-LT"/>
        </w:rPr>
        <w:t>„</w:t>
      </w:r>
      <w:proofErr w:type="spellStart"/>
      <w:r w:rsidRPr="000B5D80">
        <w:rPr>
          <w:lang w:val="lt-LT"/>
        </w:rPr>
        <w:t>Process</w:t>
      </w:r>
      <w:proofErr w:type="spellEnd"/>
      <w:r w:rsidRPr="000B5D80">
        <w:rPr>
          <w:lang w:val="lt-LT"/>
        </w:rPr>
        <w:t xml:space="preserve"> </w:t>
      </w:r>
      <w:proofErr w:type="spellStart"/>
      <w:r w:rsidRPr="000B5D80">
        <w:rPr>
          <w:lang w:val="lt-LT"/>
        </w:rPr>
        <w:t>activating</w:t>
      </w:r>
      <w:proofErr w:type="spellEnd"/>
      <w:r w:rsidRPr="000B5D80">
        <w:rPr>
          <w:lang w:val="lt-LT"/>
        </w:rPr>
        <w:t xml:space="preserve"> </w:t>
      </w:r>
      <w:proofErr w:type="spellStart"/>
      <w:r w:rsidRPr="000B5D80">
        <w:rPr>
          <w:lang w:val="lt-LT"/>
        </w:rPr>
        <w:t>unit</w:t>
      </w:r>
      <w:proofErr w:type="spellEnd"/>
      <w:r w:rsidRPr="000B5D80">
        <w:rPr>
          <w:lang w:val="lt-LT"/>
        </w:rPr>
        <w:t xml:space="preserve"> </w:t>
      </w:r>
      <w:proofErr w:type="spellStart"/>
      <w:r w:rsidRPr="000B5D80">
        <w:rPr>
          <w:lang w:val="lt-LT"/>
        </w:rPr>
        <w:t>Brevet</w:t>
      </w:r>
      <w:proofErr w:type="spellEnd"/>
      <w:r w:rsidRPr="000B5D80">
        <w:rPr>
          <w:lang w:val="lt-LT"/>
        </w:rPr>
        <w:t xml:space="preserve"> LU91865A1, </w:t>
      </w:r>
      <w:proofErr w:type="spellStart"/>
      <w:r w:rsidRPr="000B5D80">
        <w:rPr>
          <w:lang w:val="lt-LT"/>
        </w:rPr>
        <w:t>depose</w:t>
      </w:r>
      <w:proofErr w:type="spellEnd"/>
      <w:r w:rsidRPr="000B5D80">
        <w:rPr>
          <w:lang w:val="lt-LT"/>
        </w:rPr>
        <w:t xml:space="preserve"> </w:t>
      </w:r>
      <w:proofErr w:type="spellStart"/>
      <w:r w:rsidRPr="000B5D80">
        <w:rPr>
          <w:lang w:val="lt-LT"/>
        </w:rPr>
        <w:t>le</w:t>
      </w:r>
      <w:proofErr w:type="spellEnd"/>
      <w:r w:rsidRPr="000B5D80">
        <w:rPr>
          <w:lang w:val="lt-LT"/>
        </w:rPr>
        <w:t xml:space="preserve"> 05.09.2011” patentu.</w:t>
      </w:r>
    </w:p>
    <w:p w14:paraId="3F841BD7" w14:textId="77777777" w:rsidR="00CD2FA0" w:rsidRDefault="00CD2FA0">
      <w:pPr>
        <w:spacing w:after="160" w:line="259" w:lineRule="auto"/>
        <w:rPr>
          <w:b/>
          <w:bCs/>
          <w:sz w:val="28"/>
          <w:szCs w:val="28"/>
        </w:rPr>
      </w:pPr>
    </w:p>
    <w:p w14:paraId="00F956AF" w14:textId="787F1CE3" w:rsidR="00CD2FA0" w:rsidRDefault="00CD2FA0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A811EB7" w14:textId="23F4CA15" w:rsidR="00FE1B77" w:rsidRPr="00CD2FA0" w:rsidRDefault="00FE1B77" w:rsidP="00FE1B77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lastRenderedPageBreak/>
        <w:t>TECHNINĖ SPECIFIKACIJA</w:t>
      </w:r>
      <w:r w:rsidR="00CD2FA0">
        <w:rPr>
          <w:b/>
          <w:bCs/>
          <w:sz w:val="28"/>
          <w:szCs w:val="28"/>
        </w:rPr>
        <w:t xml:space="preserve"> Nr. </w:t>
      </w:r>
      <w:r w:rsidR="00CD2FA0">
        <w:rPr>
          <w:b/>
          <w:bCs/>
          <w:sz w:val="28"/>
          <w:szCs w:val="28"/>
          <w:lang w:val="en-US"/>
        </w:rPr>
        <w:t>2</w:t>
      </w:r>
    </w:p>
    <w:p w14:paraId="46845947" w14:textId="77777777" w:rsidR="00FE1B77" w:rsidRDefault="00FE1B77" w:rsidP="00FE1B77">
      <w:pPr>
        <w:rPr>
          <w:b/>
          <w:bCs/>
          <w:szCs w:val="24"/>
        </w:rPr>
      </w:pPr>
    </w:p>
    <w:p w14:paraId="5E61C9F0" w14:textId="4A41D969" w:rsidR="00FE1B77" w:rsidRDefault="00E85876" w:rsidP="00FE1B77">
      <w:pPr>
        <w:jc w:val="center"/>
        <w:rPr>
          <w:b/>
          <w:bCs/>
          <w:color w:val="333333"/>
          <w:szCs w:val="24"/>
        </w:rPr>
      </w:pPr>
      <w:r>
        <w:rPr>
          <w:b/>
          <w:bCs/>
          <w:color w:val="333333"/>
          <w:szCs w:val="24"/>
        </w:rPr>
        <w:t>M</w:t>
      </w:r>
      <w:r w:rsidR="00FE1B77">
        <w:rPr>
          <w:b/>
          <w:bCs/>
          <w:szCs w:val="24"/>
        </w:rPr>
        <w:t xml:space="preserve">edžiagų elektromagnetinis </w:t>
      </w:r>
      <w:proofErr w:type="spellStart"/>
      <w:r w:rsidR="00FE1B77">
        <w:rPr>
          <w:b/>
          <w:bCs/>
          <w:szCs w:val="24"/>
        </w:rPr>
        <w:t>biostimuliavimas</w:t>
      </w:r>
      <w:proofErr w:type="spellEnd"/>
      <w:r w:rsidR="00FE1B77">
        <w:rPr>
          <w:b/>
          <w:bCs/>
          <w:szCs w:val="24"/>
        </w:rPr>
        <w:t xml:space="preserve"> ir dispergavimas</w:t>
      </w:r>
      <w:r w:rsidR="00FE1B77">
        <w:rPr>
          <w:b/>
          <w:bCs/>
          <w:color w:val="333333"/>
          <w:szCs w:val="24"/>
        </w:rPr>
        <w:t>.</w:t>
      </w:r>
    </w:p>
    <w:p w14:paraId="688CF186" w14:textId="77777777" w:rsidR="00FE1B77" w:rsidRDefault="00FE1B77" w:rsidP="00FE1B77">
      <w:pPr>
        <w:rPr>
          <w:color w:val="333333"/>
          <w:szCs w:val="24"/>
        </w:rPr>
      </w:pPr>
    </w:p>
    <w:p w14:paraId="021A8CC2" w14:textId="77777777" w:rsidR="00FE1B77" w:rsidRDefault="00FE1B77" w:rsidP="00FE1B77">
      <w:pPr>
        <w:rPr>
          <w:color w:val="333333"/>
          <w:szCs w:val="24"/>
        </w:rPr>
      </w:pPr>
    </w:p>
    <w:p w14:paraId="4F96913E" w14:textId="23B35F7B" w:rsidR="00FE1B77" w:rsidRDefault="00FE1B77" w:rsidP="00FE1B77">
      <w:pPr>
        <w:pStyle w:val="NoSpacing"/>
        <w:jc w:val="both"/>
        <w:rPr>
          <w:lang w:val="lt-LT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A735653" wp14:editId="02A58A32">
            <wp:simplePos x="0" y="0"/>
            <wp:positionH relativeFrom="column">
              <wp:posOffset>4413885</wp:posOffset>
            </wp:positionH>
            <wp:positionV relativeFrom="paragraph">
              <wp:posOffset>790575</wp:posOffset>
            </wp:positionV>
            <wp:extent cx="1193800" cy="2120900"/>
            <wp:effectExtent l="0" t="0" r="6350" b="0"/>
            <wp:wrapTight wrapText="bothSides">
              <wp:wrapPolygon edited="0">
                <wp:start x="0" y="0"/>
                <wp:lineTo x="0" y="21341"/>
                <wp:lineTo x="21370" y="21341"/>
                <wp:lineTo x="213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212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5C3903C" wp14:editId="464D140C">
            <wp:simplePos x="0" y="0"/>
            <wp:positionH relativeFrom="column">
              <wp:posOffset>3195955</wp:posOffset>
            </wp:positionH>
            <wp:positionV relativeFrom="paragraph">
              <wp:posOffset>790575</wp:posOffset>
            </wp:positionV>
            <wp:extent cx="1195070" cy="2121535"/>
            <wp:effectExtent l="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2121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lt-LT"/>
        </w:rPr>
        <w:t>Po ląstelių sienelių suardymo, - su patentuotu įrenginiu „</w:t>
      </w:r>
      <w:proofErr w:type="spellStart"/>
      <w:r>
        <w:rPr>
          <w:lang w:val="lt-LT"/>
        </w:rPr>
        <w:t>Process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activating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unit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Brevet</w:t>
      </w:r>
      <w:proofErr w:type="spellEnd"/>
      <w:r>
        <w:rPr>
          <w:lang w:val="lt-LT"/>
        </w:rPr>
        <w:t xml:space="preserve"> LU91865A1, </w:t>
      </w:r>
      <w:proofErr w:type="spellStart"/>
      <w:r>
        <w:rPr>
          <w:lang w:val="lt-LT"/>
        </w:rPr>
        <w:t>depose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le</w:t>
      </w:r>
      <w:proofErr w:type="spellEnd"/>
      <w:r>
        <w:rPr>
          <w:lang w:val="lt-LT"/>
        </w:rPr>
        <w:t xml:space="preserve"> 05.09.2011 ir WO2013034558" kuriame naudojamas sukamasis magnetinis laukas, kur lokalinių elektromagnetinių laukų ir jų lydimų reiškinių superpozicijos visuminio poveikio dėka tūrio vienete pasiekiamas 10 000 kW/m3 eilės galingumas (WR); magnetinio srauto tankis yra nuo 0,08 iki 4 T; sukamojo magnetinio lauko linijinis greitis iki 250 m/s; sukurtų papildomų laukų amplitudė iki 18 </w:t>
      </w:r>
      <w:proofErr w:type="spellStart"/>
      <w:r>
        <w:rPr>
          <w:lang w:val="lt-LT"/>
        </w:rPr>
        <w:t>mV</w:t>
      </w:r>
      <w:proofErr w:type="spellEnd"/>
      <w:r>
        <w:rPr>
          <w:lang w:val="lt-LT"/>
        </w:rPr>
        <w:t xml:space="preserve"> ir dažnis nuo 1 iki 400,000 Hz, kas lemia greitą ląstelių sienelių suardymą ir leidžia veiksmingai išskirti </w:t>
      </w:r>
      <w:bookmarkStart w:id="1" w:name="_Hlk32671677"/>
      <w:r>
        <w:rPr>
          <w:lang w:val="lt-LT"/>
        </w:rPr>
        <w:t xml:space="preserve">iš suardytos ląstelės tikslinius kompleksinius ir/ar atskirus joje </w:t>
      </w:r>
      <w:bookmarkEnd w:id="1"/>
      <w:r>
        <w:rPr>
          <w:lang w:val="lt-LT"/>
        </w:rPr>
        <w:t xml:space="preserve">sukauptus </w:t>
      </w:r>
      <w:proofErr w:type="spellStart"/>
      <w:r>
        <w:rPr>
          <w:lang w:val="lt-LT"/>
        </w:rPr>
        <w:t>bioproduktus</w:t>
      </w:r>
      <w:proofErr w:type="spellEnd"/>
      <w:r>
        <w:rPr>
          <w:lang w:val="lt-LT"/>
        </w:rPr>
        <w:t xml:space="preserve"> (lipidus, baltymus, pigmentus, vitaminus ir kt.), nepažeidžiant jų struktūros ir savybių, naudojant mažas energijos ir laiko sąnaudas, nenaudojant cheminių tirpiklių, tuo neužteršiant biologiškai aktyvios medžiagos ir taip pat aplinkos, </w:t>
      </w:r>
      <w:proofErr w:type="spellStart"/>
      <w:r>
        <w:rPr>
          <w:lang w:val="lt-LT"/>
        </w:rPr>
        <w:t>t.y</w:t>
      </w:r>
      <w:proofErr w:type="spellEnd"/>
      <w:r>
        <w:rPr>
          <w:lang w:val="lt-LT"/>
        </w:rPr>
        <w:t xml:space="preserve">. gaunama apdorota biomasė, kuri, veikiant likutiniams magnetiniams laukams, elektrostatiniams krūviams ir t.t., linkusi išsisluoksniuoti; todėl žymiai palengvėja </w:t>
      </w:r>
      <w:proofErr w:type="spellStart"/>
      <w:r>
        <w:rPr>
          <w:lang w:val="lt-LT"/>
        </w:rPr>
        <w:t>bioproduktų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frakcionavimo</w:t>
      </w:r>
      <w:proofErr w:type="spellEnd"/>
      <w:r>
        <w:rPr>
          <w:lang w:val="lt-LT"/>
        </w:rPr>
        <w:t xml:space="preserve"> ir/ar atskyrimo procesas. Šios savybės yra unikalios, nes medžiagos, išgautos kitokiais, klasikiniais ląstelių ardymo metodais, tokiomis savybėmis nepasižymi. </w:t>
      </w:r>
    </w:p>
    <w:p w14:paraId="6D32BE5D" w14:textId="77777777" w:rsidR="00FE1B77" w:rsidRDefault="00FE1B77" w:rsidP="00FE1B77">
      <w:pPr>
        <w:pStyle w:val="NoSpacing"/>
        <w:jc w:val="both"/>
        <w:rPr>
          <w:lang w:val="lt-LT"/>
        </w:rPr>
      </w:pPr>
      <w:r w:rsidRPr="000B5D80">
        <w:rPr>
          <w:lang w:val="lt-LT"/>
        </w:rPr>
        <w:t>P</w:t>
      </w:r>
      <w:r>
        <w:rPr>
          <w:lang w:val="lt-LT"/>
        </w:rPr>
        <w:t xml:space="preserve">aslauga turi remtis </w:t>
      </w:r>
      <w:r w:rsidRPr="000B5D80">
        <w:rPr>
          <w:lang w:val="lt-LT"/>
        </w:rPr>
        <w:t>„</w:t>
      </w:r>
      <w:proofErr w:type="spellStart"/>
      <w:r w:rsidRPr="000B5D80">
        <w:rPr>
          <w:lang w:val="lt-LT"/>
        </w:rPr>
        <w:t>Process</w:t>
      </w:r>
      <w:proofErr w:type="spellEnd"/>
      <w:r w:rsidRPr="000B5D80">
        <w:rPr>
          <w:lang w:val="lt-LT"/>
        </w:rPr>
        <w:t xml:space="preserve"> </w:t>
      </w:r>
      <w:proofErr w:type="spellStart"/>
      <w:r w:rsidRPr="000B5D80">
        <w:rPr>
          <w:lang w:val="lt-LT"/>
        </w:rPr>
        <w:t>activating</w:t>
      </w:r>
      <w:proofErr w:type="spellEnd"/>
      <w:r w:rsidRPr="000B5D80">
        <w:rPr>
          <w:lang w:val="lt-LT"/>
        </w:rPr>
        <w:t xml:space="preserve"> </w:t>
      </w:r>
      <w:proofErr w:type="spellStart"/>
      <w:r w:rsidRPr="000B5D80">
        <w:rPr>
          <w:lang w:val="lt-LT"/>
        </w:rPr>
        <w:t>unit</w:t>
      </w:r>
      <w:proofErr w:type="spellEnd"/>
      <w:r w:rsidRPr="000B5D80">
        <w:rPr>
          <w:lang w:val="lt-LT"/>
        </w:rPr>
        <w:t xml:space="preserve"> </w:t>
      </w:r>
      <w:proofErr w:type="spellStart"/>
      <w:r w:rsidRPr="000B5D80">
        <w:rPr>
          <w:lang w:val="lt-LT"/>
        </w:rPr>
        <w:t>Brevet</w:t>
      </w:r>
      <w:proofErr w:type="spellEnd"/>
      <w:r w:rsidRPr="000B5D80">
        <w:rPr>
          <w:lang w:val="lt-LT"/>
        </w:rPr>
        <w:t xml:space="preserve"> LU91865A1, </w:t>
      </w:r>
      <w:proofErr w:type="spellStart"/>
      <w:r w:rsidRPr="000B5D80">
        <w:rPr>
          <w:lang w:val="lt-LT"/>
        </w:rPr>
        <w:t>depose</w:t>
      </w:r>
      <w:proofErr w:type="spellEnd"/>
      <w:r w:rsidRPr="000B5D80">
        <w:rPr>
          <w:lang w:val="lt-LT"/>
        </w:rPr>
        <w:t xml:space="preserve"> </w:t>
      </w:r>
      <w:proofErr w:type="spellStart"/>
      <w:r w:rsidRPr="000B5D80">
        <w:rPr>
          <w:lang w:val="lt-LT"/>
        </w:rPr>
        <w:t>le</w:t>
      </w:r>
      <w:proofErr w:type="spellEnd"/>
      <w:r w:rsidRPr="000B5D80">
        <w:rPr>
          <w:lang w:val="lt-LT"/>
        </w:rPr>
        <w:t xml:space="preserve"> 05.09.2011” patentu.</w:t>
      </w:r>
    </w:p>
    <w:p w14:paraId="56CFF0E1" w14:textId="77777777" w:rsidR="00D96F2B" w:rsidRDefault="00D96F2B"/>
    <w:sectPr w:rsidR="00D96F2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77"/>
    <w:rsid w:val="00CD2FA0"/>
    <w:rsid w:val="00D96F2B"/>
    <w:rsid w:val="00E85876"/>
    <w:rsid w:val="00FE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120A2"/>
  <w15:chartTrackingRefBased/>
  <w15:docId w15:val="{ACBB6D27-A0A1-45B9-BDC1-CDBEE0C6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B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FE1B77"/>
    <w:pPr>
      <w:spacing w:before="100" w:beforeAutospacing="1" w:after="100" w:afterAutospacing="1"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10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2092</Words>
  <Characters>1193</Characters>
  <Application>Microsoft Office Word</Application>
  <DocSecurity>0</DocSecurity>
  <Lines>9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Siaudinis</dc:creator>
  <cp:keywords/>
  <dc:description/>
  <cp:lastModifiedBy>Andrius Siaudinis</cp:lastModifiedBy>
  <cp:revision>2</cp:revision>
  <dcterms:created xsi:type="dcterms:W3CDTF">2020-04-03T10:16:00Z</dcterms:created>
  <dcterms:modified xsi:type="dcterms:W3CDTF">2020-04-03T10:16:00Z</dcterms:modified>
</cp:coreProperties>
</file>