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7D6CD" w14:textId="77777777" w:rsidR="00E9297A" w:rsidRPr="00AB192E" w:rsidRDefault="00E9297A" w:rsidP="00AB192E">
      <w:pPr>
        <w:jc w:val="both"/>
        <w:rPr>
          <w:rFonts w:ascii="Times New Roman" w:hAnsi="Times New Roman" w:cs="Times New Roman"/>
          <w:b/>
          <w:bCs/>
          <w:caps/>
          <w:color w:val="000000"/>
          <w:lang w:val="lt-LT"/>
        </w:rPr>
      </w:pPr>
      <w:r w:rsidRPr="00AB192E">
        <w:rPr>
          <w:rFonts w:ascii="Times New Roman" w:hAnsi="Times New Roman" w:cs="Times New Roman"/>
          <w:b/>
          <w:bCs/>
          <w:caps/>
          <w:color w:val="000000"/>
          <w:lang w:val="lt-LT"/>
        </w:rPr>
        <w:t xml:space="preserve">Dėl 2MW saulės elektrinės pirkimo </w:t>
      </w:r>
    </w:p>
    <w:p w14:paraId="24E8DF90" w14:textId="069D95DE" w:rsidR="00F46223" w:rsidRPr="00AB192E" w:rsidRDefault="00E9297A" w:rsidP="00AB192E">
      <w:pPr>
        <w:jc w:val="both"/>
        <w:rPr>
          <w:rFonts w:ascii="Times New Roman" w:hAnsi="Times New Roman" w:cs="Times New Roman"/>
          <w:b/>
          <w:bCs/>
          <w:caps/>
          <w:color w:val="000000"/>
          <w:lang w:val="lt-LT"/>
        </w:rPr>
      </w:pPr>
      <w:r w:rsidRPr="00AB192E">
        <w:rPr>
          <w:rFonts w:ascii="Times New Roman" w:hAnsi="Times New Roman" w:cs="Times New Roman"/>
          <w:b/>
          <w:bCs/>
          <w:caps/>
          <w:color w:val="000000"/>
          <w:lang w:val="lt-LT"/>
        </w:rPr>
        <w:t>įgyvendinant projektą „AB „Klaipėdos mediena“ 2 MW Saulės energijos elektrinė Ryto g. 4, Menčių k., Naujos Akmenės kaimiškoji sen., Akmenės r.“ Nr. 04.2.1-LVPA-K-836-05-0010</w:t>
      </w:r>
    </w:p>
    <w:p w14:paraId="6188E005" w14:textId="7C4DA993" w:rsidR="00E9297A" w:rsidRPr="00AB192E" w:rsidRDefault="006471A0" w:rsidP="00AB192E">
      <w:pPr>
        <w:jc w:val="both"/>
        <w:rPr>
          <w:rFonts w:ascii="Times New Roman" w:hAnsi="Times New Roman" w:cs="Times New Roman"/>
          <w:lang w:val="lt-LT"/>
        </w:rPr>
      </w:pPr>
      <w:r w:rsidRPr="00AB192E">
        <w:rPr>
          <w:rFonts w:ascii="Times New Roman" w:hAnsi="Times New Roman" w:cs="Times New Roman"/>
          <w:b/>
          <w:bCs/>
          <w:caps/>
          <w:color w:val="000000"/>
          <w:lang w:val="lt-LT"/>
        </w:rPr>
        <w:t>2020-11-1</w:t>
      </w:r>
      <w:r w:rsidR="0041747B" w:rsidRPr="00AB192E">
        <w:rPr>
          <w:rFonts w:ascii="Times New Roman" w:hAnsi="Times New Roman" w:cs="Times New Roman"/>
          <w:b/>
          <w:bCs/>
          <w:caps/>
          <w:color w:val="000000"/>
          <w:lang w:val="lt-LT"/>
        </w:rPr>
        <w:t>6</w:t>
      </w:r>
    </w:p>
    <w:p w14:paraId="269F94AE" w14:textId="79B4E90A" w:rsidR="004D004F" w:rsidRPr="00AB192E" w:rsidRDefault="004D004F" w:rsidP="00AB192E">
      <w:pPr>
        <w:autoSpaceDE w:val="0"/>
        <w:autoSpaceDN w:val="0"/>
        <w:adjustRightInd w:val="0"/>
        <w:contextualSpacing/>
        <w:jc w:val="both"/>
        <w:rPr>
          <w:rFonts w:ascii="Times New Roman" w:hAnsi="Times New Roman" w:cs="Times New Roman"/>
          <w:color w:val="000000"/>
          <w:lang w:val="lt-LT"/>
        </w:rPr>
      </w:pPr>
      <w:r w:rsidRPr="00AB192E">
        <w:rPr>
          <w:rFonts w:ascii="Times New Roman" w:hAnsi="Times New Roman" w:cs="Times New Roman"/>
          <w:lang w:val="lt-LT"/>
        </w:rPr>
        <w:t xml:space="preserve">Vadovaudamiesi konkurso sąlygų, paskelbtų 2020 m. lapkričio </w:t>
      </w:r>
      <w:r w:rsidR="0041747B" w:rsidRPr="00AB192E">
        <w:rPr>
          <w:rFonts w:ascii="Times New Roman" w:hAnsi="Times New Roman" w:cs="Times New Roman"/>
          <w:lang w:val="lt-LT"/>
        </w:rPr>
        <w:t>12</w:t>
      </w:r>
      <w:r w:rsidRPr="00AB192E">
        <w:rPr>
          <w:rFonts w:ascii="Times New Roman" w:hAnsi="Times New Roman" w:cs="Times New Roman"/>
          <w:lang w:val="lt-LT"/>
        </w:rPr>
        <w:t xml:space="preserve"> d. </w:t>
      </w:r>
      <w:hyperlink r:id="rId5" w:history="1">
        <w:r w:rsidRPr="00AB192E">
          <w:rPr>
            <w:rFonts w:ascii="Times New Roman" w:hAnsi="Times New Roman" w:cs="Times New Roman"/>
            <w:lang w:val="lt-LT"/>
          </w:rPr>
          <w:t>www.esinvesticijos.lt</w:t>
        </w:r>
      </w:hyperlink>
      <w:r w:rsidRPr="00AB192E">
        <w:rPr>
          <w:rFonts w:ascii="Times New Roman" w:hAnsi="Times New Roman" w:cs="Times New Roman"/>
          <w:lang w:val="lt-LT"/>
        </w:rPr>
        <w:t>,  5.1., 5.2. ir 5.3. punktais, pirkimo komisija gavusi Tiekėjų paklausimus nutarė patikslinti Konkurso sąlygas, Konkurso sąlygų priedą Nr. 1 „Pasiūlymo forma“</w:t>
      </w:r>
      <w:r w:rsidR="0041747B" w:rsidRPr="00AB192E">
        <w:rPr>
          <w:rFonts w:ascii="Times New Roman" w:hAnsi="Times New Roman" w:cs="Times New Roman"/>
          <w:lang w:val="lt-LT"/>
        </w:rPr>
        <w:t xml:space="preserve"> </w:t>
      </w:r>
      <w:r w:rsidRPr="00AB192E">
        <w:rPr>
          <w:rFonts w:ascii="Times New Roman" w:hAnsi="Times New Roman" w:cs="Times New Roman"/>
          <w:lang w:val="lt-LT"/>
        </w:rPr>
        <w:t xml:space="preserve">ir 1.3.2. techninę užduotį ir vadovaudamiesi Projektų administravimo ir finansavimo taisyklių </w:t>
      </w:r>
      <w:r w:rsidRPr="00AB192E">
        <w:rPr>
          <w:rFonts w:ascii="Times New Roman" w:hAnsi="Times New Roman" w:cs="Times New Roman"/>
          <w:color w:val="000000"/>
          <w:lang w:val="lt-LT"/>
        </w:rPr>
        <w:t>458 punkte nustatyta tvarka skelbia</w:t>
      </w:r>
      <w:r w:rsidR="006471A0" w:rsidRPr="00AB192E">
        <w:rPr>
          <w:rFonts w:ascii="Times New Roman" w:hAnsi="Times New Roman" w:cs="Times New Roman"/>
          <w:color w:val="000000"/>
          <w:lang w:val="lt-LT"/>
        </w:rPr>
        <w:t xml:space="preserve"> </w:t>
      </w:r>
      <w:r w:rsidRPr="00AB192E">
        <w:rPr>
          <w:rFonts w:ascii="Times New Roman" w:hAnsi="Times New Roman" w:cs="Times New Roman"/>
          <w:color w:val="000000"/>
          <w:lang w:val="lt-LT"/>
        </w:rPr>
        <w:t>pakeistą kvietimą dalyvauti pirkime ir pratęsia pasiūlymų pateikimo terminą iki 2020 m. lapkričio 2</w:t>
      </w:r>
      <w:r w:rsidR="0041747B" w:rsidRPr="00AB192E">
        <w:rPr>
          <w:rFonts w:ascii="Times New Roman" w:hAnsi="Times New Roman" w:cs="Times New Roman"/>
          <w:color w:val="000000"/>
          <w:lang w:val="lt-LT"/>
        </w:rPr>
        <w:t>4</w:t>
      </w:r>
      <w:r w:rsidRPr="00AB192E">
        <w:rPr>
          <w:rFonts w:ascii="Times New Roman" w:hAnsi="Times New Roman" w:cs="Times New Roman"/>
          <w:color w:val="000000"/>
          <w:lang w:val="lt-LT"/>
        </w:rPr>
        <w:t xml:space="preserve"> d. 15 val.</w:t>
      </w:r>
    </w:p>
    <w:p w14:paraId="1AC5F0E9" w14:textId="77777777" w:rsidR="006471A0" w:rsidRPr="00AB192E" w:rsidRDefault="006471A0" w:rsidP="00AB192E">
      <w:pPr>
        <w:autoSpaceDE w:val="0"/>
        <w:autoSpaceDN w:val="0"/>
        <w:adjustRightInd w:val="0"/>
        <w:contextualSpacing/>
        <w:jc w:val="both"/>
        <w:rPr>
          <w:rFonts w:ascii="Times New Roman" w:hAnsi="Times New Roman" w:cs="Times New Roman"/>
          <w:b/>
          <w:bCs/>
          <w:lang w:val="lt-LT"/>
        </w:rPr>
      </w:pPr>
    </w:p>
    <w:p w14:paraId="23BF5DC0" w14:textId="24A89412" w:rsidR="006844AC" w:rsidRPr="00AB192E" w:rsidRDefault="006844AC" w:rsidP="00AB192E">
      <w:pPr>
        <w:jc w:val="both"/>
        <w:rPr>
          <w:rFonts w:ascii="Times New Roman" w:hAnsi="Times New Roman" w:cs="Times New Roman"/>
          <w:lang w:val="lt-LT"/>
        </w:rPr>
      </w:pPr>
      <w:r w:rsidRPr="00AB192E">
        <w:rPr>
          <w:rFonts w:ascii="Times New Roman" w:hAnsi="Times New Roman" w:cs="Times New Roman"/>
          <w:lang w:val="lt-LT"/>
        </w:rPr>
        <w:t>Pateikiame Tiekėjų paklausimus ir pateiktus Prikimo komisijos atsakymus:</w:t>
      </w:r>
    </w:p>
    <w:tbl>
      <w:tblPr>
        <w:tblStyle w:val="TableGrid"/>
        <w:tblW w:w="0" w:type="auto"/>
        <w:tblLook w:val="04A0" w:firstRow="1" w:lastRow="0" w:firstColumn="1" w:lastColumn="0" w:noHBand="0" w:noVBand="1"/>
      </w:tblPr>
      <w:tblGrid>
        <w:gridCol w:w="562"/>
        <w:gridCol w:w="4111"/>
        <w:gridCol w:w="4677"/>
      </w:tblGrid>
      <w:tr w:rsidR="006844AC" w:rsidRPr="00AB192E" w14:paraId="0CEE5738" w14:textId="77777777" w:rsidTr="00F70B28">
        <w:tc>
          <w:tcPr>
            <w:tcW w:w="562" w:type="dxa"/>
          </w:tcPr>
          <w:p w14:paraId="51F1377A" w14:textId="086E1A5E" w:rsidR="006844AC" w:rsidRPr="00AB192E" w:rsidRDefault="006844AC" w:rsidP="00AB192E">
            <w:pPr>
              <w:jc w:val="both"/>
              <w:rPr>
                <w:rFonts w:ascii="Times New Roman" w:hAnsi="Times New Roman" w:cs="Times New Roman"/>
                <w:b/>
                <w:bCs/>
                <w:lang w:val="lt-LT"/>
              </w:rPr>
            </w:pPr>
            <w:r w:rsidRPr="00AB192E">
              <w:rPr>
                <w:rFonts w:ascii="Times New Roman" w:hAnsi="Times New Roman" w:cs="Times New Roman"/>
                <w:b/>
                <w:bCs/>
                <w:lang w:val="lt-LT"/>
              </w:rPr>
              <w:t>Eil. Nr.</w:t>
            </w:r>
          </w:p>
        </w:tc>
        <w:tc>
          <w:tcPr>
            <w:tcW w:w="4111" w:type="dxa"/>
          </w:tcPr>
          <w:p w14:paraId="57DC9ABC" w14:textId="3B664FC0" w:rsidR="006844AC" w:rsidRPr="00AB192E" w:rsidRDefault="006844AC" w:rsidP="00AB192E">
            <w:pPr>
              <w:jc w:val="both"/>
              <w:rPr>
                <w:rFonts w:ascii="Times New Roman" w:hAnsi="Times New Roman" w:cs="Times New Roman"/>
                <w:b/>
                <w:bCs/>
                <w:lang w:val="lt-LT"/>
              </w:rPr>
            </w:pPr>
            <w:r w:rsidRPr="00AB192E">
              <w:rPr>
                <w:rFonts w:ascii="Times New Roman" w:hAnsi="Times New Roman" w:cs="Times New Roman"/>
                <w:b/>
                <w:bCs/>
                <w:lang w:val="lt-LT"/>
              </w:rPr>
              <w:t>Prašymas tikslinti konkurso sąlygas</w:t>
            </w:r>
          </w:p>
        </w:tc>
        <w:tc>
          <w:tcPr>
            <w:tcW w:w="4677" w:type="dxa"/>
          </w:tcPr>
          <w:p w14:paraId="2DEA348A" w14:textId="2627971B" w:rsidR="006844AC" w:rsidRPr="00AB192E" w:rsidRDefault="006844AC" w:rsidP="00AB192E">
            <w:pPr>
              <w:jc w:val="both"/>
              <w:rPr>
                <w:rFonts w:ascii="Times New Roman" w:hAnsi="Times New Roman" w:cs="Times New Roman"/>
                <w:b/>
                <w:bCs/>
                <w:lang w:val="lt-LT"/>
              </w:rPr>
            </w:pPr>
            <w:r w:rsidRPr="00AB192E">
              <w:rPr>
                <w:rFonts w:ascii="Times New Roman" w:hAnsi="Times New Roman" w:cs="Times New Roman"/>
                <w:b/>
                <w:bCs/>
                <w:lang w:val="lt-LT"/>
              </w:rPr>
              <w:t>Prikimo komisijos atsakymas</w:t>
            </w:r>
          </w:p>
        </w:tc>
      </w:tr>
      <w:tr w:rsidR="006844AC" w:rsidRPr="00AB192E" w14:paraId="73D8174B" w14:textId="77777777" w:rsidTr="00F70B28">
        <w:tc>
          <w:tcPr>
            <w:tcW w:w="562" w:type="dxa"/>
          </w:tcPr>
          <w:p w14:paraId="2E94C4F4" w14:textId="3B2C3CDE" w:rsidR="006844AC" w:rsidRPr="00AB192E" w:rsidRDefault="006844AC" w:rsidP="00AB192E">
            <w:pPr>
              <w:jc w:val="both"/>
              <w:rPr>
                <w:rFonts w:ascii="Times New Roman" w:hAnsi="Times New Roman" w:cs="Times New Roman"/>
                <w:lang w:val="lt-LT"/>
              </w:rPr>
            </w:pPr>
            <w:r w:rsidRPr="00AB192E">
              <w:rPr>
                <w:rFonts w:ascii="Times New Roman" w:hAnsi="Times New Roman" w:cs="Times New Roman"/>
                <w:lang w:val="lt-LT"/>
              </w:rPr>
              <w:t>1.</w:t>
            </w:r>
          </w:p>
        </w:tc>
        <w:tc>
          <w:tcPr>
            <w:tcW w:w="4111" w:type="dxa"/>
          </w:tcPr>
          <w:p w14:paraId="566D98E5" w14:textId="2829E7B5" w:rsidR="0041747B" w:rsidRPr="00AB192E" w:rsidRDefault="004D004F" w:rsidP="00AB192E">
            <w:pPr>
              <w:autoSpaceDE w:val="0"/>
              <w:autoSpaceDN w:val="0"/>
              <w:adjustRightInd w:val="0"/>
              <w:jc w:val="both"/>
              <w:rPr>
                <w:rFonts w:ascii="Times New Roman" w:hAnsi="Times New Roman" w:cs="Times New Roman"/>
                <w:lang w:val="lt-LT"/>
              </w:rPr>
            </w:pPr>
            <w:r w:rsidRPr="00AB192E">
              <w:rPr>
                <w:rFonts w:ascii="Times New Roman" w:hAnsi="Times New Roman" w:cs="Times New Roman"/>
                <w:lang w:val="lt-LT"/>
              </w:rPr>
              <w:t>Gavus pastabą dėl techninėje užduotyje pateiktos informacijos</w:t>
            </w:r>
            <w:r w:rsidR="0041747B" w:rsidRPr="00AB192E">
              <w:rPr>
                <w:rFonts w:ascii="Times New Roman" w:hAnsi="Times New Roman" w:cs="Times New Roman"/>
                <w:lang w:val="lt-LT"/>
              </w:rPr>
              <w:t>, nurodytus reikalavimus moduliams:</w:t>
            </w:r>
          </w:p>
          <w:p w14:paraId="458F6700" w14:textId="77777777" w:rsidR="0041747B" w:rsidRPr="00AB192E" w:rsidRDefault="0041747B" w:rsidP="00AB192E">
            <w:pPr>
              <w:jc w:val="both"/>
              <w:rPr>
                <w:rFonts w:ascii="Times New Roman" w:hAnsi="Times New Roman" w:cs="Times New Roman"/>
                <w:lang w:val="lt-LT"/>
              </w:rPr>
            </w:pPr>
            <w:r w:rsidRPr="00AB192E">
              <w:rPr>
                <w:rFonts w:ascii="Times New Roman" w:hAnsi="Times New Roman" w:cs="Times New Roman"/>
                <w:lang w:val="lt-LT"/>
              </w:rPr>
              <w:t>Sniego apkrova  ≥ 2400 Pa</w:t>
            </w:r>
          </w:p>
          <w:p w14:paraId="296F54BA" w14:textId="77777777" w:rsidR="0041747B" w:rsidRPr="00AB192E" w:rsidRDefault="0041747B" w:rsidP="00AB192E">
            <w:pPr>
              <w:jc w:val="both"/>
              <w:rPr>
                <w:rFonts w:ascii="Times New Roman" w:hAnsi="Times New Roman" w:cs="Times New Roman"/>
                <w:lang w:val="lt-LT"/>
              </w:rPr>
            </w:pPr>
            <w:r w:rsidRPr="00AB192E">
              <w:rPr>
                <w:rFonts w:ascii="Times New Roman" w:hAnsi="Times New Roman" w:cs="Times New Roman"/>
                <w:lang w:val="lt-LT"/>
              </w:rPr>
              <w:t>Vėjo apkrova ≥ 5400 Pa</w:t>
            </w:r>
          </w:p>
          <w:p w14:paraId="4F0F1089" w14:textId="4BD03A6E" w:rsidR="0041747B" w:rsidRPr="00AB192E" w:rsidRDefault="0041747B" w:rsidP="00AB192E">
            <w:pPr>
              <w:ind w:left="720"/>
              <w:jc w:val="both"/>
              <w:rPr>
                <w:rFonts w:ascii="Times New Roman" w:hAnsi="Times New Roman" w:cs="Times New Roman"/>
                <w:lang w:val="lt-LT"/>
              </w:rPr>
            </w:pPr>
          </w:p>
        </w:tc>
        <w:tc>
          <w:tcPr>
            <w:tcW w:w="4677" w:type="dxa"/>
          </w:tcPr>
          <w:p w14:paraId="2CBB5996" w14:textId="263AB936" w:rsidR="0041747B" w:rsidRPr="00AB192E" w:rsidRDefault="0041747B"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Atkreipiame dėmesį, kad nuo 2020 m. lapkričio 12 d. paskelbto kvietimo pateiktame 1.3.2. priede „techninė užduotis“ pateikta patikslinta informacija:</w:t>
            </w:r>
          </w:p>
          <w:p w14:paraId="6F87769E" w14:textId="18A0C784" w:rsidR="0041747B" w:rsidRPr="00AB192E" w:rsidRDefault="0041747B"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Vėjo apkrova ≥ 2400 Pa</w:t>
            </w:r>
          </w:p>
          <w:p w14:paraId="1C5494AB" w14:textId="2890917E" w:rsidR="006844AC" w:rsidRPr="00AB192E" w:rsidRDefault="0041747B"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Sniego apkrova ≥ 5400 Pa</w:t>
            </w:r>
          </w:p>
        </w:tc>
      </w:tr>
      <w:tr w:rsidR="006844AC" w:rsidRPr="00AB192E" w14:paraId="7DC4B884" w14:textId="77777777" w:rsidTr="004D004F">
        <w:trPr>
          <w:trHeight w:val="1589"/>
        </w:trPr>
        <w:tc>
          <w:tcPr>
            <w:tcW w:w="562" w:type="dxa"/>
          </w:tcPr>
          <w:p w14:paraId="44029AC5" w14:textId="33AC797C" w:rsidR="006844AC" w:rsidRPr="00AB192E" w:rsidRDefault="006844AC" w:rsidP="00AB192E">
            <w:pPr>
              <w:jc w:val="both"/>
              <w:rPr>
                <w:rFonts w:ascii="Times New Roman" w:hAnsi="Times New Roman" w:cs="Times New Roman"/>
                <w:lang w:val="lt-LT"/>
              </w:rPr>
            </w:pPr>
            <w:r w:rsidRPr="00AB192E">
              <w:rPr>
                <w:rFonts w:ascii="Times New Roman" w:hAnsi="Times New Roman" w:cs="Times New Roman"/>
                <w:lang w:val="lt-LT"/>
              </w:rPr>
              <w:t>2.</w:t>
            </w:r>
          </w:p>
        </w:tc>
        <w:tc>
          <w:tcPr>
            <w:tcW w:w="4111" w:type="dxa"/>
          </w:tcPr>
          <w:p w14:paraId="0AE6AF83" w14:textId="1F696EFD" w:rsidR="006844AC" w:rsidRPr="00AB192E" w:rsidRDefault="004D004F" w:rsidP="00AB192E">
            <w:pPr>
              <w:autoSpaceDE w:val="0"/>
              <w:autoSpaceDN w:val="0"/>
              <w:adjustRightInd w:val="0"/>
              <w:jc w:val="both"/>
              <w:rPr>
                <w:rFonts w:ascii="Times New Roman" w:hAnsi="Times New Roman" w:cs="Times New Roman"/>
                <w:lang w:val="lt-LT"/>
              </w:rPr>
            </w:pPr>
            <w:r w:rsidRPr="00AB192E">
              <w:rPr>
                <w:rFonts w:ascii="Times New Roman" w:hAnsi="Times New Roman" w:cs="Times New Roman"/>
                <w:lang w:val="lt-LT"/>
              </w:rPr>
              <w:t xml:space="preserve">Gavus </w:t>
            </w:r>
            <w:r w:rsidR="0041747B" w:rsidRPr="00AB192E">
              <w:rPr>
                <w:rFonts w:ascii="Times New Roman" w:hAnsi="Times New Roman" w:cs="Times New Roman"/>
                <w:lang w:val="lt-LT"/>
              </w:rPr>
              <w:t xml:space="preserve">paklausimą dėl techninėje užduotyje pateiktos informacijos „Reikalavimai fotovoltinei saulės elektrinei“ </w:t>
            </w:r>
          </w:p>
        </w:tc>
        <w:tc>
          <w:tcPr>
            <w:tcW w:w="4677" w:type="dxa"/>
          </w:tcPr>
          <w:p w14:paraId="32F86197" w14:textId="4C140225" w:rsidR="006844AC" w:rsidRPr="00AB192E" w:rsidRDefault="004D004F"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Nutarta patikslinti techninę užduotį</w:t>
            </w:r>
            <w:r w:rsidR="0041747B" w:rsidRPr="00AB192E">
              <w:rPr>
                <w:rFonts w:ascii="Times New Roman" w:hAnsi="Times New Roman" w:cs="Times New Roman"/>
                <w:lang w:val="lt-LT"/>
              </w:rPr>
              <w:t xml:space="preserve"> ir nenurodyti reikalaujamą metinį išdirbį MWh per metus. Paliekamas 1.3.1. priedo „techninė specifikacija“ 1 lentelėje nustatytas reikalavimas pateikti prognozuojamą elektros energijos gamybą pagal konkurso sąlygose ir jos prieduose nustatytus reikalavimus.</w:t>
            </w:r>
          </w:p>
        </w:tc>
      </w:tr>
      <w:tr w:rsidR="006844AC" w:rsidRPr="00AB192E" w14:paraId="5E883440" w14:textId="77777777" w:rsidTr="00F70B28">
        <w:tc>
          <w:tcPr>
            <w:tcW w:w="562" w:type="dxa"/>
          </w:tcPr>
          <w:p w14:paraId="7EE797E9" w14:textId="4DE7760F" w:rsidR="006844AC" w:rsidRPr="00AB192E" w:rsidRDefault="006844AC" w:rsidP="00AB192E">
            <w:pPr>
              <w:jc w:val="both"/>
              <w:rPr>
                <w:rFonts w:ascii="Times New Roman" w:hAnsi="Times New Roman" w:cs="Times New Roman"/>
                <w:lang w:val="lt-LT"/>
              </w:rPr>
            </w:pPr>
            <w:r w:rsidRPr="00AB192E">
              <w:rPr>
                <w:rFonts w:ascii="Times New Roman" w:hAnsi="Times New Roman" w:cs="Times New Roman"/>
                <w:lang w:val="lt-LT"/>
              </w:rPr>
              <w:t>3.</w:t>
            </w:r>
          </w:p>
        </w:tc>
        <w:tc>
          <w:tcPr>
            <w:tcW w:w="4111" w:type="dxa"/>
          </w:tcPr>
          <w:p w14:paraId="7FB8B5BD" w14:textId="75C684AA" w:rsidR="000D2FD4" w:rsidRPr="00AB192E" w:rsidRDefault="004D004F" w:rsidP="00AB192E">
            <w:pPr>
              <w:pStyle w:val="Default"/>
              <w:jc w:val="both"/>
              <w:rPr>
                <w:rFonts w:ascii="Times New Roman" w:hAnsi="Times New Roman" w:cs="Times New Roman"/>
                <w:color w:val="auto"/>
                <w:sz w:val="22"/>
                <w:szCs w:val="22"/>
              </w:rPr>
            </w:pPr>
            <w:r w:rsidRPr="00AB192E">
              <w:rPr>
                <w:rFonts w:ascii="Times New Roman" w:hAnsi="Times New Roman" w:cs="Times New Roman"/>
                <w:color w:val="auto"/>
                <w:sz w:val="22"/>
                <w:szCs w:val="22"/>
              </w:rPr>
              <w:t xml:space="preserve">Gavus </w:t>
            </w:r>
            <w:r w:rsidR="000D2FD4" w:rsidRPr="00AB192E">
              <w:rPr>
                <w:rFonts w:ascii="Times New Roman" w:hAnsi="Times New Roman" w:cs="Times New Roman"/>
                <w:color w:val="auto"/>
                <w:sz w:val="22"/>
                <w:szCs w:val="22"/>
              </w:rPr>
              <w:t>paklausimą ir pastabą dėl Konkurso sąlygų priedo Nr. 2 „Kvalifikacijos reikalavimai“ 6 punkto reikalavimo, ir paprašius jį pakeisti į:</w:t>
            </w:r>
          </w:p>
          <w:tbl>
            <w:tblPr>
              <w:tblW w:w="0" w:type="auto"/>
              <w:tblBorders>
                <w:top w:val="nil"/>
                <w:left w:val="nil"/>
                <w:bottom w:val="nil"/>
                <w:right w:val="nil"/>
              </w:tblBorders>
              <w:tblLook w:val="0000" w:firstRow="0" w:lastRow="0" w:firstColumn="0" w:lastColumn="0" w:noHBand="0" w:noVBand="0"/>
            </w:tblPr>
            <w:tblGrid>
              <w:gridCol w:w="3895"/>
            </w:tblGrid>
            <w:tr w:rsidR="000D2FD4" w:rsidRPr="00AB192E" w14:paraId="6CE95EEB" w14:textId="77777777">
              <w:trPr>
                <w:trHeight w:val="894"/>
              </w:trPr>
              <w:tc>
                <w:tcPr>
                  <w:tcW w:w="0" w:type="auto"/>
                </w:tcPr>
                <w:p w14:paraId="1825603A" w14:textId="1BE5555A" w:rsidR="000D2FD4" w:rsidRPr="00AB192E" w:rsidRDefault="000D2FD4" w:rsidP="00AB192E">
                  <w:pPr>
                    <w:autoSpaceDE w:val="0"/>
                    <w:autoSpaceDN w:val="0"/>
                    <w:adjustRightInd w:val="0"/>
                    <w:spacing w:after="0" w:line="240" w:lineRule="auto"/>
                    <w:jc w:val="both"/>
                    <w:rPr>
                      <w:rFonts w:ascii="Times New Roman" w:hAnsi="Times New Roman" w:cs="Times New Roman"/>
                      <w:color w:val="000000"/>
                      <w:sz w:val="20"/>
                      <w:szCs w:val="20"/>
                      <w:lang w:val="lt-LT"/>
                    </w:rPr>
                  </w:pPr>
                  <w:r w:rsidRPr="00AB192E">
                    <w:rPr>
                      <w:rFonts w:ascii="Times New Roman" w:hAnsi="Times New Roman" w:cs="Times New Roman"/>
                      <w:lang w:val="lt-LT"/>
                    </w:rPr>
                    <w:t>„</w:t>
                  </w:r>
                  <w:r w:rsidRPr="00AB192E">
                    <w:rPr>
                      <w:rFonts w:ascii="Times New Roman" w:hAnsi="Times New Roman" w:cs="Times New Roman"/>
                      <w:color w:val="000000"/>
                      <w:sz w:val="20"/>
                      <w:szCs w:val="20"/>
                      <w:lang w:val="lt-LT"/>
                    </w:rPr>
                    <w:t xml:space="preserve">Tiekėjo vidutinės metinės pajamos per paskutinius 3 (tris) metus arba per laiką nuo tiekėjo įregistravimo dienos yra ne mažesnės kaip 500 000 Eur.“ </w:t>
                  </w:r>
                </w:p>
              </w:tc>
            </w:tr>
            <w:tr w:rsidR="000D2FD4" w:rsidRPr="00AB192E" w14:paraId="1140B695" w14:textId="77777777">
              <w:trPr>
                <w:trHeight w:val="894"/>
              </w:trPr>
              <w:tc>
                <w:tcPr>
                  <w:tcW w:w="0" w:type="auto"/>
                </w:tcPr>
                <w:p w14:paraId="027658FE" w14:textId="77777777" w:rsidR="000D2FD4" w:rsidRPr="00AB192E" w:rsidRDefault="000D2FD4" w:rsidP="00AB192E">
                  <w:pPr>
                    <w:autoSpaceDE w:val="0"/>
                    <w:autoSpaceDN w:val="0"/>
                    <w:adjustRightInd w:val="0"/>
                    <w:spacing w:after="0" w:line="240" w:lineRule="auto"/>
                    <w:jc w:val="both"/>
                    <w:rPr>
                      <w:rFonts w:ascii="Times New Roman" w:hAnsi="Times New Roman" w:cs="Times New Roman"/>
                      <w:lang w:val="lt-LT"/>
                    </w:rPr>
                  </w:pPr>
                </w:p>
              </w:tc>
            </w:tr>
          </w:tbl>
          <w:p w14:paraId="1243FA02" w14:textId="54DAECCD" w:rsidR="000D2FD4" w:rsidRPr="00AB192E" w:rsidRDefault="000D2FD4" w:rsidP="00AB192E">
            <w:pPr>
              <w:pStyle w:val="Default"/>
              <w:jc w:val="both"/>
              <w:rPr>
                <w:rFonts w:ascii="Times New Roman" w:hAnsi="Times New Roman" w:cs="Times New Roman"/>
                <w:color w:val="auto"/>
                <w:sz w:val="22"/>
                <w:szCs w:val="22"/>
              </w:rPr>
            </w:pPr>
          </w:p>
          <w:p w14:paraId="6DBB58A6" w14:textId="4744D2E3" w:rsidR="000D2FD4" w:rsidRPr="00AB192E" w:rsidRDefault="000D2FD4" w:rsidP="00AB192E">
            <w:pPr>
              <w:pStyle w:val="Default"/>
              <w:jc w:val="both"/>
              <w:rPr>
                <w:rFonts w:ascii="Times New Roman" w:hAnsi="Times New Roman" w:cs="Times New Roman"/>
                <w:color w:val="auto"/>
                <w:sz w:val="22"/>
                <w:szCs w:val="22"/>
              </w:rPr>
            </w:pPr>
          </w:p>
          <w:p w14:paraId="70997595" w14:textId="77777777" w:rsidR="000D2FD4" w:rsidRPr="00AB192E" w:rsidRDefault="000D2FD4" w:rsidP="00AB192E">
            <w:pPr>
              <w:pStyle w:val="Default"/>
              <w:jc w:val="both"/>
              <w:rPr>
                <w:rFonts w:ascii="Times New Roman" w:hAnsi="Times New Roman" w:cs="Times New Roman"/>
                <w:color w:val="auto"/>
                <w:sz w:val="22"/>
                <w:szCs w:val="22"/>
              </w:rPr>
            </w:pPr>
          </w:p>
          <w:p w14:paraId="3422EA4D" w14:textId="6B6BD86E" w:rsidR="006844AC" w:rsidRPr="00AB192E" w:rsidRDefault="006844AC" w:rsidP="00AB192E">
            <w:pPr>
              <w:pStyle w:val="Default"/>
              <w:jc w:val="both"/>
              <w:rPr>
                <w:rFonts w:ascii="Times New Roman" w:hAnsi="Times New Roman" w:cs="Times New Roman"/>
                <w:color w:val="auto"/>
                <w:sz w:val="22"/>
                <w:szCs w:val="22"/>
              </w:rPr>
            </w:pPr>
          </w:p>
        </w:tc>
        <w:tc>
          <w:tcPr>
            <w:tcW w:w="4677" w:type="dxa"/>
          </w:tcPr>
          <w:p w14:paraId="2CEDDB3F" w14:textId="77777777" w:rsidR="006844AC" w:rsidRPr="00AB192E" w:rsidRDefault="0041747B"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Patikslina</w:t>
            </w:r>
            <w:r w:rsidR="000D2FD4" w:rsidRPr="00AB192E">
              <w:rPr>
                <w:rFonts w:ascii="Times New Roman" w:hAnsi="Times New Roman" w:cs="Times New Roman"/>
                <w:lang w:val="lt-LT"/>
              </w:rPr>
              <w:t xml:space="preserve"> ir kartoja, kad</w:t>
            </w:r>
            <w:r w:rsidRPr="00AB192E">
              <w:rPr>
                <w:rFonts w:ascii="Times New Roman" w:hAnsi="Times New Roman" w:cs="Times New Roman"/>
                <w:lang w:val="lt-LT"/>
              </w:rPr>
              <w:t xml:space="preserve"> konkurso sąlygų 2 priedo „Kvalifikaciniai reikalavimai“ 6 reikalavime nurodyta kad reikalavimą turi atitikti visi  jungtinės veiklos partneriai kartu  (Taikoma visiems jungtinės veiklos partneriams kartu). Tai reiškia, kad reikalavimą gali atitikti bent vienas jungtinės veiklos partneris arba visi  jungtinės veiklos partneriai kartu.</w:t>
            </w:r>
          </w:p>
          <w:p w14:paraId="6450DFC3" w14:textId="67B3650D" w:rsidR="000D2FD4" w:rsidRPr="00AB192E" w:rsidRDefault="000D2FD4"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Nutarta, kad kvalifikacinis reikalavimas nebus keičiamas.</w:t>
            </w:r>
          </w:p>
          <w:p w14:paraId="15BBBE82" w14:textId="155F564B" w:rsidR="000D2FD4" w:rsidRPr="00AB192E" w:rsidRDefault="000D2FD4" w:rsidP="00AB192E">
            <w:pPr>
              <w:jc w:val="both"/>
              <w:rPr>
                <w:rFonts w:ascii="Times New Roman" w:hAnsi="Times New Roman" w:cs="Times New Roman"/>
                <w:lang w:val="lt-LT"/>
              </w:rPr>
            </w:pPr>
            <w:r w:rsidRPr="00AB192E">
              <w:rPr>
                <w:rFonts w:ascii="Times New Roman" w:hAnsi="Times New Roman" w:cs="Times New Roman"/>
                <w:lang w:val="lt-LT"/>
              </w:rPr>
              <w:t>Užtikriname, kad Pirkimas atliekamas konkurso būdu laikantis lygiateisiškumo, nediskriminavimo, abipusio pripažinimo, proporcingumo, skaidrumo principų, laikantis Taisyklėse nustatytų reikalavimų</w:t>
            </w:r>
          </w:p>
        </w:tc>
      </w:tr>
      <w:tr w:rsidR="00AB192E" w:rsidRPr="00AB192E" w14:paraId="0F808FD5" w14:textId="77777777" w:rsidTr="00F70B28">
        <w:tc>
          <w:tcPr>
            <w:tcW w:w="562" w:type="dxa"/>
          </w:tcPr>
          <w:p w14:paraId="3358455D" w14:textId="6BD2B0D6" w:rsidR="00AB192E" w:rsidRPr="00AB192E" w:rsidRDefault="00AB192E" w:rsidP="00AB192E">
            <w:pPr>
              <w:jc w:val="both"/>
              <w:rPr>
                <w:rFonts w:ascii="Times New Roman" w:hAnsi="Times New Roman" w:cs="Times New Roman"/>
                <w:lang w:val="lt-LT"/>
              </w:rPr>
            </w:pPr>
            <w:r w:rsidRPr="00AB192E">
              <w:rPr>
                <w:rFonts w:ascii="Times New Roman" w:hAnsi="Times New Roman" w:cs="Times New Roman"/>
                <w:lang w:val="lt-LT"/>
              </w:rPr>
              <w:t xml:space="preserve">4. </w:t>
            </w:r>
          </w:p>
        </w:tc>
        <w:tc>
          <w:tcPr>
            <w:tcW w:w="4111" w:type="dxa"/>
          </w:tcPr>
          <w:p w14:paraId="2FDCCDCD" w14:textId="55925AC7" w:rsidR="00AB192E" w:rsidRPr="00AB192E" w:rsidRDefault="00AB192E" w:rsidP="00AB192E">
            <w:pPr>
              <w:pStyle w:val="Default"/>
              <w:jc w:val="both"/>
              <w:rPr>
                <w:rFonts w:ascii="Times New Roman" w:hAnsi="Times New Roman" w:cs="Times New Roman"/>
                <w:color w:val="auto"/>
                <w:sz w:val="22"/>
                <w:szCs w:val="22"/>
              </w:rPr>
            </w:pPr>
            <w:r w:rsidRPr="00AB192E">
              <w:rPr>
                <w:rFonts w:ascii="Times New Roman" w:hAnsi="Times New Roman" w:cs="Times New Roman"/>
                <w:color w:val="auto"/>
                <w:sz w:val="22"/>
                <w:szCs w:val="22"/>
              </w:rPr>
              <w:t>Gavus pastabą dėl pasiūlymo pateikimo formos</w:t>
            </w:r>
          </w:p>
          <w:p w14:paraId="5C69DF32" w14:textId="77777777" w:rsidR="00AB192E" w:rsidRPr="00AB192E" w:rsidRDefault="00AB192E" w:rsidP="00AB192E">
            <w:pPr>
              <w:pStyle w:val="Default"/>
              <w:jc w:val="both"/>
              <w:rPr>
                <w:rFonts w:ascii="Times New Roman" w:hAnsi="Times New Roman" w:cs="Times New Roman"/>
                <w:color w:val="auto"/>
                <w:sz w:val="22"/>
                <w:szCs w:val="22"/>
              </w:rPr>
            </w:pPr>
          </w:p>
        </w:tc>
        <w:tc>
          <w:tcPr>
            <w:tcW w:w="4677" w:type="dxa"/>
          </w:tcPr>
          <w:p w14:paraId="64A455E8" w14:textId="216C6697" w:rsidR="00AB192E" w:rsidRPr="00AB192E" w:rsidRDefault="00AB192E" w:rsidP="00AB192E">
            <w:pPr>
              <w:pStyle w:val="Default"/>
              <w:jc w:val="both"/>
              <w:rPr>
                <w:rFonts w:ascii="Times New Roman" w:hAnsi="Times New Roman" w:cs="Times New Roman"/>
                <w:color w:val="auto"/>
                <w:sz w:val="22"/>
                <w:szCs w:val="22"/>
              </w:rPr>
            </w:pPr>
            <w:r w:rsidRPr="00AB192E">
              <w:rPr>
                <w:rFonts w:ascii="Times New Roman" w:hAnsi="Times New Roman" w:cs="Times New Roman"/>
                <w:color w:val="auto"/>
                <w:sz w:val="22"/>
                <w:szCs w:val="22"/>
              </w:rPr>
              <w:t>Nutarta n</w:t>
            </w:r>
            <w:r w:rsidRPr="00AB192E">
              <w:rPr>
                <w:rFonts w:ascii="Times New Roman" w:hAnsi="Times New Roman" w:cs="Times New Roman"/>
                <w:color w:val="auto"/>
                <w:sz w:val="22"/>
                <w:szCs w:val="22"/>
              </w:rPr>
              <w:t>ekeisti pasiūlymų pateikimo formos - atsiuntus jį paštu, per pasiuntinį ar tiesiogiai atvykus šiuo adresu: Liepų g. 68, LT - 92100, Klaipėda.</w:t>
            </w:r>
            <w:r w:rsidRPr="00AB192E">
              <w:rPr>
                <w:rFonts w:ascii="Times New Roman" w:hAnsi="Times New Roman" w:cs="Times New Roman"/>
                <w:color w:val="auto"/>
                <w:sz w:val="22"/>
                <w:szCs w:val="22"/>
              </w:rPr>
              <w:t xml:space="preserve"> </w:t>
            </w:r>
            <w:r w:rsidRPr="00AB192E">
              <w:rPr>
                <w:rFonts w:ascii="Times New Roman" w:hAnsi="Times New Roman" w:cs="Times New Roman"/>
                <w:color w:val="auto"/>
                <w:sz w:val="22"/>
                <w:szCs w:val="22"/>
              </w:rPr>
              <w:t xml:space="preserve">Pirkimo komisija mano, kad yra </w:t>
            </w:r>
            <w:r w:rsidRPr="00AB192E">
              <w:rPr>
                <w:rFonts w:ascii="Times New Roman" w:hAnsi="Times New Roman" w:cs="Times New Roman"/>
                <w:color w:val="auto"/>
                <w:sz w:val="22"/>
                <w:szCs w:val="22"/>
              </w:rPr>
              <w:lastRenderedPageBreak/>
              <w:t>pakankamai laiko, kad pasiūlymas būtų parengtas ir saugiai pristatytas nurodytu adresu.</w:t>
            </w:r>
          </w:p>
        </w:tc>
      </w:tr>
      <w:tr w:rsidR="000D2FD4" w:rsidRPr="00AB192E" w14:paraId="6E308C74" w14:textId="77777777" w:rsidTr="00F70B28">
        <w:tc>
          <w:tcPr>
            <w:tcW w:w="562" w:type="dxa"/>
          </w:tcPr>
          <w:p w14:paraId="3860FCA9" w14:textId="62097CD4" w:rsidR="000D2FD4" w:rsidRPr="00AB192E" w:rsidRDefault="00AB192E" w:rsidP="00AB192E">
            <w:pPr>
              <w:jc w:val="both"/>
              <w:rPr>
                <w:rFonts w:ascii="Times New Roman" w:hAnsi="Times New Roman" w:cs="Times New Roman"/>
                <w:lang w:val="lt-LT"/>
              </w:rPr>
            </w:pPr>
            <w:r w:rsidRPr="00AB192E">
              <w:rPr>
                <w:rFonts w:ascii="Times New Roman" w:hAnsi="Times New Roman" w:cs="Times New Roman"/>
                <w:lang w:val="lt-LT"/>
              </w:rPr>
              <w:t>5</w:t>
            </w:r>
            <w:r w:rsidR="000D2FD4" w:rsidRPr="00AB192E">
              <w:rPr>
                <w:rFonts w:ascii="Times New Roman" w:hAnsi="Times New Roman" w:cs="Times New Roman"/>
                <w:lang w:val="lt-LT"/>
              </w:rPr>
              <w:t xml:space="preserve">. </w:t>
            </w:r>
          </w:p>
        </w:tc>
        <w:tc>
          <w:tcPr>
            <w:tcW w:w="4111" w:type="dxa"/>
          </w:tcPr>
          <w:p w14:paraId="7BC9BF13" w14:textId="0E0D8FC4" w:rsidR="000D2FD4" w:rsidRPr="00AB192E" w:rsidRDefault="000D2FD4" w:rsidP="00AB192E">
            <w:pPr>
              <w:pStyle w:val="Default"/>
              <w:jc w:val="both"/>
              <w:rPr>
                <w:rFonts w:ascii="Times New Roman" w:hAnsi="Times New Roman" w:cs="Times New Roman"/>
                <w:color w:val="auto"/>
                <w:sz w:val="22"/>
                <w:szCs w:val="22"/>
              </w:rPr>
            </w:pPr>
            <w:r w:rsidRPr="00AB192E">
              <w:rPr>
                <w:rFonts w:ascii="Times New Roman" w:hAnsi="Times New Roman" w:cs="Times New Roman"/>
                <w:color w:val="auto"/>
                <w:sz w:val="22"/>
                <w:szCs w:val="22"/>
              </w:rPr>
              <w:t>Gavus pastabą dėl Konkurso sąlygų priedo Nr. 2 „Kvalifikacijos reikalavimai“ 8 punkto reikalavimo, ir paprašius kvalifikacinį reikalavimą taikyti ir subrangovams</w:t>
            </w:r>
          </w:p>
        </w:tc>
        <w:tc>
          <w:tcPr>
            <w:tcW w:w="4677" w:type="dxa"/>
          </w:tcPr>
          <w:p w14:paraId="2B1D3D04" w14:textId="0BD56292" w:rsidR="000D2FD4" w:rsidRPr="00AB192E" w:rsidRDefault="000D2FD4"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Nutarta, kad kvalifikacinis reikalavimas nebus keičiamas.</w:t>
            </w:r>
          </w:p>
          <w:p w14:paraId="0913D790" w14:textId="77777777" w:rsidR="000D2FD4" w:rsidRPr="00AB192E" w:rsidRDefault="000D2FD4" w:rsidP="00AB192E">
            <w:pPr>
              <w:pStyle w:val="Default"/>
              <w:jc w:val="both"/>
              <w:rPr>
                <w:rFonts w:ascii="Times New Roman" w:hAnsi="Times New Roman" w:cs="Times New Roman"/>
                <w:color w:val="auto"/>
                <w:sz w:val="22"/>
                <w:szCs w:val="22"/>
              </w:rPr>
            </w:pPr>
            <w:r w:rsidRPr="00AB192E">
              <w:rPr>
                <w:rFonts w:ascii="Times New Roman" w:hAnsi="Times New Roman" w:cs="Times New Roman"/>
                <w:color w:val="auto"/>
                <w:sz w:val="22"/>
                <w:szCs w:val="22"/>
              </w:rPr>
              <w:t xml:space="preserve">Šis reikalavimas subrangovams netaikomas, nes skirtas įvertinti Tiekėjų arba Tiekėjų grupės (Jungtinės veiklos partneriai) patirtį įgyvendinant panašias sutartis, norint įsitikinti, kad Tiekėjas arba Tiekėjų grupė (Jungtinės veiklos partneriai) bus pajėgus įgyvendinti sutartį. </w:t>
            </w:r>
          </w:p>
          <w:p w14:paraId="143324B4" w14:textId="58C122B4" w:rsidR="000D2FD4" w:rsidRPr="00AB192E" w:rsidRDefault="000D2FD4" w:rsidP="00AB192E">
            <w:pPr>
              <w:jc w:val="both"/>
              <w:rPr>
                <w:rFonts w:ascii="Times New Roman" w:hAnsi="Times New Roman" w:cs="Times New Roman"/>
                <w:lang w:val="lt-LT"/>
              </w:rPr>
            </w:pPr>
            <w:r w:rsidRPr="00AB192E">
              <w:rPr>
                <w:rFonts w:ascii="Times New Roman" w:hAnsi="Times New Roman" w:cs="Times New Roman"/>
                <w:lang w:val="lt-LT"/>
              </w:rPr>
              <w:t xml:space="preserve">Pažymime, kad Tiekėjas gali pateikti pasiūlymą individualiai arba kaip ūkio subjektų grupės narys. </w:t>
            </w:r>
          </w:p>
          <w:p w14:paraId="05B43A63" w14:textId="1BBA8D89" w:rsidR="000D2FD4" w:rsidRPr="00AB192E" w:rsidRDefault="000D2FD4" w:rsidP="00AB192E">
            <w:pPr>
              <w:widowControl w:val="0"/>
              <w:tabs>
                <w:tab w:val="left" w:pos="2215"/>
              </w:tabs>
              <w:autoSpaceDE w:val="0"/>
              <w:autoSpaceDN w:val="0"/>
              <w:ind w:right="400"/>
              <w:contextualSpacing/>
              <w:jc w:val="both"/>
              <w:rPr>
                <w:rFonts w:ascii="Times New Roman" w:hAnsi="Times New Roman" w:cs="Times New Roman"/>
                <w:lang w:val="lt-LT"/>
              </w:rPr>
            </w:pPr>
            <w:r w:rsidRPr="00AB192E">
              <w:rPr>
                <w:rFonts w:ascii="Times New Roman" w:hAnsi="Times New Roman" w:cs="Times New Roman"/>
                <w:lang w:val="lt-LT"/>
              </w:rPr>
              <w:t>Užtikriname, kad Pirkimas atliekamas konkurso būdu laikantis lygiateisiškumo, nediskriminavimo, abipusio pripažinimo, proporcingumo, skaidrumo principų, laikantis Taisyklėse nustatytų reikalavimų</w:t>
            </w:r>
          </w:p>
        </w:tc>
      </w:tr>
    </w:tbl>
    <w:p w14:paraId="756812FE" w14:textId="77777777" w:rsidR="006471A0" w:rsidRPr="00AB192E" w:rsidRDefault="006471A0" w:rsidP="00AB192E">
      <w:pPr>
        <w:jc w:val="both"/>
        <w:rPr>
          <w:rFonts w:ascii="Times New Roman" w:hAnsi="Times New Roman" w:cs="Times New Roman"/>
          <w:b/>
          <w:bCs/>
          <w:caps/>
          <w:lang w:val="lt-LT"/>
        </w:rPr>
      </w:pPr>
    </w:p>
    <w:sectPr w:rsidR="006471A0" w:rsidRPr="00AB19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D42EA"/>
    <w:multiLevelType w:val="hybridMultilevel"/>
    <w:tmpl w:val="672EA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464C19"/>
    <w:multiLevelType w:val="hybridMultilevel"/>
    <w:tmpl w:val="3DB0EB00"/>
    <w:lvl w:ilvl="0" w:tplc="1A98AACE">
      <w:start w:val="1"/>
      <w:numFmt w:val="decimal"/>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325A3C"/>
    <w:multiLevelType w:val="hybridMultilevel"/>
    <w:tmpl w:val="14C07D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1206727"/>
    <w:multiLevelType w:val="multilevel"/>
    <w:tmpl w:val="B0AC52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CIDFont+F1" w:eastAsiaTheme="minorHAnsi" w:hAnsi="CIDFont+F1" w:cs="CIDFont+F1" w:hint="default"/>
        <w:b w:val="0"/>
        <w:color w:val="auto"/>
        <w:sz w:val="23"/>
      </w:rPr>
    </w:lvl>
    <w:lvl w:ilvl="2">
      <w:start w:val="1"/>
      <w:numFmt w:val="decimalZero"/>
      <w:isLgl/>
      <w:lvlText w:val="%1.%2.%3."/>
      <w:lvlJc w:val="left"/>
      <w:pPr>
        <w:ind w:left="1800" w:hanging="720"/>
      </w:pPr>
      <w:rPr>
        <w:rFonts w:ascii="CIDFont+F1" w:eastAsiaTheme="minorHAnsi" w:hAnsi="CIDFont+F1" w:cs="CIDFont+F1" w:hint="default"/>
        <w:b w:val="0"/>
        <w:color w:val="auto"/>
        <w:sz w:val="23"/>
      </w:rPr>
    </w:lvl>
    <w:lvl w:ilvl="3">
      <w:start w:val="1"/>
      <w:numFmt w:val="decimal"/>
      <w:isLgl/>
      <w:lvlText w:val="%1.%2.%3.%4."/>
      <w:lvlJc w:val="left"/>
      <w:pPr>
        <w:ind w:left="2160" w:hanging="720"/>
      </w:pPr>
      <w:rPr>
        <w:rFonts w:ascii="CIDFont+F1" w:eastAsiaTheme="minorHAnsi" w:hAnsi="CIDFont+F1" w:cs="CIDFont+F1" w:hint="default"/>
        <w:b w:val="0"/>
        <w:color w:val="auto"/>
        <w:sz w:val="23"/>
      </w:rPr>
    </w:lvl>
    <w:lvl w:ilvl="4">
      <w:start w:val="1"/>
      <w:numFmt w:val="decimal"/>
      <w:isLgl/>
      <w:lvlText w:val="%1.%2.%3.%4.%5."/>
      <w:lvlJc w:val="left"/>
      <w:pPr>
        <w:ind w:left="2880" w:hanging="1080"/>
      </w:pPr>
      <w:rPr>
        <w:rFonts w:ascii="CIDFont+F1" w:eastAsiaTheme="minorHAnsi" w:hAnsi="CIDFont+F1" w:cs="CIDFont+F1" w:hint="default"/>
        <w:b w:val="0"/>
        <w:color w:val="auto"/>
        <w:sz w:val="23"/>
      </w:rPr>
    </w:lvl>
    <w:lvl w:ilvl="5">
      <w:start w:val="1"/>
      <w:numFmt w:val="decimal"/>
      <w:isLgl/>
      <w:lvlText w:val="%1.%2.%3.%4.%5.%6."/>
      <w:lvlJc w:val="left"/>
      <w:pPr>
        <w:ind w:left="3240" w:hanging="1080"/>
      </w:pPr>
      <w:rPr>
        <w:rFonts w:ascii="CIDFont+F1" w:eastAsiaTheme="minorHAnsi" w:hAnsi="CIDFont+F1" w:cs="CIDFont+F1" w:hint="default"/>
        <w:b w:val="0"/>
        <w:color w:val="auto"/>
        <w:sz w:val="23"/>
      </w:rPr>
    </w:lvl>
    <w:lvl w:ilvl="6">
      <w:start w:val="1"/>
      <w:numFmt w:val="decimal"/>
      <w:isLgl/>
      <w:lvlText w:val="%1.%2.%3.%4.%5.%6.%7."/>
      <w:lvlJc w:val="left"/>
      <w:pPr>
        <w:ind w:left="3960" w:hanging="1440"/>
      </w:pPr>
      <w:rPr>
        <w:rFonts w:ascii="CIDFont+F1" w:eastAsiaTheme="minorHAnsi" w:hAnsi="CIDFont+F1" w:cs="CIDFont+F1" w:hint="default"/>
        <w:b w:val="0"/>
        <w:color w:val="auto"/>
        <w:sz w:val="23"/>
      </w:rPr>
    </w:lvl>
    <w:lvl w:ilvl="7">
      <w:start w:val="1"/>
      <w:numFmt w:val="decimal"/>
      <w:isLgl/>
      <w:lvlText w:val="%1.%2.%3.%4.%5.%6.%7.%8."/>
      <w:lvlJc w:val="left"/>
      <w:pPr>
        <w:ind w:left="4320" w:hanging="1440"/>
      </w:pPr>
      <w:rPr>
        <w:rFonts w:ascii="CIDFont+F1" w:eastAsiaTheme="minorHAnsi" w:hAnsi="CIDFont+F1" w:cs="CIDFont+F1" w:hint="default"/>
        <w:b w:val="0"/>
        <w:color w:val="auto"/>
        <w:sz w:val="23"/>
      </w:rPr>
    </w:lvl>
    <w:lvl w:ilvl="8">
      <w:start w:val="1"/>
      <w:numFmt w:val="decimal"/>
      <w:isLgl/>
      <w:lvlText w:val="%1.%2.%3.%4.%5.%6.%7.%8.%9."/>
      <w:lvlJc w:val="left"/>
      <w:pPr>
        <w:ind w:left="5040" w:hanging="1800"/>
      </w:pPr>
      <w:rPr>
        <w:rFonts w:ascii="CIDFont+F1" w:eastAsiaTheme="minorHAnsi" w:hAnsi="CIDFont+F1" w:cs="CIDFont+F1" w:hint="default"/>
        <w:b w:val="0"/>
        <w:color w:val="auto"/>
        <w:sz w:val="23"/>
      </w:rPr>
    </w:lvl>
  </w:abstractNum>
  <w:abstractNum w:abstractNumId="4" w15:restartNumberingAfterBreak="0">
    <w:nsid w:val="3AB56B7C"/>
    <w:multiLevelType w:val="hybridMultilevel"/>
    <w:tmpl w:val="0A800B6C"/>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50A101FB"/>
    <w:multiLevelType w:val="hybridMultilevel"/>
    <w:tmpl w:val="4852F4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7FE42DC"/>
    <w:multiLevelType w:val="hybridMultilevel"/>
    <w:tmpl w:val="52BC70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8845074"/>
    <w:multiLevelType w:val="hybridMultilevel"/>
    <w:tmpl w:val="3604BBE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7A"/>
    <w:rsid w:val="000747B1"/>
    <w:rsid w:val="000D2FD4"/>
    <w:rsid w:val="00320D6C"/>
    <w:rsid w:val="003742F5"/>
    <w:rsid w:val="003E6B19"/>
    <w:rsid w:val="004106C1"/>
    <w:rsid w:val="0041747B"/>
    <w:rsid w:val="004D004F"/>
    <w:rsid w:val="00533018"/>
    <w:rsid w:val="00633639"/>
    <w:rsid w:val="006471A0"/>
    <w:rsid w:val="006844AC"/>
    <w:rsid w:val="0079722B"/>
    <w:rsid w:val="00AB192E"/>
    <w:rsid w:val="00E9297A"/>
    <w:rsid w:val="00F46223"/>
    <w:rsid w:val="00F70B28"/>
    <w:rsid w:val="00FF1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C7051"/>
  <w15:chartTrackingRefBased/>
  <w15:docId w15:val="{C86E86DE-0A3E-4052-B991-0543533C2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297A"/>
    <w:rPr>
      <w:color w:val="0563C1" w:themeColor="hyperlink"/>
      <w:u w:val="single"/>
    </w:rPr>
  </w:style>
  <w:style w:type="character" w:styleId="UnresolvedMention">
    <w:name w:val="Unresolved Mention"/>
    <w:basedOn w:val="DefaultParagraphFont"/>
    <w:uiPriority w:val="99"/>
    <w:semiHidden/>
    <w:unhideWhenUsed/>
    <w:rsid w:val="00E9297A"/>
    <w:rPr>
      <w:color w:val="605E5C"/>
      <w:shd w:val="clear" w:color="auto" w:fill="E1DFDD"/>
    </w:rPr>
  </w:style>
  <w:style w:type="table" w:styleId="TableGrid">
    <w:name w:val="Table Grid"/>
    <w:basedOn w:val="TableNormal"/>
    <w:uiPriority w:val="39"/>
    <w:rsid w:val="0068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4AC"/>
    <w:pPr>
      <w:spacing w:after="0" w:line="240" w:lineRule="auto"/>
      <w:ind w:left="720"/>
    </w:pPr>
    <w:rPr>
      <w:rFonts w:ascii="Calibri" w:hAnsi="Calibri" w:cs="Calibri"/>
      <w:lang w:val="lt-LT" w:eastAsia="lt-LT"/>
    </w:rPr>
  </w:style>
  <w:style w:type="character" w:customStyle="1" w:styleId="LLCTekstas">
    <w:name w:val="LLCTekstas"/>
    <w:basedOn w:val="DefaultParagraphFont"/>
    <w:rsid w:val="006844AC"/>
  </w:style>
  <w:style w:type="paragraph" w:styleId="BodyTextIndent2">
    <w:name w:val="Body Text Indent 2"/>
    <w:basedOn w:val="Normal"/>
    <w:link w:val="BodyTextIndent2Char"/>
    <w:semiHidden/>
    <w:rsid w:val="0079722B"/>
    <w:pPr>
      <w:spacing w:after="0" w:line="240" w:lineRule="auto"/>
      <w:ind w:firstLine="426"/>
    </w:pPr>
    <w:rPr>
      <w:rFonts w:ascii="Arial" w:eastAsia="Times New Roman" w:hAnsi="Arial" w:cs="Times New Roman"/>
      <w:sz w:val="20"/>
      <w:szCs w:val="20"/>
      <w:lang w:val="lt-LT"/>
    </w:rPr>
  </w:style>
  <w:style w:type="character" w:customStyle="1" w:styleId="BodyTextIndent2Char">
    <w:name w:val="Body Text Indent 2 Char"/>
    <w:basedOn w:val="DefaultParagraphFont"/>
    <w:link w:val="BodyTextIndent2"/>
    <w:semiHidden/>
    <w:rsid w:val="0079722B"/>
    <w:rPr>
      <w:rFonts w:ascii="Arial" w:eastAsia="Times New Roman" w:hAnsi="Arial" w:cs="Times New Roman"/>
      <w:sz w:val="20"/>
      <w:szCs w:val="20"/>
      <w:lang w:val="lt-LT"/>
    </w:rPr>
  </w:style>
  <w:style w:type="paragraph" w:customStyle="1" w:styleId="Default">
    <w:name w:val="Default"/>
    <w:rsid w:val="000D2FD4"/>
    <w:pPr>
      <w:autoSpaceDE w:val="0"/>
      <w:autoSpaceDN w:val="0"/>
      <w:adjustRightInd w:val="0"/>
      <w:spacing w:after="0" w:line="240" w:lineRule="auto"/>
    </w:pPr>
    <w:rPr>
      <w:rFonts w:ascii="Arial" w:hAnsi="Arial" w:cs="Arial"/>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18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investicijo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2358</Words>
  <Characters>1345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Anastasija</cp:lastModifiedBy>
  <cp:revision>3</cp:revision>
  <dcterms:created xsi:type="dcterms:W3CDTF">2020-11-16T13:50:00Z</dcterms:created>
  <dcterms:modified xsi:type="dcterms:W3CDTF">2020-11-16T13:55:00Z</dcterms:modified>
</cp:coreProperties>
</file>