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1AB9" w14:textId="7F33F017" w:rsidR="00A55E30" w:rsidRPr="00A55E30" w:rsidRDefault="00A55E30" w:rsidP="00A55E30">
      <w:pPr>
        <w:pStyle w:val="NormalWeb"/>
        <w:rPr>
          <w:rFonts w:ascii="Times New Roman" w:hAnsi="Times New Roman" w:cs="Times New Roman"/>
          <w:b/>
          <w:bCs/>
          <w:u w:val="single"/>
        </w:rPr>
      </w:pPr>
      <w:r w:rsidRPr="00A55E30">
        <w:rPr>
          <w:rFonts w:ascii="Times New Roman" w:hAnsi="Times New Roman" w:cs="Times New Roman"/>
          <w:b/>
          <w:bCs/>
          <w:u w:val="single"/>
        </w:rPr>
        <w:t>1 klausimas:</w:t>
      </w:r>
    </w:p>
    <w:p w14:paraId="0BD126D2" w14:textId="187F6AC2" w:rsidR="00A55E30" w:rsidRPr="00A55E30" w:rsidRDefault="00A55E30" w:rsidP="00A55E30">
      <w:pPr>
        <w:rPr>
          <w:rFonts w:ascii="Times New Roman" w:eastAsia="Times New Roman" w:hAnsi="Times New Roman" w:cs="Times New Roman"/>
          <w:b/>
          <w:bCs/>
        </w:rPr>
      </w:pPr>
      <w:r w:rsidRPr="00A55E30">
        <w:rPr>
          <w:rFonts w:ascii="Times New Roman" w:eastAsia="Times New Roman" w:hAnsi="Times New Roman" w:cs="Times New Roman"/>
          <w:b/>
          <w:bCs/>
        </w:rPr>
        <w:t>Modulių laminavimo plėvelė POE</w:t>
      </w:r>
      <w:r w:rsidRPr="00A55E30">
        <w:rPr>
          <w:rFonts w:ascii="Times New Roman" w:eastAsia="Times New Roman" w:hAnsi="Times New Roman" w:cs="Times New Roman"/>
          <w:b/>
          <w:bCs/>
        </w:rPr>
        <w:t xml:space="preserve">. </w:t>
      </w:r>
      <w:r w:rsidRPr="00A55E30">
        <w:rPr>
          <w:rFonts w:ascii="Times New Roman" w:hAnsi="Times New Roman" w:cs="Times New Roman"/>
        </w:rPr>
        <w:t>Konkurso techniniuose reikalavimuose pastebėjome, kad už modulių laminavimo plėvelę „POE“, skiriate net 7 balus. Atkreipiame dėmesį, kad šis kriterijus yra netikslus, pažeidžia lygiateisiškumo principą ir galimai riboja konkurenciją:</w:t>
      </w:r>
    </w:p>
    <w:p w14:paraId="71CAFA23" w14:textId="77777777" w:rsidR="00A55E30" w:rsidRPr="00A55E30" w:rsidRDefault="00A55E30" w:rsidP="00A55E30">
      <w:pPr>
        <w:rPr>
          <w:rFonts w:ascii="Times New Roman" w:hAnsi="Times New Roman" w:cs="Times New Roman"/>
        </w:rPr>
      </w:pPr>
    </w:p>
    <w:p w14:paraId="12EB053B" w14:textId="77777777" w:rsidR="00A55E30" w:rsidRPr="00A55E30" w:rsidRDefault="00A55E30" w:rsidP="00A55E30">
      <w:pPr>
        <w:pStyle w:val="ListParagraph"/>
        <w:numPr>
          <w:ilvl w:val="0"/>
          <w:numId w:val="2"/>
        </w:numPr>
        <w:rPr>
          <w:rFonts w:ascii="Times New Roman" w:eastAsia="Times New Roman" w:hAnsi="Times New Roman" w:cs="Times New Roman"/>
        </w:rPr>
      </w:pPr>
      <w:r w:rsidRPr="00A55E30">
        <w:rPr>
          <w:rFonts w:ascii="Times New Roman" w:eastAsia="Times New Roman" w:hAnsi="Times New Roman" w:cs="Times New Roman"/>
        </w:rPr>
        <w:t xml:space="preserve">Pirkimo sąlygose nėra paaiškinta, ką reiškia trijų „POE“ raidžių trumpinys bei kokia tai technologiją? </w:t>
      </w:r>
    </w:p>
    <w:p w14:paraId="5D346D4B" w14:textId="77777777" w:rsidR="00A55E30" w:rsidRPr="00A55E30" w:rsidRDefault="00A55E30" w:rsidP="00A55E30">
      <w:pPr>
        <w:pStyle w:val="ListParagraph"/>
        <w:numPr>
          <w:ilvl w:val="0"/>
          <w:numId w:val="2"/>
        </w:numPr>
        <w:rPr>
          <w:rFonts w:ascii="Times New Roman" w:eastAsia="Times New Roman" w:hAnsi="Times New Roman" w:cs="Times New Roman"/>
        </w:rPr>
      </w:pPr>
      <w:r w:rsidRPr="00A55E30">
        <w:rPr>
          <w:rFonts w:ascii="Times New Roman" w:eastAsia="Times New Roman" w:hAnsi="Times New Roman" w:cs="Times New Roman"/>
        </w:rPr>
        <w:t>Nėra nurodoma į kokiu</w:t>
      </w:r>
      <w:r w:rsidRPr="00A55E30">
        <w:rPr>
          <w:rFonts w:ascii="Times New Roman" w:eastAsia="Times New Roman" w:hAnsi="Times New Roman" w:cs="Times New Roman"/>
          <w:color w:val="000000"/>
        </w:rPr>
        <w:t>s</w:t>
      </w:r>
      <w:r w:rsidRPr="00A55E30">
        <w:rPr>
          <w:rFonts w:ascii="Times New Roman" w:eastAsia="Times New Roman" w:hAnsi="Times New Roman" w:cs="Times New Roman"/>
        </w:rPr>
        <w:t xml:space="preserve"> konkrečiai laminavimo plėvelės parametrus atkreipti dėmesį, jei siūlyti „lygiavertės ar geresnių parametrų produktą“?</w:t>
      </w:r>
    </w:p>
    <w:p w14:paraId="3F51AD50" w14:textId="77777777" w:rsidR="00A55E30" w:rsidRPr="00A55E30" w:rsidRDefault="00A55E30" w:rsidP="00A55E30">
      <w:pPr>
        <w:pStyle w:val="ListParagraph"/>
        <w:numPr>
          <w:ilvl w:val="0"/>
          <w:numId w:val="2"/>
        </w:numPr>
        <w:rPr>
          <w:rFonts w:ascii="Times New Roman" w:eastAsia="Times New Roman" w:hAnsi="Times New Roman" w:cs="Times New Roman"/>
        </w:rPr>
      </w:pPr>
      <w:r w:rsidRPr="00A55E30">
        <w:rPr>
          <w:rFonts w:ascii="Times New Roman" w:eastAsia="Times New Roman" w:hAnsi="Times New Roman" w:cs="Times New Roman"/>
        </w:rPr>
        <w:t>Dauguma gamintojų nesuteikia informacijos apie savo produkcijoje naudojamą laminavimo plėvelę, nes tai yra komercinė paslaptis.</w:t>
      </w:r>
    </w:p>
    <w:p w14:paraId="3B72B273" w14:textId="77777777" w:rsidR="00A55E30" w:rsidRPr="00A55E30" w:rsidRDefault="00A55E30" w:rsidP="00A55E30">
      <w:pPr>
        <w:pStyle w:val="ListParagraph"/>
        <w:numPr>
          <w:ilvl w:val="0"/>
          <w:numId w:val="2"/>
        </w:numPr>
        <w:rPr>
          <w:rFonts w:ascii="Times New Roman" w:eastAsia="Times New Roman" w:hAnsi="Times New Roman" w:cs="Times New Roman"/>
        </w:rPr>
      </w:pPr>
      <w:r w:rsidRPr="00A55E30">
        <w:rPr>
          <w:rFonts w:ascii="Times New Roman" w:eastAsia="Times New Roman" w:hAnsi="Times New Roman" w:cs="Times New Roman"/>
        </w:rPr>
        <w:t xml:space="preserve">Įvedus į paiešką tekstą „laminavimo plėvelė POE“ pirmieji ir vieninteliai su saulės elementais susiję rezultatai yra gamintojo bei saulės elektrinių rangovo „Solitek“ pateikiama marketinginė informacija, tad darome prielaidą, kad šis parametras pritaikytas būtent šio gamintojo produkcijai. </w:t>
      </w:r>
    </w:p>
    <w:p w14:paraId="3A34BE32" w14:textId="6AA6837A" w:rsidR="00A55E30" w:rsidRPr="00A55E30" w:rsidRDefault="00A55E30" w:rsidP="00A55E30">
      <w:pPr>
        <w:rPr>
          <w:rFonts w:ascii="Times New Roman" w:hAnsi="Times New Roman" w:cs="Times New Roman"/>
        </w:rPr>
      </w:pPr>
      <w:r w:rsidRPr="00A55E30">
        <w:rPr>
          <w:rFonts w:ascii="Times New Roman" w:hAnsi="Times New Roman" w:cs="Times New Roman"/>
          <w:noProof/>
        </w:rPr>
        <w:drawing>
          <wp:inline distT="0" distB="0" distL="0" distR="0" wp14:anchorId="7E425660" wp14:editId="707736B4">
            <wp:extent cx="3897750" cy="18383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906704" cy="1842548"/>
                    </a:xfrm>
                    <a:prstGeom prst="rect">
                      <a:avLst/>
                    </a:prstGeom>
                    <a:noFill/>
                    <a:ln>
                      <a:noFill/>
                    </a:ln>
                  </pic:spPr>
                </pic:pic>
              </a:graphicData>
            </a:graphic>
          </wp:inline>
        </w:drawing>
      </w:r>
    </w:p>
    <w:p w14:paraId="14714488" w14:textId="77777777" w:rsidR="00A55E30" w:rsidRPr="00A55E30" w:rsidRDefault="00A55E30" w:rsidP="00A55E30">
      <w:pPr>
        <w:rPr>
          <w:rFonts w:ascii="Times New Roman" w:hAnsi="Times New Roman" w:cs="Times New Roman"/>
        </w:rPr>
      </w:pPr>
    </w:p>
    <w:p w14:paraId="585ECA01" w14:textId="77777777" w:rsidR="00A55E30" w:rsidRPr="00A55E30" w:rsidRDefault="00A55E30" w:rsidP="00A55E30">
      <w:pPr>
        <w:rPr>
          <w:rFonts w:ascii="Times New Roman" w:hAnsi="Times New Roman" w:cs="Times New Roman"/>
        </w:rPr>
      </w:pPr>
      <w:r w:rsidRPr="00A55E30">
        <w:rPr>
          <w:rFonts w:ascii="Times New Roman" w:hAnsi="Times New Roman" w:cs="Times New Roman"/>
        </w:rPr>
        <w:t>Apibendrinant aukščiau surašytus faktus, manome, kad šis reikalavimas viešajame pirkime riboja tiekėjų konkurenciją ir yra nesąžiningas. Reikalaujame pašalinti šį kriterijų iš pirkimo sąlygų.</w:t>
      </w:r>
    </w:p>
    <w:p w14:paraId="2F5BC595" w14:textId="77777777" w:rsidR="00A55E30" w:rsidRPr="00A55E30" w:rsidRDefault="00A55E30" w:rsidP="00A55E30">
      <w:pPr>
        <w:pStyle w:val="NormalWeb"/>
        <w:rPr>
          <w:rFonts w:ascii="Times New Roman" w:hAnsi="Times New Roman" w:cs="Times New Roman"/>
          <w:b/>
          <w:bCs/>
          <w:u w:val="single"/>
        </w:rPr>
      </w:pPr>
      <w:r w:rsidRPr="00A55E30">
        <w:rPr>
          <w:rFonts w:ascii="Times New Roman" w:hAnsi="Times New Roman" w:cs="Times New Roman"/>
          <w:b/>
          <w:bCs/>
          <w:u w:val="single"/>
        </w:rPr>
        <w:t xml:space="preserve">1 </w:t>
      </w:r>
      <w:r w:rsidRPr="00A55E30">
        <w:rPr>
          <w:rFonts w:ascii="Times New Roman" w:hAnsi="Times New Roman" w:cs="Times New Roman"/>
          <w:b/>
          <w:bCs/>
          <w:u w:val="single"/>
        </w:rPr>
        <w:t>atsakym</w:t>
      </w:r>
      <w:r w:rsidRPr="00A55E30">
        <w:rPr>
          <w:rFonts w:ascii="Times New Roman" w:hAnsi="Times New Roman" w:cs="Times New Roman"/>
          <w:b/>
          <w:bCs/>
          <w:u w:val="single"/>
        </w:rPr>
        <w:t>as:</w:t>
      </w:r>
    </w:p>
    <w:p w14:paraId="13ED890D" w14:textId="125DB0FE" w:rsidR="00A55E30" w:rsidRPr="00A55E30" w:rsidRDefault="00A55E30" w:rsidP="00A55E30">
      <w:pPr>
        <w:pStyle w:val="NormalWeb"/>
        <w:jc w:val="both"/>
        <w:rPr>
          <w:rFonts w:ascii="Times New Roman" w:hAnsi="Times New Roman" w:cs="Times New Roman"/>
        </w:rPr>
      </w:pPr>
      <w:r w:rsidRPr="00A55E30">
        <w:rPr>
          <w:rFonts w:ascii="Times New Roman" w:hAnsi="Times New Roman" w:cs="Times New Roman"/>
        </w:rPr>
        <w:t xml:space="preserve">Patiksliname, kad  konkurso sąlygų techninėje specifikacijoje nėra keliamas reikalavimas modulių laminavimo plėvelei ar modulių perdirbimui, todėl tiekėjai turi teisę siūlyti produkciją ir neatitinkančią šių reikalavimų. Už šiuos kriterijus skiriami papildomi balai pasiūlymų ekonominio naudingumo vertinimo metu. </w:t>
      </w:r>
    </w:p>
    <w:p w14:paraId="55C77FAC" w14:textId="77777777" w:rsidR="00A55E30" w:rsidRPr="00A55E30" w:rsidRDefault="00A55E30" w:rsidP="00A55E30">
      <w:pPr>
        <w:pStyle w:val="NormalWeb"/>
        <w:jc w:val="both"/>
        <w:rPr>
          <w:rFonts w:ascii="Times New Roman" w:hAnsi="Times New Roman" w:cs="Times New Roman"/>
        </w:rPr>
      </w:pPr>
      <w:r w:rsidRPr="00A55E30">
        <w:rPr>
          <w:rFonts w:ascii="Times New Roman" w:hAnsi="Times New Roman" w:cs="Times New Roman"/>
        </w:rPr>
        <w:t xml:space="preserve">UAB “Padvaiskas ir KO” investuodama į naujus įrenginius visuomet ieško inovatyviausių sprendimų. Ne išimtis ir  „Atsinaujinantys energijos ištekliai pramonei LT+“ konkursas.  Skaitydami įvairius straipsnius užsienio žiniasklaidoje, vertindami mokslinę literatūrą pastebėjome, kad naujos kartos moduliai dengiami POE plėvele turi daug pranašumu lyginant su pvz. standartine  EVA  plėvele. </w:t>
      </w:r>
    </w:p>
    <w:p w14:paraId="6179DDC5" w14:textId="77777777" w:rsidR="00A55E30" w:rsidRPr="00A55E30" w:rsidRDefault="00A55E30" w:rsidP="00A55E30">
      <w:pPr>
        <w:pStyle w:val="NormalWeb"/>
        <w:jc w:val="both"/>
        <w:rPr>
          <w:rFonts w:ascii="Times New Roman" w:hAnsi="Times New Roman" w:cs="Times New Roman"/>
        </w:rPr>
      </w:pPr>
      <w:r w:rsidRPr="00A55E30">
        <w:rPr>
          <w:rFonts w:ascii="Times New Roman" w:hAnsi="Times New Roman" w:cs="Times New Roman"/>
        </w:rPr>
        <w:t>Kaip matysite žemiau pateiktuose nuorodose moduliai pagaminti naudojant POE plėvelę turi geresnę varžą tai yra sumažina srovės nuotėkį taip didindami modulių efektyvumą. Taip pat moduliai dengti šia plėvele yra atsparesne UV spinduliuotei, tad jų tarnavimo laikas ilgėja. Aprašytuose tyrimuose nurodoma, kad būtent šia plėvele dengti moduliai yra atsparesni išorės veiksniams t.y. vandeniui, purvui ir pan. Atkreipiame dėmesį, kad UAB „Padvaiskas ir KO“ įsikūrę užmiestyje, įmonės pastatus supa dirbama žemė, tad žiedadulkių ir kitokių dulkių sluoksnis yra didelis. Tyrimais įrodyta, kad POE plėvele dengtuose moduliuose nesusidaro acto rūgštis, ko pasėkoje moduliai tarnauja ilgiau.  </w:t>
      </w:r>
    </w:p>
    <w:p w14:paraId="1B3DCB2D" w14:textId="77777777" w:rsidR="00A55E30" w:rsidRPr="00A55E30" w:rsidRDefault="00A55E30" w:rsidP="00A55E30">
      <w:pPr>
        <w:pStyle w:val="NormalWeb"/>
        <w:jc w:val="both"/>
        <w:rPr>
          <w:rFonts w:ascii="Times New Roman" w:hAnsi="Times New Roman" w:cs="Times New Roman"/>
        </w:rPr>
      </w:pPr>
      <w:r w:rsidRPr="00A55E30">
        <w:rPr>
          <w:rFonts w:ascii="Times New Roman" w:hAnsi="Times New Roman" w:cs="Times New Roman"/>
        </w:rPr>
        <w:t>Pridedame nuorodas:</w:t>
      </w:r>
    </w:p>
    <w:p w14:paraId="2CA83373" w14:textId="77777777" w:rsidR="00A55E30" w:rsidRPr="00A55E30" w:rsidRDefault="00A55E30" w:rsidP="00A55E30">
      <w:pPr>
        <w:pStyle w:val="NormalWeb"/>
        <w:jc w:val="both"/>
        <w:rPr>
          <w:rFonts w:ascii="Times New Roman" w:hAnsi="Times New Roman" w:cs="Times New Roman"/>
        </w:rPr>
      </w:pPr>
      <w:hyperlink r:id="rId7" w:history="1">
        <w:r w:rsidRPr="00A55E30">
          <w:rPr>
            <w:rStyle w:val="Hyperlink"/>
            <w:rFonts w:ascii="Times New Roman" w:hAnsi="Times New Roman" w:cs="Times New Roman"/>
          </w:rPr>
          <w:t>https://www.pv-tech.org/material-choice-matters-for-durable-high-efficiency-pv-modules/</w:t>
        </w:r>
      </w:hyperlink>
    </w:p>
    <w:p w14:paraId="4BCA7BCC" w14:textId="77777777" w:rsidR="00A55E30" w:rsidRPr="00A55E30" w:rsidRDefault="00A55E30" w:rsidP="00A55E30">
      <w:pPr>
        <w:pStyle w:val="NormalWeb"/>
        <w:jc w:val="both"/>
        <w:rPr>
          <w:rFonts w:ascii="Times New Roman" w:hAnsi="Times New Roman" w:cs="Times New Roman"/>
        </w:rPr>
      </w:pPr>
      <w:hyperlink r:id="rId8" w:history="1">
        <w:r w:rsidRPr="00A55E30">
          <w:rPr>
            <w:rStyle w:val="Hyperlink"/>
            <w:rFonts w:ascii="Times New Roman" w:hAnsi="Times New Roman" w:cs="Times New Roman"/>
          </w:rPr>
          <w:t>https://www.researchgate.net/publication/315899911_Outdoor_Testing_and_Degradation_of_EVA_and_POE_Encapsulated_Photovoltaic_Modules</w:t>
        </w:r>
      </w:hyperlink>
    </w:p>
    <w:p w14:paraId="31FC23B7" w14:textId="77777777" w:rsidR="00A55E30" w:rsidRPr="00A55E30" w:rsidRDefault="00A55E30" w:rsidP="00A55E30">
      <w:pPr>
        <w:pStyle w:val="NormalWeb"/>
        <w:jc w:val="both"/>
        <w:rPr>
          <w:rFonts w:ascii="Times New Roman" w:hAnsi="Times New Roman" w:cs="Times New Roman"/>
        </w:rPr>
      </w:pPr>
      <w:hyperlink r:id="rId9" w:history="1">
        <w:r w:rsidRPr="00A55E30">
          <w:rPr>
            <w:rStyle w:val="Hyperlink"/>
            <w:rFonts w:ascii="Times New Roman" w:hAnsi="Times New Roman" w:cs="Times New Roman"/>
          </w:rPr>
          <w:t>http://cdn.pes.eu.com/v/20160826/wp-content/uploads/2017/09/PES-S-2-17-Howe-Marketing-Talking-Point-4-1.pdf</w:t>
        </w:r>
      </w:hyperlink>
    </w:p>
    <w:p w14:paraId="30F2FED2" w14:textId="77777777" w:rsidR="00A55E30" w:rsidRPr="00A55E30" w:rsidRDefault="00A55E30" w:rsidP="00A55E30">
      <w:pPr>
        <w:pStyle w:val="NormalWeb"/>
        <w:jc w:val="both"/>
        <w:rPr>
          <w:rFonts w:ascii="Times New Roman" w:hAnsi="Times New Roman" w:cs="Times New Roman"/>
        </w:rPr>
      </w:pPr>
      <w:r w:rsidRPr="00A55E30">
        <w:rPr>
          <w:rFonts w:ascii="Times New Roman" w:hAnsi="Times New Roman" w:cs="Times New Roman"/>
        </w:rPr>
        <w:t>Atsakome, kad POE  pirkimo dokumentuose žymi polimero poliolefino monomerą.</w:t>
      </w:r>
    </w:p>
    <w:p w14:paraId="752681DF" w14:textId="77777777" w:rsidR="00A55E30" w:rsidRPr="00A55E30" w:rsidRDefault="00A55E30" w:rsidP="00A55E30">
      <w:pPr>
        <w:pStyle w:val="NormalWeb"/>
        <w:jc w:val="both"/>
        <w:rPr>
          <w:rFonts w:ascii="Times New Roman" w:hAnsi="Times New Roman" w:cs="Times New Roman"/>
        </w:rPr>
      </w:pPr>
      <w:r w:rsidRPr="00A55E30">
        <w:rPr>
          <w:rFonts w:ascii="Times New Roman" w:hAnsi="Times New Roman" w:cs="Times New Roman"/>
        </w:rPr>
        <w:t>Atskiri kriterijai modulių laminavimo plėvelei nėra taikomi, todėl nėra reikalinga išskirti konkrečias medžiagų savybes, dauguma gamintojų šią informaciją pateikia viešai.</w:t>
      </w:r>
    </w:p>
    <w:p w14:paraId="61514211" w14:textId="77777777" w:rsidR="00A55E30" w:rsidRPr="00A55E30" w:rsidRDefault="00A55E30" w:rsidP="00A55E30">
      <w:pPr>
        <w:pStyle w:val="NormalWeb"/>
        <w:jc w:val="both"/>
        <w:rPr>
          <w:rFonts w:ascii="Times New Roman" w:hAnsi="Times New Roman" w:cs="Times New Roman"/>
        </w:rPr>
      </w:pPr>
      <w:r w:rsidRPr="00A55E30">
        <w:rPr>
          <w:rFonts w:ascii="Times New Roman" w:hAnsi="Times New Roman" w:cs="Times New Roman"/>
        </w:rPr>
        <w:t>Šis ekonominio vertinimo kriterijus už kurį gali būti skiriami papildomi balai neriboja konkurencijos  ir nepažeidžia lygiateisiškumo principo, o atspindi įmonės poreikį įsigyti ekonomiškai naudingiausią įrangos variantą.</w:t>
      </w:r>
    </w:p>
    <w:p w14:paraId="63B72503" w14:textId="05DCF474" w:rsidR="00A55E30" w:rsidRPr="00A55E30" w:rsidRDefault="00A55E30" w:rsidP="00A55E30">
      <w:pPr>
        <w:pStyle w:val="NormalWeb"/>
        <w:rPr>
          <w:rFonts w:ascii="Times New Roman" w:hAnsi="Times New Roman" w:cs="Times New Roman"/>
          <w:b/>
          <w:bCs/>
          <w:u w:val="single"/>
        </w:rPr>
      </w:pPr>
      <w:r w:rsidRPr="00A55E30">
        <w:rPr>
          <w:rFonts w:ascii="Times New Roman" w:hAnsi="Times New Roman" w:cs="Times New Roman"/>
          <w:b/>
          <w:bCs/>
          <w:u w:val="single"/>
        </w:rPr>
        <w:t>2</w:t>
      </w:r>
      <w:r w:rsidRPr="00A55E30">
        <w:rPr>
          <w:rFonts w:ascii="Times New Roman" w:hAnsi="Times New Roman" w:cs="Times New Roman"/>
          <w:b/>
          <w:bCs/>
          <w:u w:val="single"/>
        </w:rPr>
        <w:t xml:space="preserve"> klausimas:</w:t>
      </w:r>
    </w:p>
    <w:p w14:paraId="723EB1C5" w14:textId="18182797" w:rsidR="00A55E30" w:rsidRPr="00A55E30" w:rsidRDefault="00A55E30" w:rsidP="00A55E30">
      <w:pPr>
        <w:jc w:val="both"/>
        <w:rPr>
          <w:rFonts w:ascii="Times New Roman" w:eastAsia="Times New Roman" w:hAnsi="Times New Roman" w:cs="Times New Roman"/>
          <w:b/>
          <w:bCs/>
        </w:rPr>
      </w:pPr>
      <w:r w:rsidRPr="00A55E30">
        <w:rPr>
          <w:rFonts w:ascii="Times New Roman" w:eastAsia="Times New Roman" w:hAnsi="Times New Roman" w:cs="Times New Roman"/>
          <w:b/>
          <w:bCs/>
        </w:rPr>
        <w:t>Modulių perdirbimas nuo 95%</w:t>
      </w:r>
      <w:r w:rsidRPr="00A55E30">
        <w:rPr>
          <w:rFonts w:ascii="Times New Roman" w:eastAsia="Times New Roman" w:hAnsi="Times New Roman" w:cs="Times New Roman"/>
          <w:b/>
          <w:bCs/>
        </w:rPr>
        <w:t xml:space="preserve">. </w:t>
      </w:r>
      <w:r w:rsidRPr="00A55E30">
        <w:rPr>
          <w:rFonts w:ascii="Times New Roman" w:hAnsi="Times New Roman" w:cs="Times New Roman"/>
        </w:rPr>
        <w:t>Taip pat atkreip</w:t>
      </w:r>
      <w:r w:rsidRPr="00A55E30">
        <w:rPr>
          <w:rFonts w:ascii="Times New Roman" w:hAnsi="Times New Roman" w:cs="Times New Roman"/>
          <w:color w:val="000000"/>
        </w:rPr>
        <w:t>ia</w:t>
      </w:r>
      <w:r w:rsidRPr="00A55E30">
        <w:rPr>
          <w:rFonts w:ascii="Times New Roman" w:hAnsi="Times New Roman" w:cs="Times New Roman"/>
        </w:rPr>
        <w:t>me dėmesį ir į reikalavimą modulių perdirbimui nuo 95%, už kurį skiriama taip pat 7 balai. Šis kriterijus taip pat netikslus ir galimai riboja konkurenciją tiekėjų atžvilgiu:</w:t>
      </w:r>
    </w:p>
    <w:p w14:paraId="6A36D264" w14:textId="77777777" w:rsidR="00A55E30" w:rsidRPr="00A55E30" w:rsidRDefault="00A55E30" w:rsidP="00A55E30">
      <w:pPr>
        <w:rPr>
          <w:rFonts w:ascii="Times New Roman" w:hAnsi="Times New Roman" w:cs="Times New Roman"/>
        </w:rPr>
      </w:pPr>
    </w:p>
    <w:p w14:paraId="54324209" w14:textId="77777777" w:rsidR="00A55E30" w:rsidRPr="00A55E30" w:rsidRDefault="00A55E30" w:rsidP="00A55E30">
      <w:pPr>
        <w:pStyle w:val="ListParagraph"/>
        <w:numPr>
          <w:ilvl w:val="0"/>
          <w:numId w:val="4"/>
        </w:numPr>
        <w:rPr>
          <w:rFonts w:ascii="Times New Roman" w:eastAsia="Times New Roman" w:hAnsi="Times New Roman" w:cs="Times New Roman"/>
        </w:rPr>
      </w:pPr>
      <w:r w:rsidRPr="00A55E30">
        <w:rPr>
          <w:rFonts w:ascii="Times New Roman" w:eastAsia="Times New Roman" w:hAnsi="Times New Roman" w:cs="Times New Roman"/>
        </w:rPr>
        <w:t>Pirkimo sąlygose nėra apibrėžta po kiek metų arba po kiek laiko, modulių perdirbimas turi būti nuo 95%.</w:t>
      </w:r>
    </w:p>
    <w:p w14:paraId="271C28D7" w14:textId="77777777" w:rsidR="00A55E30" w:rsidRPr="00A55E30" w:rsidRDefault="00A55E30" w:rsidP="00A55E30">
      <w:pPr>
        <w:pStyle w:val="ListParagraph"/>
        <w:numPr>
          <w:ilvl w:val="0"/>
          <w:numId w:val="4"/>
        </w:numPr>
        <w:rPr>
          <w:rFonts w:ascii="Times New Roman" w:eastAsia="Times New Roman" w:hAnsi="Times New Roman" w:cs="Times New Roman"/>
        </w:rPr>
      </w:pPr>
      <w:r w:rsidRPr="00A55E30">
        <w:rPr>
          <w:rFonts w:ascii="Times New Roman" w:eastAsia="Times New Roman" w:hAnsi="Times New Roman" w:cs="Times New Roman"/>
        </w:rPr>
        <w:t xml:space="preserve">Neaprašyta ar nurodyta reikšmė turi galioti būtent Lietuvoje? Mūsų žiniomis Lietuvoje įmonės </w:t>
      </w:r>
      <w:r w:rsidRPr="00A55E30">
        <w:rPr>
          <w:rFonts w:ascii="Times New Roman" w:eastAsia="Times New Roman" w:hAnsi="Times New Roman" w:cs="Times New Roman"/>
          <w:color w:val="000000"/>
        </w:rPr>
        <w:t xml:space="preserve">modulių </w:t>
      </w:r>
      <w:r w:rsidRPr="00A55E30">
        <w:rPr>
          <w:rFonts w:ascii="Times New Roman" w:eastAsia="Times New Roman" w:hAnsi="Times New Roman" w:cs="Times New Roman"/>
        </w:rPr>
        <w:t xml:space="preserve">perdirbimu </w:t>
      </w:r>
      <w:r w:rsidRPr="00A55E30">
        <w:rPr>
          <w:rFonts w:ascii="Times New Roman" w:eastAsia="Times New Roman" w:hAnsi="Times New Roman" w:cs="Times New Roman"/>
          <w:color w:val="000000"/>
        </w:rPr>
        <w:t xml:space="preserve">neužsiima. </w:t>
      </w:r>
      <w:r w:rsidRPr="00A55E30">
        <w:rPr>
          <w:rFonts w:ascii="Times New Roman" w:eastAsia="Times New Roman" w:hAnsi="Times New Roman" w:cs="Times New Roman"/>
        </w:rPr>
        <w:t>Lietuvoje veikiantys perdirbėjai modulius priima tik utilizacijai.</w:t>
      </w:r>
    </w:p>
    <w:p w14:paraId="7E578436" w14:textId="77777777" w:rsidR="00A55E30" w:rsidRPr="00A55E30" w:rsidRDefault="00A55E30" w:rsidP="00A55E30">
      <w:pPr>
        <w:pStyle w:val="ListParagraph"/>
        <w:numPr>
          <w:ilvl w:val="0"/>
          <w:numId w:val="4"/>
        </w:numPr>
        <w:rPr>
          <w:rFonts w:ascii="Times New Roman" w:eastAsia="Times New Roman" w:hAnsi="Times New Roman" w:cs="Times New Roman"/>
        </w:rPr>
      </w:pPr>
      <w:r w:rsidRPr="00A55E30">
        <w:rPr>
          <w:rFonts w:ascii="Times New Roman" w:eastAsia="Times New Roman" w:hAnsi="Times New Roman" w:cs="Times New Roman"/>
        </w:rPr>
        <w:t>Pirkimo sąlygose nėra aprašyta kaip pagrįst modulių perdirbimo reikalavimą.</w:t>
      </w:r>
    </w:p>
    <w:p w14:paraId="7E781016" w14:textId="77777777" w:rsidR="00A55E30" w:rsidRPr="00A55E30" w:rsidRDefault="00A55E30" w:rsidP="00A55E30">
      <w:pPr>
        <w:pStyle w:val="ListParagraph"/>
        <w:numPr>
          <w:ilvl w:val="0"/>
          <w:numId w:val="4"/>
        </w:numPr>
        <w:rPr>
          <w:rFonts w:ascii="Times New Roman" w:eastAsia="Times New Roman" w:hAnsi="Times New Roman" w:cs="Times New Roman"/>
        </w:rPr>
      </w:pPr>
      <w:r w:rsidRPr="00A55E30">
        <w:rPr>
          <w:rFonts w:ascii="Times New Roman" w:eastAsia="Times New Roman" w:hAnsi="Times New Roman" w:cs="Times New Roman"/>
        </w:rPr>
        <w:t xml:space="preserve">Kaip nebūtų keista, </w:t>
      </w:r>
      <w:r w:rsidRPr="00A55E30">
        <w:rPr>
          <w:rFonts w:ascii="Times New Roman" w:eastAsia="Times New Roman" w:hAnsi="Times New Roman" w:cs="Times New Roman"/>
          <w:color w:val="000000"/>
        </w:rPr>
        <w:t xml:space="preserve">tačiau </w:t>
      </w:r>
      <w:r w:rsidRPr="00A55E30">
        <w:rPr>
          <w:rFonts w:ascii="Times New Roman" w:eastAsia="Times New Roman" w:hAnsi="Times New Roman" w:cs="Times New Roman"/>
        </w:rPr>
        <w:t>internete pasidomėjus apie modulių perdirbimą, buvo rasta vienintelė informacij</w:t>
      </w:r>
      <w:r w:rsidRPr="00A55E30">
        <w:rPr>
          <w:rFonts w:ascii="Times New Roman" w:eastAsia="Times New Roman" w:hAnsi="Times New Roman" w:cs="Times New Roman"/>
          <w:color w:val="000000"/>
        </w:rPr>
        <w:t>a</w:t>
      </w:r>
      <w:r w:rsidRPr="00A55E30">
        <w:rPr>
          <w:rFonts w:ascii="Times New Roman" w:eastAsia="Times New Roman" w:hAnsi="Times New Roman" w:cs="Times New Roman"/>
        </w:rPr>
        <w:t xml:space="preserve"> apie prieš tai jau minėtą gamintoją bei saulės elektrinių rangovą. </w:t>
      </w:r>
    </w:p>
    <w:p w14:paraId="5F0E2196" w14:textId="77777777" w:rsidR="00A55E30" w:rsidRPr="00A55E30" w:rsidRDefault="00A55E30" w:rsidP="00A55E30">
      <w:pPr>
        <w:rPr>
          <w:rFonts w:ascii="Times New Roman" w:hAnsi="Times New Roman" w:cs="Times New Roman"/>
        </w:rPr>
      </w:pPr>
    </w:p>
    <w:p w14:paraId="3C2B729A" w14:textId="012104E7" w:rsidR="00A55E30" w:rsidRPr="00A55E30" w:rsidRDefault="00A55E30" w:rsidP="00A55E30">
      <w:pPr>
        <w:rPr>
          <w:rFonts w:ascii="Times New Roman" w:hAnsi="Times New Roman" w:cs="Times New Roman"/>
        </w:rPr>
      </w:pPr>
      <w:r w:rsidRPr="00A55E30">
        <w:rPr>
          <w:rFonts w:ascii="Times New Roman" w:hAnsi="Times New Roman" w:cs="Times New Roman"/>
          <w:noProof/>
        </w:rPr>
        <w:drawing>
          <wp:inline distT="0" distB="0" distL="0" distR="0" wp14:anchorId="51F8A340" wp14:editId="5E29E198">
            <wp:extent cx="3267075" cy="20251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97798" cy="2044226"/>
                    </a:xfrm>
                    <a:prstGeom prst="rect">
                      <a:avLst/>
                    </a:prstGeom>
                    <a:noFill/>
                    <a:ln>
                      <a:noFill/>
                    </a:ln>
                  </pic:spPr>
                </pic:pic>
              </a:graphicData>
            </a:graphic>
          </wp:inline>
        </w:drawing>
      </w:r>
    </w:p>
    <w:p w14:paraId="69D84221" w14:textId="77777777" w:rsidR="00A55E30" w:rsidRPr="00A55E30" w:rsidRDefault="00A55E30" w:rsidP="00A55E30">
      <w:pPr>
        <w:rPr>
          <w:rFonts w:ascii="Times New Roman" w:hAnsi="Times New Roman" w:cs="Times New Roman"/>
        </w:rPr>
      </w:pPr>
    </w:p>
    <w:p w14:paraId="286DD111" w14:textId="77777777" w:rsidR="00A55E30" w:rsidRPr="00A55E30" w:rsidRDefault="00A55E30" w:rsidP="00A55E30">
      <w:pPr>
        <w:rPr>
          <w:rFonts w:ascii="Times New Roman" w:hAnsi="Times New Roman" w:cs="Times New Roman"/>
        </w:rPr>
      </w:pPr>
      <w:r w:rsidRPr="00A55E30">
        <w:rPr>
          <w:rFonts w:ascii="Times New Roman" w:hAnsi="Times New Roman" w:cs="Times New Roman"/>
        </w:rPr>
        <w:t xml:space="preserve">Apibendrinant aukščiau surašytus faktus, manome, kad šis reikalavimas viešajame pirkime riboja tiekėjų konkurenciją ir yra nesąžiningas. Reikalaujame pašalinti šį kriterijų iš pirkimo sąlygų. </w:t>
      </w:r>
      <w:r w:rsidRPr="00A55E30">
        <w:rPr>
          <w:rFonts w:ascii="Times New Roman" w:hAnsi="Times New Roman" w:cs="Times New Roman"/>
          <w:color w:val="000000"/>
        </w:rPr>
        <w:t>Viešieji konkursai turi skatinti tiekėjus dalyvauti pirkimuose lygiomis teisėmis, taip pat konkurso vykdytojas turėtų konkursą vykdyti remdamasis sąžiningumo ir lygiateisiškumo principu siekdamas kuo efektyviau įsisavinti skiriamas paramos lėšas.</w:t>
      </w:r>
    </w:p>
    <w:p w14:paraId="33904B68" w14:textId="03FD9AE2" w:rsidR="00A55E30" w:rsidRPr="00A55E30" w:rsidRDefault="00A55E30" w:rsidP="00A55E30">
      <w:pPr>
        <w:pStyle w:val="NormalWeb"/>
        <w:rPr>
          <w:rFonts w:ascii="Times New Roman" w:hAnsi="Times New Roman" w:cs="Times New Roman"/>
          <w:b/>
          <w:bCs/>
          <w:u w:val="single"/>
        </w:rPr>
      </w:pPr>
      <w:r w:rsidRPr="00A55E30">
        <w:rPr>
          <w:rFonts w:ascii="Times New Roman" w:hAnsi="Times New Roman" w:cs="Times New Roman"/>
          <w:b/>
          <w:bCs/>
          <w:u w:val="single"/>
        </w:rPr>
        <w:t xml:space="preserve">2 </w:t>
      </w:r>
      <w:r w:rsidRPr="00A55E30">
        <w:rPr>
          <w:rFonts w:ascii="Times New Roman" w:hAnsi="Times New Roman" w:cs="Times New Roman"/>
          <w:b/>
          <w:bCs/>
          <w:u w:val="single"/>
        </w:rPr>
        <w:t>atsakym</w:t>
      </w:r>
      <w:r w:rsidRPr="00A55E30">
        <w:rPr>
          <w:rFonts w:ascii="Times New Roman" w:hAnsi="Times New Roman" w:cs="Times New Roman"/>
          <w:b/>
          <w:bCs/>
          <w:u w:val="single"/>
        </w:rPr>
        <w:t>as:</w:t>
      </w:r>
    </w:p>
    <w:p w14:paraId="4651D3AE" w14:textId="4E511159" w:rsidR="008E6C76" w:rsidRPr="00A55E30" w:rsidRDefault="008E6C76" w:rsidP="008E6C76">
      <w:pPr>
        <w:pStyle w:val="NormalWeb"/>
        <w:jc w:val="both"/>
        <w:rPr>
          <w:rFonts w:ascii="Times New Roman" w:hAnsi="Times New Roman" w:cs="Times New Roman"/>
        </w:rPr>
      </w:pPr>
      <w:r w:rsidRPr="00A55E30">
        <w:rPr>
          <w:rFonts w:ascii="Times New Roman" w:hAnsi="Times New Roman" w:cs="Times New Roman"/>
        </w:rPr>
        <w:lastRenderedPageBreak/>
        <w:t xml:space="preserve">UAB „Padvaiskas ir KO“ yra įgyvendinusi „Eco inovacijos LT+“ ir kt. projektus, t.y. visuomet renkasi ekologiškus sprendimus, taip prisidėdami prie aplinkos apsaugos. Norime išskirti įrangą, kurią įsigijome neseniai įgyvendintu projektu : porolono perdirbimo mašina. Įrenginys  perdirba visą įmonėje turimą poroloną – to pasėkoje prisidedame prie aplinkos apsaugos, ir kuriame dvipusę vertę įmonei : ne tik mažiname gamybines sąnaudos, bet ir skatiname kitas įmones elgtis atsakingai. Šiuo metu porolono atliekas surenkame ir iš kitų įmonių. Taip, pat UAB „Padvaiskas ir KO“ ir dabar dalyvauja „Pramonės skaitmeninimas LT“ projekte, kuriame numatytas dar vienas įrenginys galėsiantis perdirbti visas turimas tekstilės atliekas. Kurios kaip žinia, yra didelė našta Lietuvos Respublikai. Negana to,  įmonėje įdiegta sistema, smulkinanti medžio drožlių plokštės bei medienos atliekas, jas filtruojant gaminami briketai, naudojami šildymui. </w:t>
      </w:r>
    </w:p>
    <w:p w14:paraId="521ACF54" w14:textId="70C89E56" w:rsidR="008E6C76" w:rsidRPr="00A55E30" w:rsidRDefault="008E6C76" w:rsidP="008E6C76">
      <w:pPr>
        <w:pStyle w:val="NormalWeb"/>
        <w:jc w:val="both"/>
        <w:rPr>
          <w:rFonts w:ascii="Times New Roman" w:hAnsi="Times New Roman" w:cs="Times New Roman"/>
        </w:rPr>
      </w:pPr>
      <w:r w:rsidRPr="00A55E30">
        <w:rPr>
          <w:rFonts w:ascii="Times New Roman" w:hAnsi="Times New Roman" w:cs="Times New Roman"/>
        </w:rPr>
        <w:t>Visos atliktos investicijos pastaraisiais metais tik pabrėžia mūsų atsakingą požiūrį į gamtą, bei norą naudoti tvarius produktus. Mūsų, kaip įmonės teisė yra skirti papildomą dėmesį įrangai už inovatyvias savybes aplinkos apsaugos atžvilgiu. Šis ekonominio vertinimo kriterijus už kurį gali būti skiriami papildomi balai neriboja konkurencijos  ir nepažeidžia lygiateisiškumo principo, o atspindi įmonės poreikį įsigyti naudingiausią įrangos variantą.</w:t>
      </w:r>
    </w:p>
    <w:p w14:paraId="60941F62" w14:textId="5CDFF2EB" w:rsidR="008E6C76" w:rsidRPr="00A55E30" w:rsidRDefault="008E6C76" w:rsidP="008E6C76">
      <w:pPr>
        <w:pStyle w:val="NormalWeb"/>
        <w:jc w:val="both"/>
        <w:rPr>
          <w:rFonts w:ascii="Times New Roman" w:hAnsi="Times New Roman" w:cs="Times New Roman"/>
        </w:rPr>
      </w:pPr>
      <w:r w:rsidRPr="00A55E30">
        <w:rPr>
          <w:rFonts w:ascii="Times New Roman" w:hAnsi="Times New Roman" w:cs="Times New Roman"/>
        </w:rPr>
        <w:t xml:space="preserve">Perdirbimas </w:t>
      </w:r>
      <w:r w:rsidR="001363DC" w:rsidRPr="00A55E30">
        <w:rPr>
          <w:rFonts w:ascii="Times New Roman" w:hAnsi="Times New Roman" w:cs="Times New Roman"/>
        </w:rPr>
        <w:t xml:space="preserve">bus aktualus po gyvavimo laikotarpio nepriklausomai nuo gamintojo suteikiamos gaminio garantijos. Perdirbimas </w:t>
      </w:r>
      <w:r w:rsidRPr="00A55E30">
        <w:rPr>
          <w:rFonts w:ascii="Times New Roman" w:hAnsi="Times New Roman" w:cs="Times New Roman"/>
        </w:rPr>
        <w:t xml:space="preserve">būtent Lietuvoje nėra būtinas. Kaip matysite žemiau pateiktoje nuorodoje, jau dabar tokios šalys kaip Ukraina, Vokietija ir kt. užsiima modulių perdirbimu , tikime, kad iki perkama įranga susidėvės  ją bus galima perdirbti ir Lietuvoje: </w:t>
      </w:r>
      <w:hyperlink r:id="rId12" w:history="1">
        <w:r w:rsidRPr="00A55E30">
          <w:rPr>
            <w:rStyle w:val="Hyperlink"/>
            <w:rFonts w:ascii="Times New Roman" w:hAnsi="Times New Roman" w:cs="Times New Roman"/>
          </w:rPr>
          <w:t>https://www.greenmatch.co.uk/blog/2017/10/the-opportunities-of-solar-panel-recycling</w:t>
        </w:r>
      </w:hyperlink>
    </w:p>
    <w:p w14:paraId="37707E23" w14:textId="6BC3D216" w:rsidR="006D6739" w:rsidRPr="00A55E30" w:rsidRDefault="001363DC" w:rsidP="006D6739">
      <w:pPr>
        <w:pStyle w:val="NormalWeb"/>
        <w:rPr>
          <w:rFonts w:ascii="Times New Roman" w:hAnsi="Times New Roman" w:cs="Times New Roman"/>
        </w:rPr>
      </w:pPr>
      <w:r w:rsidRPr="00A55E30">
        <w:rPr>
          <w:rFonts w:ascii="Times New Roman" w:hAnsi="Times New Roman" w:cs="Times New Roman"/>
        </w:rPr>
        <w:t xml:space="preserve">Atitikimą šiam kriterijui galima pagrįsti gamintojo sertifikatu ar deklaracija. </w:t>
      </w:r>
    </w:p>
    <w:p w14:paraId="56E3548C" w14:textId="6FBFAD4C" w:rsidR="00A55E30" w:rsidRPr="00A55E30" w:rsidRDefault="00A55E30" w:rsidP="006D6739">
      <w:pPr>
        <w:pStyle w:val="NormalWeb"/>
        <w:rPr>
          <w:rFonts w:ascii="Times New Roman" w:hAnsi="Times New Roman" w:cs="Times New Roman"/>
          <w:b/>
          <w:bCs/>
          <w:u w:val="single"/>
        </w:rPr>
      </w:pPr>
      <w:r w:rsidRPr="00A55E30">
        <w:rPr>
          <w:rFonts w:ascii="Times New Roman" w:hAnsi="Times New Roman" w:cs="Times New Roman"/>
          <w:b/>
          <w:bCs/>
          <w:u w:val="single"/>
        </w:rPr>
        <w:t xml:space="preserve">3 klausimas: </w:t>
      </w:r>
    </w:p>
    <w:p w14:paraId="1EFC4051" w14:textId="77777777" w:rsidR="00A55E30" w:rsidRPr="00A55E30" w:rsidRDefault="00A55E30" w:rsidP="00A55E30">
      <w:pPr>
        <w:rPr>
          <w:rFonts w:ascii="Times New Roman" w:hAnsi="Times New Roman" w:cs="Times New Roman"/>
        </w:rPr>
      </w:pPr>
      <w:r w:rsidRPr="00A55E30">
        <w:rPr>
          <w:rFonts w:ascii="Times New Roman" w:hAnsi="Times New Roman" w:cs="Times New Roman"/>
        </w:rPr>
        <w:t>Papildomai reikalingas Jūsų patikslinimas dėl fotovoltinių modulių efektyvumo parametrų 3 punkto „Fotoelektrinių modulių gamintojo garantija“. Ar šiame punkte yra kalbama apie efektyvumo garantiją ar apie modulių gamintojo techninę garantiją ?</w:t>
      </w:r>
    </w:p>
    <w:p w14:paraId="4E3C224A" w14:textId="122A9C56" w:rsidR="00A55E30" w:rsidRPr="00A55E30" w:rsidRDefault="00A55E30" w:rsidP="00A55E30">
      <w:pPr>
        <w:rPr>
          <w:rFonts w:ascii="Times New Roman" w:hAnsi="Times New Roman" w:cs="Times New Roman"/>
        </w:rPr>
      </w:pPr>
    </w:p>
    <w:p w14:paraId="07BC4319" w14:textId="72EC6C23" w:rsidR="00A55E30" w:rsidRPr="00A55E30" w:rsidRDefault="00A55E30" w:rsidP="00A55E30">
      <w:pPr>
        <w:rPr>
          <w:rFonts w:ascii="Times New Roman" w:hAnsi="Times New Roman" w:cs="Times New Roman"/>
          <w:b/>
          <w:bCs/>
          <w:u w:val="single"/>
        </w:rPr>
      </w:pPr>
      <w:r w:rsidRPr="00A55E30">
        <w:rPr>
          <w:rFonts w:ascii="Times New Roman" w:hAnsi="Times New Roman" w:cs="Times New Roman"/>
          <w:b/>
          <w:bCs/>
          <w:u w:val="single"/>
        </w:rPr>
        <w:t>3 atsakymas:</w:t>
      </w:r>
    </w:p>
    <w:p w14:paraId="5B35FBD7" w14:textId="77777777" w:rsidR="00A55E30" w:rsidRPr="00A55E30" w:rsidRDefault="00A55E30" w:rsidP="00A55E30">
      <w:pPr>
        <w:spacing w:after="160" w:line="254" w:lineRule="auto"/>
        <w:rPr>
          <w:rFonts w:ascii="Times New Roman" w:hAnsi="Times New Roman" w:cs="Times New Roman"/>
          <w:sz w:val="20"/>
          <w:szCs w:val="20"/>
        </w:rPr>
      </w:pPr>
    </w:p>
    <w:p w14:paraId="00EE604C" w14:textId="53F0E2B4" w:rsidR="00A55E30" w:rsidRPr="00A55E30" w:rsidRDefault="00A55E30" w:rsidP="00A55E30">
      <w:pPr>
        <w:spacing w:after="160" w:line="254" w:lineRule="auto"/>
        <w:rPr>
          <w:rFonts w:ascii="Times New Roman" w:hAnsi="Times New Roman" w:cs="Times New Roman"/>
        </w:rPr>
      </w:pPr>
      <w:r w:rsidRPr="00A55E30">
        <w:rPr>
          <w:rFonts w:ascii="Times New Roman" w:hAnsi="Times New Roman" w:cs="Times New Roman"/>
        </w:rPr>
        <w:t xml:space="preserve">Gamintojo produkto techninė garantija. </w:t>
      </w:r>
    </w:p>
    <w:p w14:paraId="72FD77EB" w14:textId="77777777" w:rsidR="00A55E30" w:rsidRPr="00A55E30" w:rsidRDefault="00A55E30" w:rsidP="00A55E30">
      <w:pPr>
        <w:rPr>
          <w:rFonts w:ascii="Times New Roman" w:hAnsi="Times New Roman" w:cs="Times New Roman"/>
        </w:rPr>
      </w:pPr>
    </w:p>
    <w:p w14:paraId="6AAFD417" w14:textId="7DB00D04" w:rsidR="00A55E30" w:rsidRPr="00A55E30" w:rsidRDefault="00A55E30" w:rsidP="00A55E30">
      <w:pPr>
        <w:rPr>
          <w:rFonts w:ascii="Times New Roman" w:hAnsi="Times New Roman" w:cs="Times New Roman"/>
          <w:b/>
          <w:bCs/>
          <w:u w:val="single"/>
        </w:rPr>
      </w:pPr>
      <w:r w:rsidRPr="00A55E30">
        <w:rPr>
          <w:rFonts w:ascii="Times New Roman" w:hAnsi="Times New Roman" w:cs="Times New Roman"/>
          <w:b/>
          <w:bCs/>
          <w:u w:val="single"/>
        </w:rPr>
        <w:t>4</w:t>
      </w:r>
      <w:r w:rsidRPr="00A55E30">
        <w:rPr>
          <w:rFonts w:ascii="Times New Roman" w:hAnsi="Times New Roman" w:cs="Times New Roman"/>
          <w:b/>
          <w:bCs/>
          <w:u w:val="single"/>
        </w:rPr>
        <w:t xml:space="preserve"> </w:t>
      </w:r>
      <w:r w:rsidRPr="00A55E30">
        <w:rPr>
          <w:rFonts w:ascii="Times New Roman" w:hAnsi="Times New Roman" w:cs="Times New Roman"/>
          <w:b/>
          <w:bCs/>
          <w:u w:val="single"/>
        </w:rPr>
        <w:t>klausim</w:t>
      </w:r>
      <w:r w:rsidRPr="00A55E30">
        <w:rPr>
          <w:rFonts w:ascii="Times New Roman" w:hAnsi="Times New Roman" w:cs="Times New Roman"/>
          <w:b/>
          <w:bCs/>
          <w:u w:val="single"/>
        </w:rPr>
        <w:t>as:</w:t>
      </w:r>
    </w:p>
    <w:p w14:paraId="65F05BCB" w14:textId="50FE7900" w:rsidR="00A55E30" w:rsidRPr="00A55E30" w:rsidRDefault="00A55E30" w:rsidP="00A55E30">
      <w:pPr>
        <w:rPr>
          <w:rFonts w:ascii="Times New Roman" w:hAnsi="Times New Roman" w:cs="Times New Roman"/>
          <w:b/>
          <w:bCs/>
          <w:u w:val="single"/>
        </w:rPr>
      </w:pPr>
    </w:p>
    <w:p w14:paraId="4BA9B057" w14:textId="77777777" w:rsidR="00A55E30" w:rsidRPr="00A55E30" w:rsidRDefault="00A55E30" w:rsidP="00A55E30">
      <w:pPr>
        <w:rPr>
          <w:rFonts w:ascii="Times New Roman" w:hAnsi="Times New Roman" w:cs="Times New Roman"/>
        </w:rPr>
      </w:pPr>
      <w:r w:rsidRPr="00A55E30">
        <w:rPr>
          <w:rFonts w:ascii="Times New Roman" w:hAnsi="Times New Roman" w:cs="Times New Roman"/>
        </w:rPr>
        <w:t>6.11.4  punkte nurodoma kaip skaičiuoti pagamintos energijos kainą. Numatyti tokius kriterijus kaip- išlaidos įrenginių keitimui per sistemos gyvavimo laikotarpį yra tiesiog neįmanoma, todėl apskaičiuoti tiksliai nėra galimybės. Kokie yra jūsų pasiūlymai apskaičiuoti pagamintos energijos kainą nežinant išlaidų įrenginių keitimui per sistemos gyvavimo laikotarpį?</w:t>
      </w:r>
    </w:p>
    <w:p w14:paraId="1FBC5514" w14:textId="77777777" w:rsidR="00A55E30" w:rsidRPr="00A55E30" w:rsidRDefault="00A55E30" w:rsidP="00A55E30">
      <w:pPr>
        <w:rPr>
          <w:rFonts w:ascii="Times New Roman" w:hAnsi="Times New Roman" w:cs="Times New Roman"/>
          <w:b/>
          <w:bCs/>
          <w:u w:val="single"/>
        </w:rPr>
      </w:pPr>
    </w:p>
    <w:p w14:paraId="7668568F" w14:textId="25057067" w:rsidR="00A55E30" w:rsidRPr="00A55E30" w:rsidRDefault="00A55E30" w:rsidP="00A55E30">
      <w:pPr>
        <w:rPr>
          <w:rFonts w:ascii="Times New Roman" w:hAnsi="Times New Roman" w:cs="Times New Roman"/>
          <w:b/>
          <w:bCs/>
          <w:u w:val="single"/>
        </w:rPr>
      </w:pPr>
      <w:r w:rsidRPr="00A55E30">
        <w:rPr>
          <w:rFonts w:ascii="Times New Roman" w:hAnsi="Times New Roman" w:cs="Times New Roman"/>
          <w:b/>
          <w:bCs/>
          <w:u w:val="single"/>
        </w:rPr>
        <w:t>4</w:t>
      </w:r>
      <w:r w:rsidRPr="00A55E30">
        <w:rPr>
          <w:rFonts w:ascii="Times New Roman" w:hAnsi="Times New Roman" w:cs="Times New Roman"/>
          <w:b/>
          <w:bCs/>
          <w:u w:val="single"/>
        </w:rPr>
        <w:t xml:space="preserve"> atsakymas:</w:t>
      </w:r>
    </w:p>
    <w:p w14:paraId="73FC59EE" w14:textId="61D0116E" w:rsidR="00A55E30" w:rsidRPr="00A55E30" w:rsidRDefault="00A55E30" w:rsidP="00A55E30">
      <w:pPr>
        <w:rPr>
          <w:rFonts w:ascii="Times New Roman" w:hAnsi="Times New Roman" w:cs="Times New Roman"/>
        </w:rPr>
      </w:pPr>
    </w:p>
    <w:p w14:paraId="0F3CE0A4" w14:textId="4D87D950" w:rsidR="00A55E30" w:rsidRPr="00A55E30" w:rsidRDefault="00A55E30" w:rsidP="00A55E30">
      <w:pPr>
        <w:rPr>
          <w:rFonts w:ascii="Times New Roman" w:hAnsi="Times New Roman" w:cs="Times New Roman"/>
        </w:rPr>
      </w:pPr>
      <w:r w:rsidRPr="00A55E30">
        <w:rPr>
          <w:rFonts w:ascii="Times New Roman" w:hAnsi="Times New Roman" w:cs="Times New Roman"/>
          <w:sz w:val="21"/>
          <w:szCs w:val="21"/>
        </w:rPr>
        <w:t>Vertinama jog pasibaigus elektrinio komponento garantiniam laikotarpiui jis turės būti pakeistas. Ši prielaida negalioja automatiniams jungikliams, kabeliams ir elektros skyduose montuojamiems įrenginiams, su sąlyga, jog elektros skyduose nenumatomi šildytuvai (tenai). Visos įrenginių keitimo kainos turi būti vertinamos dabartinėmis analogiškų įrenginių kainomis.</w:t>
      </w:r>
    </w:p>
    <w:p w14:paraId="063981D4" w14:textId="673665D3" w:rsidR="00A55E30" w:rsidRPr="00A55E30" w:rsidRDefault="00A55E30" w:rsidP="00A55E30">
      <w:pPr>
        <w:rPr>
          <w:rFonts w:ascii="Times New Roman" w:hAnsi="Times New Roman" w:cs="Times New Roman"/>
        </w:rPr>
      </w:pPr>
    </w:p>
    <w:p w14:paraId="11BDF548" w14:textId="4B94C324" w:rsidR="00A55E30" w:rsidRPr="00A55E30" w:rsidRDefault="00A55E30" w:rsidP="00A55E30">
      <w:pPr>
        <w:rPr>
          <w:rFonts w:ascii="Times New Roman" w:hAnsi="Times New Roman" w:cs="Times New Roman"/>
          <w:b/>
          <w:bCs/>
          <w:u w:val="single"/>
        </w:rPr>
      </w:pPr>
      <w:r w:rsidRPr="00A55E30">
        <w:rPr>
          <w:rFonts w:ascii="Times New Roman" w:hAnsi="Times New Roman" w:cs="Times New Roman"/>
          <w:b/>
          <w:bCs/>
          <w:u w:val="single"/>
        </w:rPr>
        <w:t>5</w:t>
      </w:r>
      <w:r w:rsidRPr="00A55E30">
        <w:rPr>
          <w:rFonts w:ascii="Times New Roman" w:hAnsi="Times New Roman" w:cs="Times New Roman"/>
          <w:b/>
          <w:bCs/>
          <w:u w:val="single"/>
        </w:rPr>
        <w:t xml:space="preserve"> klausimas:</w:t>
      </w:r>
    </w:p>
    <w:p w14:paraId="2CED3841" w14:textId="5954274F" w:rsidR="00A55E30" w:rsidRPr="00A55E30" w:rsidRDefault="00A55E30" w:rsidP="00A55E30">
      <w:pPr>
        <w:rPr>
          <w:rFonts w:ascii="Times New Roman" w:hAnsi="Times New Roman" w:cs="Times New Roman"/>
        </w:rPr>
      </w:pPr>
    </w:p>
    <w:p w14:paraId="7C3EF5F9" w14:textId="77777777" w:rsidR="00A55E30" w:rsidRPr="00A55E30" w:rsidRDefault="00A55E30" w:rsidP="00A55E30">
      <w:pPr>
        <w:rPr>
          <w:rFonts w:ascii="Times New Roman" w:hAnsi="Times New Roman" w:cs="Times New Roman"/>
        </w:rPr>
      </w:pPr>
      <w:r w:rsidRPr="00A55E30">
        <w:rPr>
          <w:rFonts w:ascii="Times New Roman" w:hAnsi="Times New Roman" w:cs="Times New Roman"/>
        </w:rPr>
        <w:t>Ar 6.11.5 punkte nurodote kokiu būdu atliksite skaičiavimus „ Saulės elektrinės vidutinė metinė grąža (IRR) “? Ar skaičiavimus pagal nurodytą formulę turi atlikti tiekėjas?</w:t>
      </w:r>
    </w:p>
    <w:p w14:paraId="0C74E9EE" w14:textId="77777777" w:rsidR="00A55E30" w:rsidRPr="00A55E30" w:rsidRDefault="00A55E30" w:rsidP="00A55E30">
      <w:pPr>
        <w:rPr>
          <w:rFonts w:ascii="Times New Roman" w:hAnsi="Times New Roman" w:cs="Times New Roman"/>
        </w:rPr>
      </w:pPr>
    </w:p>
    <w:p w14:paraId="662ADF8E" w14:textId="50E511BB" w:rsidR="00A55E30" w:rsidRPr="00A55E30" w:rsidRDefault="00A55E30" w:rsidP="00A55E30">
      <w:pPr>
        <w:rPr>
          <w:rFonts w:ascii="Times New Roman" w:hAnsi="Times New Roman" w:cs="Times New Roman"/>
          <w:b/>
          <w:bCs/>
          <w:u w:val="single"/>
        </w:rPr>
      </w:pPr>
      <w:r w:rsidRPr="00A55E30">
        <w:rPr>
          <w:rFonts w:ascii="Times New Roman" w:hAnsi="Times New Roman" w:cs="Times New Roman"/>
          <w:b/>
          <w:bCs/>
          <w:u w:val="single"/>
        </w:rPr>
        <w:t>5</w:t>
      </w:r>
      <w:r w:rsidRPr="00A55E30">
        <w:rPr>
          <w:rFonts w:ascii="Times New Roman" w:hAnsi="Times New Roman" w:cs="Times New Roman"/>
          <w:b/>
          <w:bCs/>
          <w:u w:val="single"/>
        </w:rPr>
        <w:t xml:space="preserve"> atsakymas:</w:t>
      </w:r>
    </w:p>
    <w:p w14:paraId="37DCCBCD" w14:textId="2C8354E9" w:rsidR="00A55E30" w:rsidRPr="00A55E30" w:rsidRDefault="00A55E30" w:rsidP="00A55E30">
      <w:pPr>
        <w:rPr>
          <w:rFonts w:ascii="Times New Roman" w:hAnsi="Times New Roman" w:cs="Times New Roman"/>
        </w:rPr>
      </w:pPr>
    </w:p>
    <w:p w14:paraId="62184C31" w14:textId="412D6E32" w:rsidR="00A55E30" w:rsidRPr="00A55E30" w:rsidRDefault="00A55E30" w:rsidP="00A55E30">
      <w:pPr>
        <w:rPr>
          <w:rFonts w:ascii="Times New Roman" w:hAnsi="Times New Roman" w:cs="Times New Roman"/>
        </w:rPr>
      </w:pPr>
      <w:r w:rsidRPr="00A55E30">
        <w:rPr>
          <w:rFonts w:ascii="Times New Roman" w:hAnsi="Times New Roman" w:cs="Times New Roman"/>
          <w:sz w:val="21"/>
          <w:szCs w:val="21"/>
        </w:rPr>
        <w:t xml:space="preserve">skaičiavimus pagal nurodytą formulę pateikia tiekėjas norintis gauti papildomus vertinimo balus. </w:t>
      </w:r>
    </w:p>
    <w:p w14:paraId="455D3587" w14:textId="23DB4F71" w:rsidR="00A55E30" w:rsidRPr="00A55E30" w:rsidRDefault="00A55E30" w:rsidP="00A55E30">
      <w:pPr>
        <w:rPr>
          <w:rFonts w:ascii="Times New Roman" w:hAnsi="Times New Roman" w:cs="Times New Roman"/>
        </w:rPr>
      </w:pPr>
    </w:p>
    <w:p w14:paraId="588E48AA" w14:textId="2218337C" w:rsidR="00A55E30" w:rsidRPr="00A55E30" w:rsidRDefault="00A55E30" w:rsidP="00A55E30">
      <w:pPr>
        <w:rPr>
          <w:rFonts w:ascii="Times New Roman" w:hAnsi="Times New Roman" w:cs="Times New Roman"/>
          <w:b/>
          <w:bCs/>
          <w:u w:val="single"/>
        </w:rPr>
      </w:pPr>
      <w:r w:rsidRPr="00A55E30">
        <w:rPr>
          <w:rFonts w:ascii="Times New Roman" w:hAnsi="Times New Roman" w:cs="Times New Roman"/>
          <w:b/>
          <w:bCs/>
          <w:u w:val="single"/>
        </w:rPr>
        <w:t>6</w:t>
      </w:r>
      <w:r w:rsidRPr="00A55E30">
        <w:rPr>
          <w:rFonts w:ascii="Times New Roman" w:hAnsi="Times New Roman" w:cs="Times New Roman"/>
          <w:b/>
          <w:bCs/>
          <w:u w:val="single"/>
        </w:rPr>
        <w:t xml:space="preserve"> klausimas:</w:t>
      </w:r>
    </w:p>
    <w:p w14:paraId="157BCDBA" w14:textId="49901C75" w:rsidR="00A55E30" w:rsidRPr="00A55E30" w:rsidRDefault="00A55E30" w:rsidP="00A55E30">
      <w:pPr>
        <w:rPr>
          <w:rFonts w:ascii="Times New Roman" w:hAnsi="Times New Roman" w:cs="Times New Roman"/>
          <w:b/>
          <w:bCs/>
          <w:u w:val="single"/>
        </w:rPr>
      </w:pPr>
    </w:p>
    <w:p w14:paraId="1F93743E" w14:textId="77777777" w:rsidR="00A55E30" w:rsidRPr="00A55E30" w:rsidRDefault="00A55E30" w:rsidP="00A55E30">
      <w:pPr>
        <w:rPr>
          <w:rFonts w:ascii="Times New Roman" w:hAnsi="Times New Roman" w:cs="Times New Roman"/>
        </w:rPr>
      </w:pPr>
      <w:r w:rsidRPr="00A55E30">
        <w:rPr>
          <w:rFonts w:ascii="Times New Roman" w:hAnsi="Times New Roman" w:cs="Times New Roman"/>
        </w:rPr>
        <w:t xml:space="preserve">6.11.7 punkte teigiate, kad gavus vieną pasiūlymą, ekonominio naudingumo vertinimas atliekamas nebus. Kiek pasiūlymų reikia pateikti, kad ekonominio naudingumo vertinimas būtų atliekamas? </w:t>
      </w:r>
    </w:p>
    <w:p w14:paraId="38A07DB6" w14:textId="77777777" w:rsidR="00A55E30" w:rsidRPr="00A55E30" w:rsidRDefault="00A55E30" w:rsidP="00A55E30">
      <w:pPr>
        <w:rPr>
          <w:rFonts w:ascii="Times New Roman" w:hAnsi="Times New Roman" w:cs="Times New Roman"/>
          <w:b/>
          <w:bCs/>
          <w:u w:val="single"/>
        </w:rPr>
      </w:pPr>
    </w:p>
    <w:p w14:paraId="65867766" w14:textId="2C505D4E" w:rsidR="00A55E30" w:rsidRPr="00A55E30" w:rsidRDefault="00A55E30" w:rsidP="00A55E30">
      <w:pPr>
        <w:rPr>
          <w:rFonts w:ascii="Times New Roman" w:hAnsi="Times New Roman" w:cs="Times New Roman"/>
          <w:b/>
          <w:bCs/>
          <w:u w:val="single"/>
        </w:rPr>
      </w:pPr>
      <w:r w:rsidRPr="00A55E30">
        <w:rPr>
          <w:rFonts w:ascii="Times New Roman" w:hAnsi="Times New Roman" w:cs="Times New Roman"/>
          <w:b/>
          <w:bCs/>
          <w:u w:val="single"/>
        </w:rPr>
        <w:t>6</w:t>
      </w:r>
      <w:r w:rsidRPr="00A55E30">
        <w:rPr>
          <w:rFonts w:ascii="Times New Roman" w:hAnsi="Times New Roman" w:cs="Times New Roman"/>
          <w:b/>
          <w:bCs/>
          <w:u w:val="single"/>
        </w:rPr>
        <w:t xml:space="preserve"> </w:t>
      </w:r>
      <w:r w:rsidRPr="00A55E30">
        <w:rPr>
          <w:rFonts w:ascii="Times New Roman" w:hAnsi="Times New Roman" w:cs="Times New Roman"/>
          <w:b/>
          <w:bCs/>
          <w:u w:val="single"/>
        </w:rPr>
        <w:t>atsakymas</w:t>
      </w:r>
      <w:r w:rsidRPr="00A55E30">
        <w:rPr>
          <w:rFonts w:ascii="Times New Roman" w:hAnsi="Times New Roman" w:cs="Times New Roman"/>
          <w:b/>
          <w:bCs/>
          <w:u w:val="single"/>
        </w:rPr>
        <w:t>:</w:t>
      </w:r>
    </w:p>
    <w:p w14:paraId="2F835BE6" w14:textId="5D6942B8" w:rsidR="00A55E30" w:rsidRPr="00A55E30" w:rsidRDefault="00A55E30" w:rsidP="00A55E30">
      <w:pPr>
        <w:rPr>
          <w:rFonts w:ascii="Times New Roman" w:hAnsi="Times New Roman" w:cs="Times New Roman"/>
        </w:rPr>
      </w:pPr>
    </w:p>
    <w:p w14:paraId="5BF5288B" w14:textId="220358B6" w:rsidR="006D6739" w:rsidRPr="00A55E30" w:rsidRDefault="00A55E30" w:rsidP="00A55E30">
      <w:pPr>
        <w:jc w:val="both"/>
        <w:rPr>
          <w:rFonts w:ascii="Times New Roman" w:hAnsi="Times New Roman" w:cs="Times New Roman"/>
        </w:rPr>
      </w:pPr>
      <w:proofErr w:type="spellStart"/>
      <w:r w:rsidRPr="00A55E30">
        <w:rPr>
          <w:rFonts w:ascii="Times New Roman" w:hAnsi="Times New Roman" w:cs="Times New Roman"/>
          <w:lang w:val="en-US"/>
        </w:rPr>
        <w:t>Pirkėjo</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neatmesti</w:t>
      </w:r>
      <w:proofErr w:type="spellEnd"/>
      <w:r w:rsidRPr="00A55E30">
        <w:rPr>
          <w:rFonts w:ascii="Times New Roman" w:hAnsi="Times New Roman" w:cs="Times New Roman"/>
          <w:lang w:val="en-US"/>
        </w:rPr>
        <w:t xml:space="preserve"> </w:t>
      </w:r>
      <w:proofErr w:type="spellStart"/>
      <w:proofErr w:type="gramStart"/>
      <w:r w:rsidRPr="00A55E30">
        <w:rPr>
          <w:rFonts w:ascii="Times New Roman" w:hAnsi="Times New Roman" w:cs="Times New Roman"/>
          <w:lang w:val="en-US"/>
        </w:rPr>
        <w:t>pasiūlymai</w:t>
      </w:r>
      <w:proofErr w:type="spellEnd"/>
      <w:r w:rsidRPr="00A55E30">
        <w:rPr>
          <w:rFonts w:ascii="Times New Roman" w:hAnsi="Times New Roman" w:cs="Times New Roman"/>
          <w:lang w:val="en-US"/>
        </w:rPr>
        <w:t>  bus</w:t>
      </w:r>
      <w:proofErr w:type="gram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vertinami</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pagal</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ekonomiškai</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naudingiausio</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pasiūlymo</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vertinimo</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kriterijus</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jeigu</w:t>
      </w:r>
      <w:proofErr w:type="spellEnd"/>
      <w:r w:rsidRPr="00A55E30">
        <w:rPr>
          <w:rFonts w:ascii="Times New Roman" w:hAnsi="Times New Roman" w:cs="Times New Roman"/>
          <w:lang w:val="en-US"/>
        </w:rPr>
        <w:t xml:space="preserve"> bus </w:t>
      </w:r>
      <w:proofErr w:type="spellStart"/>
      <w:r w:rsidRPr="00A55E30">
        <w:rPr>
          <w:rFonts w:ascii="Times New Roman" w:hAnsi="Times New Roman" w:cs="Times New Roman"/>
          <w:lang w:val="en-US"/>
        </w:rPr>
        <w:t>pateiktas</w:t>
      </w:r>
      <w:proofErr w:type="spellEnd"/>
      <w:r w:rsidRPr="00A55E30">
        <w:rPr>
          <w:rFonts w:ascii="Times New Roman" w:hAnsi="Times New Roman" w:cs="Times New Roman"/>
          <w:lang w:val="en-US"/>
        </w:rPr>
        <w:t xml:space="preserve"> tik </w:t>
      </w:r>
      <w:proofErr w:type="spellStart"/>
      <w:r w:rsidRPr="00A55E30">
        <w:rPr>
          <w:rFonts w:ascii="Times New Roman" w:hAnsi="Times New Roman" w:cs="Times New Roman"/>
          <w:lang w:val="en-US"/>
        </w:rPr>
        <w:t>vienas</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pasiūlymas</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ekonominio</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naudingumo</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vertinimas</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atliekamas</w:t>
      </w:r>
      <w:proofErr w:type="spellEnd"/>
      <w:r w:rsidRPr="00A55E30">
        <w:rPr>
          <w:rFonts w:ascii="Times New Roman" w:hAnsi="Times New Roman" w:cs="Times New Roman"/>
          <w:lang w:val="en-US"/>
        </w:rPr>
        <w:t xml:space="preserve"> </w:t>
      </w:r>
      <w:proofErr w:type="spellStart"/>
      <w:r w:rsidRPr="00A55E30">
        <w:rPr>
          <w:rFonts w:ascii="Times New Roman" w:hAnsi="Times New Roman" w:cs="Times New Roman"/>
          <w:lang w:val="en-US"/>
        </w:rPr>
        <w:t>nebus</w:t>
      </w:r>
      <w:proofErr w:type="spellEnd"/>
      <w:r w:rsidRPr="00A55E30">
        <w:rPr>
          <w:rFonts w:ascii="Times New Roman" w:hAnsi="Times New Roman" w:cs="Times New Roman"/>
          <w:lang w:val="en-US"/>
        </w:rPr>
        <w:t>). </w:t>
      </w:r>
    </w:p>
    <w:p w14:paraId="28BDCAB2" w14:textId="77777777" w:rsidR="000F4F81" w:rsidRPr="00A55E30" w:rsidRDefault="000F4F81">
      <w:pPr>
        <w:rPr>
          <w:rFonts w:ascii="Times New Roman" w:hAnsi="Times New Roman" w:cs="Times New Roman"/>
        </w:rPr>
      </w:pPr>
    </w:p>
    <w:sectPr w:rsidR="000F4F81" w:rsidRPr="00A55E3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94B"/>
    <w:multiLevelType w:val="hybridMultilevel"/>
    <w:tmpl w:val="637E68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8A6372"/>
    <w:multiLevelType w:val="multilevel"/>
    <w:tmpl w:val="CBB69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D5BF6"/>
    <w:multiLevelType w:val="hybridMultilevel"/>
    <w:tmpl w:val="87B22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2B13F0"/>
    <w:multiLevelType w:val="hybridMultilevel"/>
    <w:tmpl w:val="9E2C6F88"/>
    <w:lvl w:ilvl="0" w:tplc="ED624796">
      <w:start w:val="1"/>
      <w:numFmt w:val="decimal"/>
      <w:lvlText w:val="%1."/>
      <w:lvlJc w:val="left"/>
      <w:pPr>
        <w:ind w:left="720" w:hanging="360"/>
      </w:pPr>
      <w:rPr>
        <w:rFonts w:ascii="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8754847"/>
    <w:multiLevelType w:val="multilevel"/>
    <w:tmpl w:val="3E386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39"/>
    <w:rsid w:val="000F4F81"/>
    <w:rsid w:val="001363DC"/>
    <w:rsid w:val="006D6739"/>
    <w:rsid w:val="008E6C76"/>
    <w:rsid w:val="00986463"/>
    <w:rsid w:val="00A55E30"/>
    <w:rsid w:val="00C60FE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833B"/>
  <w15:chartTrackingRefBased/>
  <w15:docId w15:val="{D0A54370-3AC2-428A-B901-8A5A559F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739"/>
    <w:pPr>
      <w:spacing w:after="0" w:line="240" w:lineRule="auto"/>
    </w:pPr>
    <w:rPr>
      <w:rFonts w:ascii="Calibri" w:hAnsi="Calibri" w:cs="Calibri"/>
      <w:lang w:eastAsia="lt-LT"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Sąrašo pastraipa1"/>
    <w:basedOn w:val="Normal"/>
    <w:link w:val="ListParagraphChar"/>
    <w:uiPriority w:val="34"/>
    <w:qFormat/>
    <w:rsid w:val="006D6739"/>
    <w:pPr>
      <w:ind w:left="720"/>
    </w:pPr>
  </w:style>
  <w:style w:type="paragraph" w:styleId="NormalWeb">
    <w:name w:val="Normal (Web)"/>
    <w:basedOn w:val="Normal"/>
    <w:uiPriority w:val="99"/>
    <w:unhideWhenUsed/>
    <w:rsid w:val="006D6739"/>
    <w:pPr>
      <w:spacing w:before="100" w:beforeAutospacing="1" w:after="100" w:afterAutospacing="1"/>
    </w:pPr>
  </w:style>
  <w:style w:type="character" w:styleId="Hyperlink">
    <w:name w:val="Hyperlink"/>
    <w:basedOn w:val="DefaultParagraphFont"/>
    <w:uiPriority w:val="99"/>
    <w:unhideWhenUsed/>
    <w:rsid w:val="006D6739"/>
    <w:rPr>
      <w:color w:val="0563C1" w:themeColor="hyperlink"/>
      <w:u w:val="single"/>
    </w:rPr>
  </w:style>
  <w:style w:type="character" w:styleId="UnresolvedMention">
    <w:name w:val="Unresolved Mention"/>
    <w:basedOn w:val="DefaultParagraphFont"/>
    <w:uiPriority w:val="99"/>
    <w:semiHidden/>
    <w:unhideWhenUsed/>
    <w:rsid w:val="006D6739"/>
    <w:rPr>
      <w:color w:val="605E5C"/>
      <w:shd w:val="clear" w:color="auto" w:fill="E1DFDD"/>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basedOn w:val="DefaultParagraphFont"/>
    <w:link w:val="ListParagraph"/>
    <w:uiPriority w:val="34"/>
    <w:locked/>
    <w:rsid w:val="00986463"/>
    <w:rPr>
      <w:rFonts w:ascii="Calibri" w:hAnsi="Calibri" w:cs="Calibri"/>
      <w:lang w:eastAsia="lt-LT"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581">
      <w:bodyDiv w:val="1"/>
      <w:marLeft w:val="0"/>
      <w:marRight w:val="0"/>
      <w:marTop w:val="0"/>
      <w:marBottom w:val="0"/>
      <w:divBdr>
        <w:top w:val="none" w:sz="0" w:space="0" w:color="auto"/>
        <w:left w:val="none" w:sz="0" w:space="0" w:color="auto"/>
        <w:bottom w:val="none" w:sz="0" w:space="0" w:color="auto"/>
        <w:right w:val="none" w:sz="0" w:space="0" w:color="auto"/>
      </w:divBdr>
    </w:div>
    <w:div w:id="274874478">
      <w:bodyDiv w:val="1"/>
      <w:marLeft w:val="0"/>
      <w:marRight w:val="0"/>
      <w:marTop w:val="0"/>
      <w:marBottom w:val="0"/>
      <w:divBdr>
        <w:top w:val="none" w:sz="0" w:space="0" w:color="auto"/>
        <w:left w:val="none" w:sz="0" w:space="0" w:color="auto"/>
        <w:bottom w:val="none" w:sz="0" w:space="0" w:color="auto"/>
        <w:right w:val="none" w:sz="0" w:space="0" w:color="auto"/>
      </w:divBdr>
    </w:div>
    <w:div w:id="638536624">
      <w:bodyDiv w:val="1"/>
      <w:marLeft w:val="0"/>
      <w:marRight w:val="0"/>
      <w:marTop w:val="0"/>
      <w:marBottom w:val="0"/>
      <w:divBdr>
        <w:top w:val="none" w:sz="0" w:space="0" w:color="auto"/>
        <w:left w:val="none" w:sz="0" w:space="0" w:color="auto"/>
        <w:bottom w:val="none" w:sz="0" w:space="0" w:color="auto"/>
        <w:right w:val="none" w:sz="0" w:space="0" w:color="auto"/>
      </w:divBdr>
    </w:div>
    <w:div w:id="820655216">
      <w:bodyDiv w:val="1"/>
      <w:marLeft w:val="0"/>
      <w:marRight w:val="0"/>
      <w:marTop w:val="0"/>
      <w:marBottom w:val="0"/>
      <w:divBdr>
        <w:top w:val="none" w:sz="0" w:space="0" w:color="auto"/>
        <w:left w:val="none" w:sz="0" w:space="0" w:color="auto"/>
        <w:bottom w:val="none" w:sz="0" w:space="0" w:color="auto"/>
        <w:right w:val="none" w:sz="0" w:space="0" w:color="auto"/>
      </w:divBdr>
    </w:div>
    <w:div w:id="860121453">
      <w:bodyDiv w:val="1"/>
      <w:marLeft w:val="0"/>
      <w:marRight w:val="0"/>
      <w:marTop w:val="0"/>
      <w:marBottom w:val="0"/>
      <w:divBdr>
        <w:top w:val="none" w:sz="0" w:space="0" w:color="auto"/>
        <w:left w:val="none" w:sz="0" w:space="0" w:color="auto"/>
        <w:bottom w:val="none" w:sz="0" w:space="0" w:color="auto"/>
        <w:right w:val="none" w:sz="0" w:space="0" w:color="auto"/>
      </w:divBdr>
    </w:div>
    <w:div w:id="1063403784">
      <w:bodyDiv w:val="1"/>
      <w:marLeft w:val="0"/>
      <w:marRight w:val="0"/>
      <w:marTop w:val="0"/>
      <w:marBottom w:val="0"/>
      <w:divBdr>
        <w:top w:val="none" w:sz="0" w:space="0" w:color="auto"/>
        <w:left w:val="none" w:sz="0" w:space="0" w:color="auto"/>
        <w:bottom w:val="none" w:sz="0" w:space="0" w:color="auto"/>
        <w:right w:val="none" w:sz="0" w:space="0" w:color="auto"/>
      </w:divBdr>
    </w:div>
    <w:div w:id="1215316352">
      <w:bodyDiv w:val="1"/>
      <w:marLeft w:val="0"/>
      <w:marRight w:val="0"/>
      <w:marTop w:val="0"/>
      <w:marBottom w:val="0"/>
      <w:divBdr>
        <w:top w:val="none" w:sz="0" w:space="0" w:color="auto"/>
        <w:left w:val="none" w:sz="0" w:space="0" w:color="auto"/>
        <w:bottom w:val="none" w:sz="0" w:space="0" w:color="auto"/>
        <w:right w:val="none" w:sz="0" w:space="0" w:color="auto"/>
      </w:divBdr>
    </w:div>
    <w:div w:id="1491170469">
      <w:bodyDiv w:val="1"/>
      <w:marLeft w:val="0"/>
      <w:marRight w:val="0"/>
      <w:marTop w:val="0"/>
      <w:marBottom w:val="0"/>
      <w:divBdr>
        <w:top w:val="none" w:sz="0" w:space="0" w:color="auto"/>
        <w:left w:val="none" w:sz="0" w:space="0" w:color="auto"/>
        <w:bottom w:val="none" w:sz="0" w:space="0" w:color="auto"/>
        <w:right w:val="none" w:sz="0" w:space="0" w:color="auto"/>
      </w:divBdr>
    </w:div>
    <w:div w:id="1554462661">
      <w:bodyDiv w:val="1"/>
      <w:marLeft w:val="0"/>
      <w:marRight w:val="0"/>
      <w:marTop w:val="0"/>
      <w:marBottom w:val="0"/>
      <w:divBdr>
        <w:top w:val="none" w:sz="0" w:space="0" w:color="auto"/>
        <w:left w:val="none" w:sz="0" w:space="0" w:color="auto"/>
        <w:bottom w:val="none" w:sz="0" w:space="0" w:color="auto"/>
        <w:right w:val="none" w:sz="0" w:space="0" w:color="auto"/>
      </w:divBdr>
    </w:div>
    <w:div w:id="1692948027">
      <w:bodyDiv w:val="1"/>
      <w:marLeft w:val="0"/>
      <w:marRight w:val="0"/>
      <w:marTop w:val="0"/>
      <w:marBottom w:val="0"/>
      <w:divBdr>
        <w:top w:val="none" w:sz="0" w:space="0" w:color="auto"/>
        <w:left w:val="none" w:sz="0" w:space="0" w:color="auto"/>
        <w:bottom w:val="none" w:sz="0" w:space="0" w:color="auto"/>
        <w:right w:val="none" w:sz="0" w:space="0" w:color="auto"/>
      </w:divBdr>
    </w:div>
    <w:div w:id="20229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5899911_Outdoor_Testing_and_Degradation_of_EVA_and_POE_Encapsulated_Photovoltaic_Modu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v-tech.org/material-choice-matters-for-durable-high-efficiency-pv-modules/" TargetMode="External"/><Relationship Id="rId12" Type="http://schemas.openxmlformats.org/officeDocument/2006/relationships/hyperlink" Target="https://www.greenmatch.co.uk/blog/2017/10/the-opportunities-of-solar-panel-recyc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4039.7BE074A0" TargetMode="External"/><Relationship Id="rId11" Type="http://schemas.openxmlformats.org/officeDocument/2006/relationships/image" Target="cid:image002.jpg@01D7403F.8F426750" TargetMode="Externa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dn.pes.eu.com/v/20160826/wp-content/uploads/2017/09/PES-S-2-17-Howe-Marketing-Talking-Point-4-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5598</Words>
  <Characters>3191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3</cp:revision>
  <dcterms:created xsi:type="dcterms:W3CDTF">2021-05-05T08:15:00Z</dcterms:created>
  <dcterms:modified xsi:type="dcterms:W3CDTF">2021-05-05T09:02:00Z</dcterms:modified>
</cp:coreProperties>
</file>