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jc w:val="right"/>
        <w:rPr>
          <w:rFonts w:ascii="Times New Roman" w:hAnsi="Times New Roman" w:cs="Times New Roman"/>
          <w:b/>
          <w:b/>
          <w:bCs/>
          <w:sz w:val="24"/>
          <w:szCs w:val="24"/>
        </w:rPr>
      </w:pPr>
      <w:r>
        <w:rPr>
          <w:rFonts w:cs="Times New Roman" w:ascii="Times New Roman" w:hAnsi="Times New Roman"/>
          <w:b/>
          <w:bCs/>
          <w:sz w:val="24"/>
          <w:szCs w:val="24"/>
        </w:rPr>
        <w:t>Konkurso sąlygų 4 priedas</w:t>
      </w:r>
    </w:p>
    <w:p>
      <w:pPr>
        <w:pStyle w:val="Normal"/>
        <w:widowControl w:val="false"/>
        <w:ind w:right="-178" w:hanging="0"/>
        <w:jc w:val="center"/>
        <w:rPr>
          <w:szCs w:val="24"/>
          <w:lang w:eastAsia="lt-LT"/>
        </w:rPr>
      </w:pPr>
      <w:r>
        <w:rPr>
          <w:szCs w:val="24"/>
          <w:lang w:eastAsia="lt-LT"/>
        </w:rPr>
        <w:t xml:space="preserve">        </w:t>
      </w:r>
      <w:r>
        <w:rPr>
          <w:szCs w:val="24"/>
          <w:lang w:eastAsia="lt-LT"/>
        </w:rPr>
        <w:t>(Tiekėjo pavadinimas)</w:t>
      </w:r>
    </w:p>
    <w:p>
      <w:pPr>
        <w:pStyle w:val="Normal"/>
        <w:widowControl w:val="false"/>
        <w:ind w:right="-178" w:hanging="0"/>
        <w:jc w:val="center"/>
        <w:rPr>
          <w:szCs w:val="24"/>
          <w:lang w:eastAsia="lt-LT"/>
        </w:rPr>
      </w:pPr>
      <w:r>
        <w:rPr>
          <w:szCs w:val="24"/>
          <w:lang w:eastAsia="lt-LT"/>
        </w:rPr>
      </w:r>
    </w:p>
    <w:p>
      <w:pPr>
        <w:pStyle w:val="Normal"/>
        <w:widowControl w:val="false"/>
        <w:ind w:firstLine="720"/>
        <w:jc w:val="both"/>
        <w:rPr>
          <w:szCs w:val="24"/>
          <w:lang w:eastAsia="lt-LT"/>
        </w:rPr>
      </w:pPr>
      <w:r>
        <w:rPr>
          <w:szCs w:val="24"/>
          <w:lang w:eastAsia="lt-LT"/>
        </w:rPr>
      </w:r>
    </w:p>
    <w:p>
      <w:pPr>
        <w:pStyle w:val="Normal"/>
        <w:widowControl w:val="false"/>
        <w:ind w:right="-178" w:hanging="0"/>
        <w:jc w:val="center"/>
        <w:rPr>
          <w:szCs w:val="24"/>
          <w:lang w:eastAsia="lt-LT"/>
        </w:rPr>
      </w:pPr>
      <w:r>
        <w:rPr>
          <w:szCs w:val="24"/>
          <w:lang w:eastAsia="lt-LT"/>
        </w:rPr>
        <w:t xml:space="preserve"> </w:t>
      </w:r>
      <w:r>
        <w:rPr>
          <w:szCs w:val="24"/>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pPr>
        <w:pStyle w:val="Normal"/>
        <w:widowControl w:val="false"/>
        <w:ind w:right="-178" w:hanging="0"/>
        <w:jc w:val="center"/>
        <w:rPr>
          <w:szCs w:val="24"/>
          <w:lang w:eastAsia="lt-LT"/>
        </w:rPr>
      </w:pPr>
      <w:r>
        <w:rPr>
          <w:szCs w:val="24"/>
          <w:lang w:eastAsia="lt-LT"/>
        </w:rPr>
      </w:r>
    </w:p>
    <w:p>
      <w:pPr>
        <w:pStyle w:val="Normal"/>
        <w:widowControl w:val="false"/>
        <w:tabs>
          <w:tab w:val="clear" w:pos="720"/>
          <w:tab w:val="center" w:pos="2520" w:leader="none"/>
        </w:tabs>
        <w:jc w:val="both"/>
        <w:rPr>
          <w:szCs w:val="24"/>
          <w:lang w:eastAsia="lt-LT"/>
        </w:rPr>
      </w:pPr>
      <w:r>
        <w:rPr>
          <w:szCs w:val="24"/>
          <w:lang w:eastAsia="lt-LT"/>
        </w:rPr>
        <w:t>AB „Anykščių kvarcas“</w:t>
      </w:r>
    </w:p>
    <w:p>
      <w:pPr>
        <w:pStyle w:val="Normal"/>
        <w:widowControl w:val="false"/>
        <w:tabs>
          <w:tab w:val="clear" w:pos="720"/>
          <w:tab w:val="center" w:pos="2520" w:leader="none"/>
        </w:tabs>
        <w:jc w:val="both"/>
        <w:rPr>
          <w:szCs w:val="24"/>
          <w:lang w:eastAsia="lt-LT"/>
        </w:rPr>
      </w:pPr>
      <w:r>
        <w:rPr>
          <w:szCs w:val="24"/>
          <w:lang w:eastAsia="lt-LT"/>
        </w:rPr>
        <w:t>Troškūnų g. 5  Anykščiai, LT-29100</w:t>
      </w:r>
    </w:p>
    <w:p>
      <w:pPr>
        <w:pStyle w:val="Normal"/>
        <w:widowControl w:val="false"/>
        <w:tabs>
          <w:tab w:val="clear" w:pos="720"/>
          <w:tab w:val="center" w:pos="2520" w:leader="none"/>
        </w:tabs>
        <w:jc w:val="both"/>
        <w:rPr>
          <w:szCs w:val="24"/>
          <w:lang w:eastAsia="lt-LT"/>
        </w:rPr>
      </w:pPr>
      <w:hyperlink r:id="rId2">
        <w:r>
          <w:rPr>
            <w:rStyle w:val="Internetosaitas"/>
            <w:szCs w:val="24"/>
            <w:lang w:eastAsia="lt-LT"/>
          </w:rPr>
          <w:t>info@akvarcas.lt</w:t>
        </w:r>
      </w:hyperlink>
    </w:p>
    <w:p>
      <w:pPr>
        <w:pStyle w:val="ListParagraph"/>
        <w:jc w:val="center"/>
        <w:rPr>
          <w:rFonts w:ascii="Times New Roman" w:hAnsi="Times New Roman" w:cs="Times New Roman"/>
          <w:sz w:val="24"/>
          <w:szCs w:val="24"/>
        </w:rPr>
      </w:pPr>
      <w:r>
        <w:rPr>
          <w:rFonts w:cs="Times New Roman" w:ascii="Times New Roman" w:hAnsi="Times New Roman"/>
          <w:b/>
          <w:bCs/>
          <w:sz w:val="24"/>
          <w:szCs w:val="24"/>
        </w:rPr>
        <w:t>PASIŪLYMAS</w:t>
      </w:r>
    </w:p>
    <w:p>
      <w:pPr>
        <w:pStyle w:val="Normal"/>
        <w:rPr>
          <w:szCs w:val="24"/>
        </w:rPr>
      </w:pPr>
      <w:r>
        <w:rPr>
          <w:szCs w:val="24"/>
        </w:rPr>
      </w:r>
    </w:p>
    <w:p>
      <w:pPr>
        <w:pStyle w:val="Normal"/>
        <w:jc w:val="center"/>
        <w:rPr>
          <w:b/>
          <w:b/>
          <w:bCs/>
          <w:szCs w:val="24"/>
        </w:rPr>
      </w:pPr>
      <w:r>
        <w:rPr>
          <w:b/>
          <w:bCs/>
          <w:szCs w:val="24"/>
        </w:rPr>
        <w:t>Saulės šviesos elektrinės įrengimas AB „Anykščių kvarcas“, jos projektavimo ir montavimo darbų pirkimui</w:t>
      </w:r>
    </w:p>
    <w:p>
      <w:pPr>
        <w:pStyle w:val="Normal"/>
        <w:jc w:val="center"/>
        <w:rPr>
          <w:b/>
          <w:b/>
          <w:bCs/>
          <w:szCs w:val="24"/>
        </w:rPr>
      </w:pPr>
      <w:r>
        <w:rPr>
          <w:b/>
          <w:bCs/>
          <w:szCs w:val="24"/>
        </w:rPr>
      </w:r>
    </w:p>
    <w:p>
      <w:pPr>
        <w:pStyle w:val="Normal"/>
        <w:jc w:val="center"/>
        <w:rPr>
          <w:b/>
          <w:b/>
          <w:bCs/>
          <w:szCs w:val="24"/>
        </w:rPr>
      </w:pPr>
      <w:r>
        <w:rPr>
          <w:b/>
          <w:bCs/>
          <w:szCs w:val="24"/>
        </w:rPr>
        <w:t>_____________________________</w:t>
      </w:r>
    </w:p>
    <w:p>
      <w:pPr>
        <w:pStyle w:val="Normal"/>
        <w:jc w:val="center"/>
        <w:rPr>
          <w:szCs w:val="24"/>
          <w:vertAlign w:val="superscript"/>
        </w:rPr>
      </w:pPr>
      <w:r>
        <w:rPr>
          <w:szCs w:val="24"/>
          <w:vertAlign w:val="superscript"/>
        </w:rPr>
        <w:t>(data)</w:t>
      </w:r>
    </w:p>
    <w:p>
      <w:pPr>
        <w:pStyle w:val="Normal"/>
        <w:jc w:val="center"/>
        <w:rPr>
          <w:b/>
          <w:b/>
          <w:bCs/>
          <w:szCs w:val="24"/>
        </w:rPr>
      </w:pPr>
      <w:r>
        <w:rPr>
          <w:b/>
          <w:bCs/>
          <w:szCs w:val="24"/>
        </w:rPr>
      </w:r>
    </w:p>
    <w:p>
      <w:pPr>
        <w:pStyle w:val="Normal"/>
        <w:jc w:val="center"/>
        <w:rPr>
          <w:b/>
          <w:b/>
          <w:bCs/>
          <w:szCs w:val="24"/>
        </w:rPr>
      </w:pPr>
      <w:r>
        <w:rPr>
          <w:b/>
          <w:bCs/>
          <w:szCs w:val="24"/>
        </w:rPr>
        <w:t>_____________________________</w:t>
      </w:r>
    </w:p>
    <w:p>
      <w:pPr>
        <w:pStyle w:val="Normal"/>
        <w:jc w:val="center"/>
        <w:rPr>
          <w:szCs w:val="24"/>
          <w:vertAlign w:val="superscript"/>
        </w:rPr>
      </w:pPr>
      <w:r>
        <w:rPr>
          <w:szCs w:val="24"/>
          <w:vertAlign w:val="superscript"/>
        </w:rPr>
        <w:t>(vieta)</w:t>
      </w:r>
    </w:p>
    <w:p>
      <w:pPr>
        <w:pStyle w:val="Normal"/>
        <w:rPr>
          <w:szCs w:val="24"/>
        </w:rPr>
      </w:pPr>
      <w:r>
        <w:rPr>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4977"/>
        <w:gridCol w:w="4912"/>
      </w:tblGrid>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Tiekėjo pavadinimas </w:t>
            </w:r>
            <w:r>
              <w:rPr>
                <w:i/>
                <w:iCs/>
                <w:kern w:val="0"/>
                <w:sz w:val="22"/>
                <w:szCs w:val="24"/>
                <w:lang w:eastAsia="en-US" w:bidi="ar-SA"/>
              </w:rPr>
              <w:t>/Jeigu dalyvauja ūkio subjektų grupė, surašomi visų dalyvių pavadinimai/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Tiekėjo adresas </w:t>
            </w:r>
            <w:r>
              <w:rPr>
                <w:i/>
                <w:iCs/>
                <w:kern w:val="0"/>
                <w:sz w:val="22"/>
                <w:szCs w:val="24"/>
                <w:lang w:eastAsia="en-US" w:bidi="ar-SA"/>
              </w:rPr>
              <w:t>/Jeigu dalyvauja ūkio subjektų grupė, surašomi visų dalyvių adresai/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Juridinio asmens kodas </w:t>
            </w:r>
            <w:r>
              <w:rPr>
                <w:i/>
                <w:iCs/>
                <w:kern w:val="0"/>
                <w:sz w:val="22"/>
                <w:szCs w:val="24"/>
                <w:lang w:eastAsia="en-US" w:bidi="ar-SA"/>
              </w:rPr>
              <w:t>/Jeigu dalyvauja ūkio subjektų grupė, surašomi visų dalyvių kodai/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PVM mokėtojo kodas </w:t>
            </w:r>
            <w:r>
              <w:rPr>
                <w:i/>
                <w:iCs/>
                <w:kern w:val="0"/>
                <w:sz w:val="22"/>
                <w:szCs w:val="24"/>
                <w:lang w:eastAsia="en-US" w:bidi="ar-SA"/>
              </w:rPr>
              <w:t>/Jeigu dalyvauja ūkio subjektų grupė, surašomi visų dalyvių kodai/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Už pasiūlymą atsakingo asmens vardas, pavardė</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Telefono numeris</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El. pašto adresas</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bl>
    <w:p>
      <w:pPr>
        <w:pStyle w:val="Normal"/>
        <w:rPr>
          <w:szCs w:val="24"/>
        </w:rPr>
      </w:pPr>
      <w:r>
        <w:rPr>
          <w:szCs w:val="24"/>
        </w:rPr>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Šiuo pasiūlymu pažymime, kad sutinkame su visomis konkurso sąlygomis, nustatytomis</w:t>
      </w:r>
    </w:p>
    <w:p>
      <w:pPr>
        <w:pStyle w:val="ListParagraph"/>
        <w:numPr>
          <w:ilvl w:val="0"/>
          <w:numId w:val="2"/>
        </w:numPr>
        <w:spacing w:before="0" w:after="0"/>
        <w:ind w:left="1134" w:hanging="360"/>
        <w:contextualSpacing/>
        <w:rPr>
          <w:rFonts w:ascii="Times New Roman" w:hAnsi="Times New Roman" w:cs="Times New Roman"/>
          <w:sz w:val="24"/>
          <w:szCs w:val="24"/>
        </w:rPr>
      </w:pPr>
      <w:r>
        <w:rPr>
          <w:rFonts w:cs="Times New Roman" w:ascii="Times New Roman" w:hAnsi="Times New Roman"/>
          <w:sz w:val="24"/>
          <w:szCs w:val="24"/>
        </w:rPr>
        <w:t xml:space="preserve">konkurso skelbime, paskelbtame </w:t>
      </w:r>
      <w:hyperlink r:id="rId3" w:tgtFrame="_blank">
        <w:r>
          <w:rPr>
            <w:rStyle w:val="Internetosaitas"/>
            <w:rFonts w:cs="Times New Roman" w:ascii="Times New Roman" w:hAnsi="Times New Roman"/>
            <w:color w:val="1155CC"/>
            <w:sz w:val="24"/>
            <w:szCs w:val="24"/>
          </w:rPr>
          <w:t>esinvesticijos.lt</w:t>
        </w:r>
      </w:hyperlink>
      <w:r>
        <w:rPr>
          <w:rFonts w:cs="Times New Roman" w:ascii="Times New Roman" w:hAnsi="Times New Roman"/>
          <w:sz w:val="24"/>
          <w:szCs w:val="24"/>
        </w:rPr>
        <w:t xml:space="preserve"> su visais vėlesniais jų pakeitimais;</w:t>
      </w:r>
    </w:p>
    <w:p>
      <w:pPr>
        <w:pStyle w:val="ListParagraph"/>
        <w:numPr>
          <w:ilvl w:val="0"/>
          <w:numId w:val="2"/>
        </w:numPr>
        <w:spacing w:before="0" w:after="0"/>
        <w:ind w:left="1134" w:hanging="360"/>
        <w:contextualSpacing/>
        <w:rPr>
          <w:rFonts w:ascii="Times New Roman" w:hAnsi="Times New Roman" w:cs="Times New Roman"/>
          <w:sz w:val="24"/>
          <w:szCs w:val="24"/>
        </w:rPr>
      </w:pPr>
      <w:r>
        <w:rPr>
          <w:rFonts w:cs="Times New Roman" w:ascii="Times New Roman" w:hAnsi="Times New Roman"/>
          <w:sz w:val="24"/>
          <w:szCs w:val="24"/>
        </w:rPr>
        <w:t>kituose Pirkimo dokumentuose (jų paaiškinimuose, papildymuose).</w:t>
      </w:r>
    </w:p>
    <w:p>
      <w:pPr>
        <w:pStyle w:val="ListParagraph"/>
        <w:spacing w:before="0" w:after="0"/>
        <w:contextualSpacing/>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eastAsia="Calibri" w:cs="Times New Roman" w:eastAsiaTheme="minorHAnsi"/>
          <w:sz w:val="24"/>
          <w:szCs w:val="24"/>
          <w:lang w:val="lt-LT"/>
        </w:rPr>
      </w:pPr>
      <w:r>
        <w:rPr>
          <w:rFonts w:eastAsia="Calibri" w:cs="Times New Roman" w:ascii="Times New Roman" w:hAnsi="Times New Roman" w:eastAsiaTheme="minorHAnsi"/>
          <w:sz w:val="24"/>
          <w:szCs w:val="24"/>
          <w:lang w:val="lt-LT"/>
        </w:rPr>
        <w:t>Informacija apie subtiekėjus/subrangovus (</w:t>
      </w:r>
      <w:r>
        <w:rPr>
          <w:rFonts w:eastAsia="Calibri" w:cs="Times New Roman" w:ascii="Times New Roman" w:hAnsi="Times New Roman" w:eastAsiaTheme="minorHAnsi"/>
          <w:i/>
          <w:iCs/>
          <w:sz w:val="24"/>
          <w:szCs w:val="24"/>
          <w:lang w:val="lt-LT"/>
        </w:rPr>
        <w:t>pavadinimas, kodas, adresas, informacija apie tai, kokiems darbams yra pasitelkiamas subrangovas/subtiekėjas</w:t>
      </w:r>
      <w:r>
        <w:rPr>
          <w:rFonts w:eastAsia="Calibri" w:cs="Times New Roman" w:ascii="Times New Roman" w:hAnsi="Times New Roman" w:eastAsiaTheme="minorHAnsi"/>
          <w:sz w:val="24"/>
          <w:szCs w:val="24"/>
          <w:lang w:val="lt-LT"/>
        </w:rPr>
        <w:t xml:space="preserve">): </w:t>
      </w:r>
    </w:p>
    <w:p>
      <w:pPr>
        <w:pStyle w:val="ListParagraph"/>
        <w:numPr>
          <w:ilvl w:val="0"/>
          <w:numId w:val="0"/>
        </w:numPr>
        <w:spacing w:before="0" w:after="0"/>
        <w:ind w:left="144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Mes siūlome adresu Troškūnų g. 5, Anykščiuose statytinos saulės šviesos energijos fotovoltines elektrines, jos montavimo ir projektavimo darbus:</w:t>
      </w:r>
    </w:p>
    <w:p>
      <w:pPr>
        <w:pStyle w:val="ListParagraph"/>
        <w:spacing w:before="0" w:after="0"/>
        <w:contextualSpacing/>
        <w:jc w:val="both"/>
        <w:rPr>
          <w:rFonts w:ascii="Times New Roman" w:hAnsi="Times New Roman" w:cs="Times New Roman"/>
          <w:sz w:val="24"/>
          <w:szCs w:val="24"/>
        </w:rPr>
      </w:pPr>
      <w:r>
        <w:rPr>
          <w:rFonts w:cs="Times New Roman" w:ascii="Times New Roman" w:hAnsi="Times New Roman"/>
          <w:sz w:val="24"/>
          <w:szCs w:val="24"/>
        </w:rPr>
      </w:r>
      <w:bookmarkStart w:id="0" w:name="_GoBack"/>
      <w:bookmarkStart w:id="1" w:name="_GoBack"/>
      <w:bookmarkEnd w:id="1"/>
    </w:p>
    <w:p>
      <w:pPr>
        <w:pStyle w:val="ListParagraph"/>
        <w:spacing w:before="0" w:after="0"/>
        <w:ind w:left="1440" w:hanging="0"/>
        <w:contextualSpacing/>
        <w:rPr>
          <w:rFonts w:ascii="Times New Roman" w:hAnsi="Times New Roman" w:cs="Times New Roman"/>
          <w:sz w:val="24"/>
          <w:szCs w:val="24"/>
        </w:rPr>
      </w:pPr>
      <w:r>
        <w:rPr>
          <w:rFonts w:cs="Times New Roman" w:ascii="Times New Roman" w:hAnsi="Times New Roman"/>
          <w:sz w:val="24"/>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24"/>
        <w:gridCol w:w="6597"/>
        <w:gridCol w:w="2669"/>
      </w:tblGrid>
      <w:tr>
        <w:trPr/>
        <w:tc>
          <w:tcPr>
            <w:tcW w:w="624"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Eil. nr.</w:t>
            </w:r>
          </w:p>
        </w:tc>
        <w:tc>
          <w:tcPr>
            <w:tcW w:w="6597"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Prekių/paslaugų/darbų</w:t>
            </w:r>
          </w:p>
          <w:p>
            <w:pPr>
              <w:pStyle w:val="Normal"/>
              <w:widowControl w:val="false"/>
              <w:suppressAutoHyphens w:val="true"/>
              <w:spacing w:before="0" w:after="0"/>
              <w:jc w:val="center"/>
              <w:rPr>
                <w:b/>
                <w:b/>
                <w:bCs/>
                <w:szCs w:val="24"/>
              </w:rPr>
            </w:pPr>
            <w:r>
              <w:rPr>
                <w:b/>
                <w:bCs/>
                <w:kern w:val="0"/>
                <w:sz w:val="22"/>
                <w:szCs w:val="24"/>
                <w:lang w:eastAsia="en-US" w:bidi="ar-SA"/>
              </w:rPr>
              <w:t>pavadinimas</w:t>
            </w:r>
          </w:p>
        </w:tc>
        <w:tc>
          <w:tcPr>
            <w:tcW w:w="2669"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Kaina EUR be PVM</w:t>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1.</w:t>
            </w:r>
          </w:p>
        </w:tc>
        <w:tc>
          <w:tcPr>
            <w:tcW w:w="6597" w:type="dxa"/>
            <w:tcBorders/>
            <w:vAlign w:val="center"/>
          </w:tcPr>
          <w:p>
            <w:pPr>
              <w:pStyle w:val="Normal"/>
              <w:widowControl w:val="false"/>
              <w:suppressAutoHyphens w:val="true"/>
              <w:spacing w:before="0" w:after="0"/>
              <w:jc w:val="both"/>
              <w:rPr>
                <w:szCs w:val="22"/>
              </w:rPr>
            </w:pPr>
            <w:r>
              <w:rPr>
                <w:kern w:val="0"/>
                <w:sz w:val="22"/>
                <w:szCs w:val="22"/>
                <w:lang w:eastAsia="en-US" w:bidi="ar-SA"/>
              </w:rPr>
              <w:t>Fotovoltiniai moduliai</w:t>
            </w:r>
          </w:p>
          <w:p>
            <w:pPr>
              <w:pStyle w:val="Normal"/>
              <w:widowControl w:val="false"/>
              <w:suppressAutoHyphens w:val="true"/>
              <w:spacing w:before="0" w:after="0"/>
              <w:jc w:val="left"/>
              <w:rPr>
                <w:szCs w:val="24"/>
              </w:rPr>
            </w:pPr>
            <w:r>
              <w:rPr>
                <w:kern w:val="0"/>
                <w:sz w:val="22"/>
                <w:szCs w:val="22"/>
                <w:lang w:eastAsia="en-US" w:bidi="ar-SA"/>
              </w:rPr>
              <w:t>(Nurodyti gamintoją, modelį, galią bei skaičių_</w:t>
            </w:r>
            <w:r>
              <w:rPr>
                <w:kern w:val="0"/>
                <w:sz w:val="22"/>
                <w:szCs w:val="22"/>
                <w:highlight w:val="lightGray"/>
                <w:lang w:eastAsia="en-US" w:bidi="ar-SA"/>
              </w:rPr>
              <w:t>________________</w:t>
            </w:r>
            <w:r>
              <w:rPr>
                <w:kern w:val="0"/>
                <w:sz w:val="22"/>
                <w:szCs w:val="22"/>
                <w:lang w:eastAsia="en-US" w:bidi="ar-SA"/>
              </w:rPr>
              <w:t>)</w:t>
            </w:r>
          </w:p>
        </w:tc>
        <w:tc>
          <w:tcPr>
            <w:tcW w:w="2669"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2.</w:t>
            </w:r>
          </w:p>
        </w:tc>
        <w:tc>
          <w:tcPr>
            <w:tcW w:w="6597" w:type="dxa"/>
            <w:tcBorders/>
            <w:vAlign w:val="center"/>
          </w:tcPr>
          <w:p>
            <w:pPr>
              <w:pStyle w:val="Normal"/>
              <w:widowControl w:val="false"/>
              <w:suppressAutoHyphens w:val="true"/>
              <w:spacing w:before="0" w:after="0"/>
              <w:jc w:val="left"/>
              <w:rPr>
                <w:b/>
                <w:b/>
                <w:bCs/>
                <w:szCs w:val="24"/>
              </w:rPr>
            </w:pPr>
            <w:r>
              <w:rPr>
                <w:kern w:val="0"/>
                <w:sz w:val="22"/>
                <w:szCs w:val="22"/>
                <w:lang w:eastAsia="en-US" w:bidi="ar-SA"/>
              </w:rPr>
              <w:t>Keitikliai (Nurodyti gamintoją, modelį ir skaičių).</w:t>
            </w:r>
            <w:r>
              <w:rPr>
                <w:kern w:val="0"/>
                <w:sz w:val="22"/>
                <w:szCs w:val="22"/>
                <w:highlight w:val="lightGray"/>
                <w:lang w:eastAsia="en-US" w:bidi="ar-SA"/>
              </w:rPr>
              <w:t>_____________</w:t>
            </w:r>
            <w:r>
              <w:rPr>
                <w:kern w:val="0"/>
                <w:sz w:val="22"/>
                <w:szCs w:val="22"/>
                <w:lang w:eastAsia="en-US" w:bidi="ar-SA"/>
              </w:rPr>
              <w:t>)</w:t>
            </w:r>
          </w:p>
        </w:tc>
        <w:tc>
          <w:tcPr>
            <w:tcW w:w="2669"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3.</w:t>
            </w:r>
          </w:p>
        </w:tc>
        <w:tc>
          <w:tcPr>
            <w:tcW w:w="6597" w:type="dxa"/>
            <w:tcBorders/>
            <w:vAlign w:val="center"/>
          </w:tcPr>
          <w:p>
            <w:pPr>
              <w:pStyle w:val="Normal"/>
              <w:widowControl w:val="false"/>
              <w:suppressAutoHyphens w:val="true"/>
              <w:spacing w:before="0" w:after="0"/>
              <w:jc w:val="left"/>
              <w:rPr>
                <w:szCs w:val="24"/>
              </w:rPr>
            </w:pPr>
            <w:r>
              <w:rPr>
                <w:kern w:val="0"/>
                <w:sz w:val="22"/>
                <w:szCs w:val="22"/>
                <w:lang w:eastAsia="en-US" w:bidi="ar-SA"/>
              </w:rPr>
              <w:t>Montavimo konstrukcijos (Nurodyti gamintoją ir modelį</w:t>
            </w:r>
            <w:r>
              <w:rPr>
                <w:kern w:val="0"/>
                <w:sz w:val="22"/>
                <w:szCs w:val="22"/>
                <w:highlight w:val="lightGray"/>
                <w:lang w:eastAsia="en-US" w:bidi="ar-SA"/>
              </w:rPr>
              <w:t>_________________</w:t>
            </w:r>
            <w:r>
              <w:rPr>
                <w:kern w:val="0"/>
                <w:sz w:val="22"/>
                <w:szCs w:val="22"/>
                <w:lang w:eastAsia="en-US" w:bidi="ar-SA"/>
              </w:rPr>
              <w:t>)</w:t>
            </w:r>
          </w:p>
        </w:tc>
        <w:tc>
          <w:tcPr>
            <w:tcW w:w="2669"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4.</w:t>
            </w:r>
          </w:p>
        </w:tc>
        <w:tc>
          <w:tcPr>
            <w:tcW w:w="6597" w:type="dxa"/>
            <w:tcBorders/>
            <w:vAlign w:val="center"/>
          </w:tcPr>
          <w:p>
            <w:pPr>
              <w:pStyle w:val="Normal"/>
              <w:widowControl w:val="false"/>
              <w:suppressAutoHyphens w:val="true"/>
              <w:spacing w:before="0" w:after="0"/>
              <w:jc w:val="left"/>
              <w:rPr>
                <w:bCs/>
                <w:szCs w:val="24"/>
                <w:highlight w:val="yellow"/>
              </w:rPr>
            </w:pPr>
            <w:r>
              <w:rPr>
                <w:kern w:val="0"/>
                <w:sz w:val="22"/>
                <w:szCs w:val="22"/>
                <w:lang w:eastAsia="en-US" w:bidi="ar-SA"/>
              </w:rPr>
              <w:t>Montavimo darbų atlikimas</w:t>
            </w:r>
          </w:p>
        </w:tc>
        <w:tc>
          <w:tcPr>
            <w:tcW w:w="2669"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5.</w:t>
            </w:r>
          </w:p>
        </w:tc>
        <w:tc>
          <w:tcPr>
            <w:tcW w:w="6597"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Montavimo medžiagos</w:t>
            </w:r>
          </w:p>
        </w:tc>
        <w:tc>
          <w:tcPr>
            <w:tcW w:w="2669"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6.</w:t>
            </w:r>
          </w:p>
        </w:tc>
        <w:tc>
          <w:tcPr>
            <w:tcW w:w="6597"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Monitoringo internetu sistema</w:t>
            </w:r>
          </w:p>
        </w:tc>
        <w:tc>
          <w:tcPr>
            <w:tcW w:w="2669"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7.</w:t>
            </w:r>
          </w:p>
        </w:tc>
        <w:tc>
          <w:tcPr>
            <w:tcW w:w="6597" w:type="dxa"/>
            <w:tcBorders/>
            <w:vAlign w:val="center"/>
          </w:tcPr>
          <w:p>
            <w:pPr>
              <w:pStyle w:val="Normal"/>
              <w:widowControl w:val="false"/>
              <w:suppressAutoHyphens w:val="true"/>
              <w:spacing w:before="0" w:after="0"/>
              <w:jc w:val="both"/>
              <w:rPr>
                <w:szCs w:val="24"/>
                <w:highlight w:val="yellow"/>
              </w:rPr>
            </w:pPr>
            <w:r>
              <w:rPr>
                <w:bCs/>
                <w:kern w:val="0"/>
                <w:sz w:val="22"/>
                <w:szCs w:val="24"/>
                <w:lang w:eastAsia="en-US" w:bidi="ar-SA"/>
              </w:rPr>
              <w:t xml:space="preserve">Techninio darbo projektų parengimas, suderinimas, leidimų gavimas, dokumentacijos, reikalingos elektrinių  statybų užbaigimo procedūroms, atlikti bei įregistruoti </w:t>
            </w:r>
            <w:r>
              <w:rPr>
                <w:bCs/>
                <w:kern w:val="0"/>
                <w:sz w:val="24"/>
                <w:szCs w:val="24"/>
                <w:lang w:eastAsia="en-US" w:bidi="ar-SA"/>
              </w:rPr>
              <w:t>Nekilnojamojo turto</w:t>
            </w:r>
            <w:r>
              <w:rPr>
                <w:bCs/>
                <w:kern w:val="0"/>
                <w:sz w:val="22"/>
                <w:szCs w:val="24"/>
                <w:lang w:eastAsia="en-US" w:bidi="ar-SA"/>
              </w:rPr>
              <w:t xml:space="preserve"> registre AB „Anykščių kvarcas“ vardu parengimas, statinių užbaigimo procedūrų organizavimas, atlikimas, VERT leidimo gavimas ir kitos paslaugos, reikalingos elektrinėms įrengti ir pradėti elektrinių eksploataciją.</w:t>
            </w:r>
          </w:p>
        </w:tc>
        <w:tc>
          <w:tcPr>
            <w:tcW w:w="2669"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8.</w:t>
            </w:r>
          </w:p>
        </w:tc>
        <w:tc>
          <w:tcPr>
            <w:tcW w:w="6597" w:type="dxa"/>
            <w:tcBorders/>
            <w:shd w:color="auto" w:fill="auto" w:val="clear"/>
            <w:vAlign w:val="center"/>
          </w:tcPr>
          <w:p>
            <w:pPr>
              <w:pStyle w:val="Normal"/>
              <w:widowControl w:val="false"/>
              <w:suppressAutoHyphens w:val="true"/>
              <w:spacing w:before="0" w:after="0"/>
              <w:jc w:val="left"/>
              <w:rPr>
                <w:szCs w:val="24"/>
                <w:highlight w:val="yellow"/>
              </w:rPr>
            </w:pPr>
            <w:r>
              <w:rPr>
                <w:kern w:val="0"/>
                <w:sz w:val="24"/>
                <w:szCs w:val="24"/>
                <w:lang w:eastAsia="en-US" w:bidi="ar-SA"/>
              </w:rPr>
              <w:t xml:space="preserve">Monitoringo </w:t>
            </w:r>
            <w:r>
              <w:rPr>
                <w:kern w:val="0"/>
                <w:sz w:val="22"/>
                <w:szCs w:val="24"/>
                <w:lang w:eastAsia="en-US" w:bidi="ar-SA"/>
              </w:rPr>
              <w:t>paslauga</w:t>
            </w:r>
          </w:p>
        </w:tc>
        <w:tc>
          <w:tcPr>
            <w:tcW w:w="2669"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right"/>
              <w:rPr>
                <w:b/>
                <w:b/>
                <w:bCs/>
                <w:szCs w:val="24"/>
              </w:rPr>
            </w:pPr>
            <w:r>
              <w:rPr>
                <w:b/>
                <w:bCs/>
                <w:sz w:val="22"/>
                <w:szCs w:val="24"/>
              </w:rPr>
            </w:r>
          </w:p>
        </w:tc>
        <w:tc>
          <w:tcPr>
            <w:tcW w:w="6597" w:type="dxa"/>
            <w:tcBorders/>
            <w:vAlign w:val="center"/>
          </w:tcPr>
          <w:p>
            <w:pPr>
              <w:pStyle w:val="Normal"/>
              <w:widowControl w:val="false"/>
              <w:suppressAutoHyphens w:val="true"/>
              <w:spacing w:before="0" w:after="0"/>
              <w:jc w:val="right"/>
              <w:rPr>
                <w:b/>
                <w:b/>
                <w:bCs/>
                <w:szCs w:val="24"/>
              </w:rPr>
            </w:pPr>
            <w:r>
              <w:rPr>
                <w:b/>
                <w:bCs/>
                <w:kern w:val="0"/>
                <w:sz w:val="22"/>
                <w:szCs w:val="24"/>
                <w:lang w:eastAsia="en-US" w:bidi="ar-SA"/>
              </w:rPr>
              <w:t>SUMA:</w:t>
            </w:r>
          </w:p>
        </w:tc>
        <w:tc>
          <w:tcPr>
            <w:tcW w:w="2669" w:type="dxa"/>
            <w:tcBorders/>
            <w:vAlign w:val="center"/>
          </w:tcPr>
          <w:p>
            <w:pPr>
              <w:pStyle w:val="Normal"/>
              <w:widowControl w:val="false"/>
              <w:suppressAutoHyphens w:val="true"/>
              <w:spacing w:before="0" w:after="0"/>
              <w:jc w:val="left"/>
              <w:rPr>
                <w:szCs w:val="24"/>
              </w:rPr>
            </w:pPr>
            <w:r>
              <w:rPr>
                <w:sz w:val="22"/>
                <w:szCs w:val="24"/>
              </w:rPr>
            </w:r>
          </w:p>
        </w:tc>
      </w:tr>
    </w:tbl>
    <w:p>
      <w:pPr>
        <w:pStyle w:val="Normal"/>
        <w:ind w:firstLine="709"/>
        <w:rPr>
          <w:szCs w:val="24"/>
        </w:rPr>
      </w:pPr>
      <w:r>
        <w:rPr>
          <w:szCs w:val="24"/>
        </w:rPr>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Mes siūlome adresu </w:t>
      </w:r>
      <w:r>
        <w:rPr>
          <w:rFonts w:eastAsia="Calibri" w:cs="Times New Roman" w:ascii="Times New Roman" w:hAnsi="Times New Roman"/>
          <w:color w:val="000000"/>
          <w:sz w:val="24"/>
          <w:szCs w:val="24"/>
        </w:rPr>
        <w:t>Lagedžių k. 2, Anykščių r. sav.</w:t>
      </w:r>
      <w:r>
        <w:rPr>
          <w:rFonts w:cs="Times New Roman" w:ascii="Times New Roman" w:hAnsi="Times New Roman"/>
          <w:sz w:val="24"/>
          <w:szCs w:val="24"/>
        </w:rPr>
        <w:t xml:space="preserve"> statytinos saulės šviesos energijos fotovoltines elektrines, jos montavimo ir projektavimo darbus:</w:t>
      </w:r>
    </w:p>
    <w:p>
      <w:pPr>
        <w:pStyle w:val="ListParagraph"/>
        <w:spacing w:before="0" w:after="0"/>
        <w:contextualSpacing/>
        <w:jc w:val="both"/>
        <w:rPr/>
      </w:pPr>
      <w:r>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25"/>
        <w:gridCol w:w="6175"/>
        <w:gridCol w:w="3090"/>
      </w:tblGrid>
      <w:tr>
        <w:trPr/>
        <w:tc>
          <w:tcPr>
            <w:tcW w:w="625"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Eil. nr.</w:t>
            </w:r>
          </w:p>
        </w:tc>
        <w:tc>
          <w:tcPr>
            <w:tcW w:w="6175"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Prekių/paslaugų/darbų</w:t>
            </w:r>
          </w:p>
          <w:p>
            <w:pPr>
              <w:pStyle w:val="Normal"/>
              <w:widowControl w:val="false"/>
              <w:suppressAutoHyphens w:val="true"/>
              <w:spacing w:before="0" w:after="0"/>
              <w:jc w:val="center"/>
              <w:rPr>
                <w:b/>
                <w:b/>
                <w:bCs/>
                <w:szCs w:val="24"/>
              </w:rPr>
            </w:pPr>
            <w:r>
              <w:rPr>
                <w:b/>
                <w:bCs/>
                <w:kern w:val="0"/>
                <w:sz w:val="22"/>
                <w:szCs w:val="24"/>
                <w:lang w:eastAsia="en-US" w:bidi="ar-SA"/>
              </w:rPr>
              <w:t>pavadinimas</w:t>
            </w:r>
          </w:p>
        </w:tc>
        <w:tc>
          <w:tcPr>
            <w:tcW w:w="3090"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Kaina EUR be PVM</w:t>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1.</w:t>
            </w:r>
          </w:p>
        </w:tc>
        <w:tc>
          <w:tcPr>
            <w:tcW w:w="6175" w:type="dxa"/>
            <w:tcBorders/>
            <w:vAlign w:val="center"/>
          </w:tcPr>
          <w:p>
            <w:pPr>
              <w:pStyle w:val="Normal"/>
              <w:widowControl w:val="false"/>
              <w:suppressAutoHyphens w:val="true"/>
              <w:spacing w:before="0" w:after="0"/>
              <w:jc w:val="both"/>
              <w:rPr>
                <w:szCs w:val="22"/>
              </w:rPr>
            </w:pPr>
            <w:r>
              <w:rPr>
                <w:kern w:val="0"/>
                <w:sz w:val="22"/>
                <w:szCs w:val="22"/>
                <w:lang w:eastAsia="en-US" w:bidi="ar-SA"/>
              </w:rPr>
              <w:t>Fotovoltiniai moduliai</w:t>
            </w:r>
          </w:p>
          <w:p>
            <w:pPr>
              <w:pStyle w:val="Normal"/>
              <w:widowControl w:val="false"/>
              <w:suppressAutoHyphens w:val="true"/>
              <w:spacing w:before="0" w:after="0"/>
              <w:jc w:val="left"/>
              <w:rPr>
                <w:szCs w:val="24"/>
              </w:rPr>
            </w:pPr>
            <w:r>
              <w:rPr>
                <w:kern w:val="0"/>
                <w:sz w:val="22"/>
                <w:szCs w:val="22"/>
                <w:lang w:eastAsia="en-US" w:bidi="ar-SA"/>
              </w:rPr>
              <w:t>(Nurodyti gamintoją, modelį, galią bei skaičių_</w:t>
            </w:r>
            <w:r>
              <w:rPr>
                <w:kern w:val="0"/>
                <w:sz w:val="22"/>
                <w:szCs w:val="22"/>
                <w:highlight w:val="lightGray"/>
                <w:lang w:eastAsia="en-US" w:bidi="ar-SA"/>
              </w:rPr>
              <w:t>________________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2.</w:t>
            </w:r>
          </w:p>
        </w:tc>
        <w:tc>
          <w:tcPr>
            <w:tcW w:w="6175" w:type="dxa"/>
            <w:tcBorders/>
            <w:vAlign w:val="center"/>
          </w:tcPr>
          <w:p>
            <w:pPr>
              <w:pStyle w:val="Normal"/>
              <w:widowControl w:val="false"/>
              <w:suppressAutoHyphens w:val="true"/>
              <w:spacing w:before="0" w:after="0"/>
              <w:jc w:val="left"/>
              <w:rPr>
                <w:b/>
                <w:b/>
                <w:bCs/>
                <w:szCs w:val="24"/>
              </w:rPr>
            </w:pPr>
            <w:r>
              <w:rPr>
                <w:kern w:val="0"/>
                <w:sz w:val="22"/>
                <w:szCs w:val="22"/>
                <w:lang w:eastAsia="en-US" w:bidi="ar-SA"/>
              </w:rPr>
              <w:t>Keitikliai (Nurodyti gamintoją, modelį ir skaičių).</w:t>
            </w:r>
            <w:r>
              <w:rPr>
                <w:kern w:val="0"/>
                <w:sz w:val="22"/>
                <w:szCs w:val="22"/>
                <w:highlight w:val="lightGray"/>
                <w:lang w:eastAsia="en-US" w:bidi="ar-SA"/>
              </w:rPr>
              <w:t>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3.</w:t>
            </w:r>
          </w:p>
        </w:tc>
        <w:tc>
          <w:tcPr>
            <w:tcW w:w="6175" w:type="dxa"/>
            <w:tcBorders/>
            <w:vAlign w:val="center"/>
          </w:tcPr>
          <w:p>
            <w:pPr>
              <w:pStyle w:val="Normal"/>
              <w:widowControl w:val="false"/>
              <w:suppressAutoHyphens w:val="true"/>
              <w:spacing w:before="0" w:after="0"/>
              <w:jc w:val="left"/>
              <w:rPr>
                <w:szCs w:val="24"/>
              </w:rPr>
            </w:pPr>
            <w:r>
              <w:rPr>
                <w:kern w:val="0"/>
                <w:sz w:val="22"/>
                <w:szCs w:val="22"/>
                <w:lang w:eastAsia="en-US" w:bidi="ar-SA"/>
              </w:rPr>
              <w:t>Montavimo konstrukcijos (Nurodyti gamintoją ir modelį</w:t>
            </w:r>
            <w:r>
              <w:rPr>
                <w:kern w:val="0"/>
                <w:sz w:val="22"/>
                <w:szCs w:val="22"/>
                <w:highlight w:val="lightGray"/>
                <w:lang w:eastAsia="en-US" w:bidi="ar-SA"/>
              </w:rPr>
              <w:t>_________________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4.</w:t>
            </w:r>
          </w:p>
        </w:tc>
        <w:tc>
          <w:tcPr>
            <w:tcW w:w="6175" w:type="dxa"/>
            <w:tcBorders/>
            <w:vAlign w:val="center"/>
          </w:tcPr>
          <w:p>
            <w:pPr>
              <w:pStyle w:val="Normal"/>
              <w:widowControl w:val="false"/>
              <w:suppressAutoHyphens w:val="true"/>
              <w:spacing w:before="0" w:after="0"/>
              <w:jc w:val="left"/>
              <w:rPr>
                <w:bCs/>
                <w:szCs w:val="24"/>
                <w:highlight w:val="yellow"/>
              </w:rPr>
            </w:pPr>
            <w:r>
              <w:rPr>
                <w:kern w:val="0"/>
                <w:sz w:val="22"/>
                <w:szCs w:val="22"/>
                <w:lang w:eastAsia="en-US" w:bidi="ar-SA"/>
              </w:rPr>
              <w:t>Montavimo darbų atlikimas</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5.</w:t>
            </w:r>
          </w:p>
        </w:tc>
        <w:tc>
          <w:tcPr>
            <w:tcW w:w="6175"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Montavimo medžiagos</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6.</w:t>
            </w:r>
          </w:p>
        </w:tc>
        <w:tc>
          <w:tcPr>
            <w:tcW w:w="6175"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Monitoringo internetu sistema</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7.</w:t>
            </w:r>
          </w:p>
        </w:tc>
        <w:tc>
          <w:tcPr>
            <w:tcW w:w="6175" w:type="dxa"/>
            <w:tcBorders/>
            <w:vAlign w:val="center"/>
          </w:tcPr>
          <w:p>
            <w:pPr>
              <w:pStyle w:val="Normal"/>
              <w:widowControl w:val="false"/>
              <w:suppressAutoHyphens w:val="true"/>
              <w:spacing w:before="0" w:after="0"/>
              <w:jc w:val="both"/>
              <w:rPr>
                <w:szCs w:val="24"/>
                <w:highlight w:val="yellow"/>
              </w:rPr>
            </w:pPr>
            <w:r>
              <w:rPr>
                <w:bCs/>
                <w:kern w:val="0"/>
                <w:sz w:val="22"/>
                <w:szCs w:val="24"/>
                <w:lang w:eastAsia="en-US" w:bidi="ar-SA"/>
              </w:rPr>
              <w:t xml:space="preserve">Techninio darbo projektų parengimas, suderinimas, leidimų gavimas, dokumentacijos, reikalingos elektrinių  statybų užbaigimo procedūroms, atlikti bei įregistruoti </w:t>
            </w:r>
            <w:r>
              <w:rPr>
                <w:bCs/>
                <w:kern w:val="0"/>
                <w:sz w:val="24"/>
                <w:szCs w:val="24"/>
                <w:lang w:eastAsia="en-US" w:bidi="ar-SA"/>
              </w:rPr>
              <w:t>Nekilnojamojo turto</w:t>
            </w:r>
            <w:r>
              <w:rPr>
                <w:bCs/>
                <w:kern w:val="0"/>
                <w:sz w:val="22"/>
                <w:szCs w:val="24"/>
                <w:lang w:eastAsia="en-US" w:bidi="ar-SA"/>
              </w:rPr>
              <w:t xml:space="preserve"> registre AB „Anykščių kvarcas“ vardu parengimas, statinių užbaigimo procedūrų organizavimas, atlikimas, VERT leidimo gavimas ir kitos paslaugos, reikalingos elektrinėms įrengti ir pradėti elektrinių eksploataciją.</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8.</w:t>
            </w:r>
          </w:p>
        </w:tc>
        <w:tc>
          <w:tcPr>
            <w:tcW w:w="6175" w:type="dxa"/>
            <w:tcBorders/>
            <w:shd w:color="auto" w:fill="auto" w:val="clear"/>
            <w:vAlign w:val="center"/>
          </w:tcPr>
          <w:p>
            <w:pPr>
              <w:pStyle w:val="Normal"/>
              <w:widowControl w:val="false"/>
              <w:suppressAutoHyphens w:val="true"/>
              <w:spacing w:before="0" w:after="0"/>
              <w:jc w:val="left"/>
              <w:rPr>
                <w:szCs w:val="24"/>
                <w:highlight w:val="yellow"/>
              </w:rPr>
            </w:pPr>
            <w:r>
              <w:rPr>
                <w:kern w:val="0"/>
                <w:sz w:val="24"/>
                <w:szCs w:val="24"/>
                <w:lang w:eastAsia="en-US" w:bidi="ar-SA"/>
              </w:rPr>
              <w:t xml:space="preserve">Monitoringo </w:t>
            </w:r>
            <w:r>
              <w:rPr>
                <w:kern w:val="0"/>
                <w:sz w:val="22"/>
                <w:szCs w:val="24"/>
                <w:lang w:eastAsia="en-US" w:bidi="ar-SA"/>
              </w:rPr>
              <w:t>paslauga</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right"/>
              <w:rPr>
                <w:b/>
                <w:b/>
                <w:bCs/>
                <w:szCs w:val="24"/>
              </w:rPr>
            </w:pPr>
            <w:r>
              <w:rPr>
                <w:b/>
                <w:bCs/>
                <w:sz w:val="22"/>
                <w:szCs w:val="24"/>
              </w:rPr>
            </w:r>
          </w:p>
        </w:tc>
        <w:tc>
          <w:tcPr>
            <w:tcW w:w="6175" w:type="dxa"/>
            <w:tcBorders/>
            <w:vAlign w:val="center"/>
          </w:tcPr>
          <w:p>
            <w:pPr>
              <w:pStyle w:val="Normal"/>
              <w:widowControl w:val="false"/>
              <w:suppressAutoHyphens w:val="true"/>
              <w:spacing w:before="0" w:after="0"/>
              <w:jc w:val="right"/>
              <w:rPr>
                <w:b/>
                <w:b/>
                <w:bCs/>
                <w:szCs w:val="24"/>
              </w:rPr>
            </w:pPr>
            <w:r>
              <w:rPr>
                <w:b/>
                <w:bCs/>
                <w:kern w:val="0"/>
                <w:sz w:val="22"/>
                <w:szCs w:val="24"/>
                <w:lang w:eastAsia="en-US" w:bidi="ar-SA"/>
              </w:rPr>
              <w:t>SUMA:</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bl>
    <w:p>
      <w:pPr>
        <w:pStyle w:val="Normal"/>
        <w:spacing w:before="0" w:after="0"/>
        <w:ind w:firstLine="709"/>
        <w:contextualSpacing/>
        <w:jc w:val="both"/>
        <w:rPr>
          <w:szCs w:val="24"/>
        </w:rPr>
      </w:pPr>
      <w:r>
        <w:rPr>
          <w:szCs w:val="24"/>
        </w:rPr>
      </w:r>
    </w:p>
    <w:p>
      <w:pPr>
        <w:pStyle w:val="Normal"/>
        <w:spacing w:before="0" w:after="0"/>
        <w:ind w:firstLine="709"/>
        <w:contextualSpacing/>
        <w:jc w:val="both"/>
        <w:rPr>
          <w:szCs w:val="24"/>
        </w:rPr>
      </w:pPr>
      <w:r>
        <w:rPr>
          <w:szCs w:val="24"/>
        </w:rPr>
        <w:t>Bendra pasiūlymo kaina su PVM – ______________ Eur (</w:t>
      </w:r>
      <w:r>
        <w:rPr>
          <w:i/>
          <w:iCs/>
          <w:szCs w:val="24"/>
        </w:rPr>
        <w:t>suma žodžiais</w:t>
      </w:r>
      <w:r>
        <w:rPr>
          <w:szCs w:val="24"/>
        </w:rPr>
        <w:t>).</w:t>
      </w:r>
    </w:p>
    <w:p>
      <w:pPr>
        <w:pStyle w:val="ListParagraph"/>
        <w:ind w:left="1440" w:hanging="0"/>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rFonts w:ascii="Times New Roman" w:hAnsi="Times New Roman" w:cs="Times New Roman"/>
          <w:sz w:val="24"/>
          <w:szCs w:val="24"/>
        </w:rPr>
      </w:pPr>
      <w:r>
        <w:rPr>
          <w:rFonts w:cs="Times New Roman" w:ascii="Times New Roman" w:hAnsi="Times New Roman"/>
          <w:sz w:val="24"/>
          <w:szCs w:val="24"/>
        </w:rPr>
        <w:t>Garantuojama elektrinių elektros energijos gamyba per Monitoringo</w:t>
      </w:r>
      <w:r>
        <w:rPr>
          <w:rStyle w:val="Inaosprieraias"/>
          <w:rFonts w:cs="Times New Roman" w:ascii="Times New Roman" w:hAnsi="Times New Roman"/>
          <w:sz w:val="24"/>
          <w:szCs w:val="24"/>
        </w:rPr>
        <w:footnoteReference w:id="2"/>
      </w:r>
      <w:r>
        <w:rPr>
          <w:rFonts w:cs="Times New Roman" w:ascii="Times New Roman" w:hAnsi="Times New Roman"/>
          <w:sz w:val="24"/>
          <w:szCs w:val="24"/>
        </w:rPr>
        <w:t xml:space="preserve"> laikotarpį:</w:t>
      </w:r>
    </w:p>
    <w:p>
      <w:pPr>
        <w:pStyle w:val="Normal"/>
        <w:ind w:firstLine="709"/>
        <w:rPr>
          <w:szCs w:val="24"/>
        </w:rPr>
      </w:pPr>
      <w:r>
        <w:rPr>
          <w:szCs w:val="24"/>
        </w:rPr>
      </w:r>
    </w:p>
    <w:p>
      <w:pPr>
        <w:pStyle w:val="ListParagraph"/>
        <w:rPr>
          <w:rFonts w:ascii="Times New Roman" w:hAnsi="Times New Roman" w:cs="Times New Roman"/>
          <w:sz w:val="24"/>
          <w:szCs w:val="24"/>
        </w:rPr>
      </w:pPr>
      <w:r>
        <w:rPr>
          <w:rFonts w:cs="Times New Roman" w:ascii="Times New Roman" w:hAnsi="Times New Roman"/>
          <w:sz w:val="24"/>
          <w:szCs w:val="24"/>
        </w:rPr>
        <w:t xml:space="preserve">4.1 </w:t>
      </w:r>
      <w:r>
        <w:rPr>
          <w:rFonts w:cs="Times New Roman" w:ascii="Times New Roman" w:hAnsi="Times New Roman"/>
          <w:b/>
          <w:sz w:val="24"/>
          <w:szCs w:val="24"/>
        </w:rPr>
        <w:t xml:space="preserve"> Troškūnų g. 5 elektrinės</w:t>
      </w:r>
      <w:r>
        <w:rPr>
          <w:rFonts w:cs="Times New Roman" w:ascii="Times New Roman" w:hAnsi="Times New Roman"/>
          <w:sz w:val="24"/>
          <w:szCs w:val="24"/>
        </w:rPr>
        <w:t xml:space="preserve"> ____________kWh/metus;</w:t>
      </w:r>
    </w:p>
    <w:p>
      <w:pPr>
        <w:sectPr>
          <w:footnotePr>
            <w:numFmt w:val="decimal"/>
          </w:footnotePr>
          <w:type w:val="nextPage"/>
          <w:pgSz w:w="12240" w:h="15840"/>
          <w:pgMar w:left="900" w:right="1440" w:header="0" w:top="1440" w:footer="0" w:bottom="1440" w:gutter="0"/>
          <w:pgNumType w:fmt="decimal"/>
          <w:formProt w:val="false"/>
          <w:textDirection w:val="lrTb"/>
          <w:docGrid w:type="default" w:linePitch="360" w:charSpace="0"/>
        </w:sectPr>
        <w:pStyle w:val="ListParagraph"/>
        <w:rPr>
          <w:rFonts w:ascii="Times New Roman" w:hAnsi="Times New Roman" w:cs="Times New Roman"/>
          <w:sz w:val="24"/>
          <w:szCs w:val="24"/>
        </w:rPr>
      </w:pPr>
      <w:r>
        <w:rPr>
          <w:rFonts w:cs="Times New Roman" w:ascii="Times New Roman" w:hAnsi="Times New Roman"/>
          <w:sz w:val="24"/>
          <w:szCs w:val="24"/>
        </w:rPr>
        <w:t xml:space="preserve">4.2 </w:t>
      </w:r>
      <w:r>
        <w:rPr>
          <w:rFonts w:cs="Times New Roman" w:ascii="Times New Roman" w:hAnsi="Times New Roman"/>
          <w:b/>
          <w:sz w:val="24"/>
          <w:szCs w:val="24"/>
        </w:rPr>
        <w:t xml:space="preserve"> </w:t>
      </w:r>
      <w:r>
        <w:rPr>
          <w:rFonts w:eastAsia="Calibri" w:cs="Times New Roman" w:ascii="Times New Roman" w:hAnsi="Times New Roman"/>
          <w:b/>
          <w:color w:val="000000"/>
          <w:sz w:val="24"/>
          <w:szCs w:val="24"/>
        </w:rPr>
        <w:t>Lagedžių k. 2, Anykščių r. sav.</w:t>
      </w:r>
      <w:r>
        <w:rPr>
          <w:rFonts w:cs="Times New Roman" w:ascii="Times New Roman" w:hAnsi="Times New Roman"/>
          <w:b/>
          <w:sz w:val="24"/>
          <w:szCs w:val="24"/>
        </w:rPr>
        <w:t xml:space="preserve"> elektrinės</w:t>
      </w:r>
      <w:r>
        <w:rPr>
          <w:rFonts w:cs="Times New Roman" w:ascii="Times New Roman" w:hAnsi="Times New Roman"/>
          <w:sz w:val="24"/>
          <w:szCs w:val="24"/>
        </w:rPr>
        <w:t xml:space="preserve"> ____________kWh/metus.</w:t>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Techninių reikalavimų įrangai išpildymas ir aprašymas:</w:t>
      </w:r>
    </w:p>
    <w:tbl>
      <w:tblPr>
        <w:tblStyle w:val="TableGrid"/>
        <w:tblW w:w="13644" w:type="dxa"/>
        <w:jc w:val="left"/>
        <w:tblInd w:w="120" w:type="dxa"/>
        <w:tblLayout w:type="fixed"/>
        <w:tblCellMar>
          <w:top w:w="0" w:type="dxa"/>
          <w:left w:w="108" w:type="dxa"/>
          <w:bottom w:w="0" w:type="dxa"/>
          <w:right w:w="108" w:type="dxa"/>
        </w:tblCellMar>
        <w:tblLook w:firstRow="1" w:noVBand="1" w:lastRow="0" w:firstColumn="1" w:lastColumn="0" w:noHBand="0" w:val="04a0"/>
      </w:tblPr>
      <w:tblGrid>
        <w:gridCol w:w="683"/>
        <w:gridCol w:w="2437"/>
        <w:gridCol w:w="3838"/>
        <w:gridCol w:w="4224"/>
        <w:gridCol w:w="2462"/>
      </w:tblGrid>
      <w:tr>
        <w:trPr>
          <w:tblHeader w:val="true"/>
        </w:trPr>
        <w:tc>
          <w:tcPr>
            <w:tcW w:w="683"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Nr.</w:t>
            </w:r>
          </w:p>
        </w:tc>
        <w:tc>
          <w:tcPr>
            <w:tcW w:w="2437"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Parametras</w:t>
            </w:r>
          </w:p>
        </w:tc>
        <w:tc>
          <w:tcPr>
            <w:tcW w:w="3838"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Reikalaujamas rodiklis</w:t>
            </w:r>
          </w:p>
        </w:tc>
        <w:tc>
          <w:tcPr>
            <w:tcW w:w="4224" w:type="dxa"/>
            <w:tcBorders/>
            <w:vAlign w:val="center"/>
          </w:tcPr>
          <w:p>
            <w:pPr>
              <w:pStyle w:val="Normal"/>
              <w:widowControl w:val="false"/>
              <w:suppressAutoHyphens w:val="true"/>
              <w:spacing w:before="0" w:after="0"/>
              <w:jc w:val="center"/>
              <w:rPr>
                <w:szCs w:val="24"/>
              </w:rPr>
            </w:pPr>
            <w:r>
              <w:rPr>
                <w:b/>
                <w:kern w:val="0"/>
                <w:sz w:val="22"/>
                <w:szCs w:val="24"/>
                <w:lang w:eastAsia="en-US" w:bidi="ar-SA"/>
              </w:rPr>
              <w:t>Siūlomos įrangos gamintojas, techninės charakteristikos, suteikiamas garantinis laikotarpis ir pan.</w:t>
            </w:r>
          </w:p>
          <w:p>
            <w:pPr>
              <w:pStyle w:val="Normal"/>
              <w:widowControl w:val="false"/>
              <w:suppressAutoHyphens w:val="true"/>
              <w:spacing w:before="0" w:after="0"/>
              <w:jc w:val="center"/>
              <w:rPr>
                <w:b/>
                <w:b/>
                <w:szCs w:val="24"/>
              </w:rPr>
            </w:pPr>
            <w:r>
              <w:rPr>
                <w:rFonts w:eastAsia="Calibri"/>
                <w:b/>
                <w:bCs/>
                <w:i/>
                <w:iCs/>
                <w:kern w:val="0"/>
                <w:sz w:val="20"/>
                <w:szCs w:val="24"/>
                <w:u w:val="single"/>
                <w:lang w:eastAsia="en-US" w:bidi="ar-SA"/>
              </w:rPr>
              <w:t>(tiekėjas turi nurodyti tikslius dydžius, medžiagas, išmatavimus, pridėti tai įrodančius dokumentus ir pan. arba patvirtinti atitinka/neatitinka)</w:t>
            </w:r>
          </w:p>
        </w:tc>
        <w:tc>
          <w:tcPr>
            <w:tcW w:w="2462"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Nurodyti pateikiamų dokumentų vietą pasiūlyme (puslapių numeriai, priedo numeris ar kt.)</w:t>
            </w:r>
          </w:p>
        </w:tc>
      </w:tr>
      <w:tr>
        <w:trPr/>
        <w:tc>
          <w:tcPr>
            <w:tcW w:w="683" w:type="dxa"/>
            <w:tcBorders/>
            <w:vAlign w:val="center"/>
          </w:tcPr>
          <w:p>
            <w:pPr>
              <w:pStyle w:val="Normal"/>
              <w:widowControl w:val="false"/>
              <w:suppressAutoHyphens w:val="true"/>
              <w:spacing w:before="0" w:after="0"/>
              <w:jc w:val="left"/>
              <w:rPr>
                <w:b/>
                <w:b/>
                <w:szCs w:val="24"/>
              </w:rPr>
            </w:pPr>
            <w:r>
              <w:rPr>
                <w:b/>
                <w:kern w:val="0"/>
                <w:sz w:val="22"/>
                <w:szCs w:val="24"/>
                <w:lang w:eastAsia="en-US" w:bidi="ar-SA"/>
              </w:rPr>
              <w:t>1.</w:t>
            </w:r>
          </w:p>
        </w:tc>
        <w:tc>
          <w:tcPr>
            <w:tcW w:w="6275" w:type="dxa"/>
            <w:gridSpan w:val="2"/>
            <w:tcBorders/>
            <w:vAlign w:val="center"/>
          </w:tcPr>
          <w:p>
            <w:pPr>
              <w:pStyle w:val="Normal"/>
              <w:widowControl w:val="false"/>
              <w:suppressAutoHyphens w:val="true"/>
              <w:spacing w:before="0" w:after="0"/>
              <w:jc w:val="left"/>
              <w:rPr>
                <w:b/>
                <w:b/>
                <w:szCs w:val="24"/>
              </w:rPr>
            </w:pPr>
            <w:r>
              <w:rPr>
                <w:b/>
                <w:kern w:val="0"/>
                <w:sz w:val="22"/>
                <w:szCs w:val="24"/>
                <w:lang w:eastAsia="en-US" w:bidi="ar-SA"/>
              </w:rPr>
              <w:t>SAULĖS FOTOELEKTRINIAI MODULIAI</w:t>
            </w:r>
          </w:p>
        </w:tc>
        <w:tc>
          <w:tcPr>
            <w:tcW w:w="4224" w:type="dxa"/>
            <w:tcBorders/>
            <w:vAlign w:val="center"/>
          </w:tcPr>
          <w:p>
            <w:pPr>
              <w:pStyle w:val="Normal"/>
              <w:widowControl w:val="false"/>
              <w:suppressAutoHyphens w:val="true"/>
              <w:spacing w:before="0" w:after="0"/>
              <w:jc w:val="left"/>
              <w:rPr>
                <w:b/>
                <w:b/>
                <w:szCs w:val="24"/>
              </w:rPr>
            </w:pPr>
            <w:r>
              <w:rPr>
                <w:b/>
                <w:sz w:val="22"/>
                <w:szCs w:val="24"/>
              </w:rPr>
            </w:r>
          </w:p>
        </w:tc>
        <w:tc>
          <w:tcPr>
            <w:tcW w:w="2462" w:type="dxa"/>
            <w:tcBorders/>
            <w:vAlign w:val="center"/>
          </w:tcPr>
          <w:p>
            <w:pPr>
              <w:pStyle w:val="Normal"/>
              <w:widowControl w:val="false"/>
              <w:suppressAutoHyphens w:val="true"/>
              <w:spacing w:before="0" w:after="0"/>
              <w:jc w:val="left"/>
              <w:rPr>
                <w:b/>
                <w:b/>
                <w:szCs w:val="24"/>
              </w:rPr>
            </w:pPr>
            <w:r>
              <w:rPr>
                <w:b/>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Technologija</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Monokristaliniai, polikristaliniai arba lygiaverčiai</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1.2.</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Modulio paviršius</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Atsparus atmosferos poveikiui (UV, dulkėms, drėgmei, krituliams)</w:t>
            </w:r>
          </w:p>
        </w:tc>
        <w:tc>
          <w:tcPr>
            <w:tcW w:w="4224" w:type="dxa"/>
            <w:tcBorders/>
            <w:vAlign w:val="center"/>
          </w:tcPr>
          <w:p>
            <w:pPr>
              <w:pStyle w:val="Normal"/>
              <w:widowControl w:val="false"/>
              <w:suppressAutoHyphens w:val="true"/>
              <w:spacing w:before="0" w:after="0"/>
              <w:jc w:val="center"/>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1.3.</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Modulio rėmas</w:t>
            </w:r>
          </w:p>
        </w:tc>
        <w:tc>
          <w:tcPr>
            <w:tcW w:w="3838" w:type="dxa"/>
            <w:tcBorders/>
            <w:vAlign w:val="center"/>
          </w:tcPr>
          <w:p>
            <w:pPr>
              <w:pStyle w:val="Normal"/>
              <w:widowControl w:val="false"/>
              <w:suppressAutoHyphens w:val="true"/>
              <w:spacing w:before="0" w:after="0"/>
              <w:jc w:val="both"/>
              <w:rPr>
                <w:szCs w:val="24"/>
              </w:rPr>
            </w:pPr>
            <w:r>
              <w:rPr>
                <w:rFonts w:eastAsia="Calibri"/>
                <w:kern w:val="0"/>
                <w:sz w:val="22"/>
                <w:szCs w:val="24"/>
                <w:lang w:eastAsia="en-US" w:bidi="ar-SA"/>
              </w:rPr>
              <w:t>Anoduoto aliuminio lydinio rėmas arba lygiavertis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1.4.</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Jungiamosios dėžutės apsaugos klasė</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1.5.</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Sujungtų kabelių jungčių apsaugos klasė</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1.6.</w:t>
            </w:r>
          </w:p>
        </w:tc>
        <w:tc>
          <w:tcPr>
            <w:tcW w:w="2437" w:type="dxa"/>
            <w:tcBorders/>
            <w:vAlign w:val="center"/>
          </w:tcPr>
          <w:p>
            <w:pPr>
              <w:pStyle w:val="Normal"/>
              <w:widowControl w:val="false"/>
              <w:suppressAutoHyphens w:val="true"/>
              <w:spacing w:before="0" w:after="0"/>
              <w:jc w:val="left"/>
              <w:rPr>
                <w:szCs w:val="24"/>
              </w:rPr>
            </w:pPr>
            <w:r>
              <w:rPr>
                <w:rFonts w:eastAsia="Calibri"/>
                <w:kern w:val="0"/>
                <w:sz w:val="22"/>
                <w:szCs w:val="24"/>
                <w:lang w:eastAsia="en-US" w:bidi="ar-SA"/>
              </w:rPr>
              <w:t>Darbinės modulio temperatūros rėžiai ne siauresni nei</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-40 – +85 °C</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1.7.</w:t>
            </w:r>
          </w:p>
        </w:tc>
        <w:tc>
          <w:tcPr>
            <w:tcW w:w="2437" w:type="dxa"/>
            <w:tcBorders/>
            <w:vAlign w:val="center"/>
          </w:tcPr>
          <w:p>
            <w:pPr>
              <w:pStyle w:val="Normal"/>
              <w:widowControl w:val="false"/>
              <w:suppressAutoHyphens w:val="true"/>
              <w:spacing w:before="0" w:after="0"/>
              <w:jc w:val="left"/>
              <w:rPr>
                <w:rFonts w:eastAsia="Calibri"/>
                <w:szCs w:val="24"/>
              </w:rPr>
            </w:pPr>
            <w:r>
              <w:rPr>
                <w:rFonts w:eastAsia="Calibri"/>
                <w:bCs/>
                <w:kern w:val="0"/>
                <w:sz w:val="22"/>
                <w:szCs w:val="24"/>
                <w:lang w:eastAsia="en-US" w:bidi="ar-SA"/>
              </w:rPr>
              <w:t>Modulio priekinės dalies minimali leistina statinė apkrova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5400 Pa</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1.8.</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Modulio galinės dalies minimali leistina apkrova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2400 Pa</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1.9.</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Produkto gamintojo garantijos (produkto defektams)  laikotarpis</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10 metų</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1.10.</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Gamintojo efektyvumo garantija po 25 metų eksploatacijos</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80,0 %</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1.11.</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Standartai ir direktyvos</w:t>
            </w:r>
          </w:p>
        </w:tc>
        <w:tc>
          <w:tcPr>
            <w:tcW w:w="3838" w:type="dxa"/>
            <w:tcBorders/>
            <w:vAlign w:val="center"/>
          </w:tcPr>
          <w:p>
            <w:pPr>
              <w:pStyle w:val="Normal"/>
              <w:widowControl w:val="false"/>
              <w:suppressAutoHyphens w:val="true"/>
              <w:spacing w:before="0" w:after="0"/>
              <w:jc w:val="left"/>
              <w:rPr>
                <w:color w:val="000000"/>
                <w:szCs w:val="24"/>
              </w:rPr>
            </w:pPr>
            <w:r>
              <w:rPr>
                <w:color w:val="000000"/>
                <w:kern w:val="0"/>
                <w:sz w:val="22"/>
                <w:szCs w:val="24"/>
                <w:lang w:eastAsia="en-US" w:bidi="ar-SA"/>
              </w:rPr>
              <w:t>LST EN 61215:2017 (arba lygiavertis)</w:t>
            </w:r>
          </w:p>
          <w:p>
            <w:pPr>
              <w:pStyle w:val="Normal"/>
              <w:widowControl w:val="false"/>
              <w:suppressAutoHyphens w:val="true"/>
              <w:spacing w:before="0" w:after="0"/>
              <w:jc w:val="left"/>
              <w:rPr>
                <w:color w:val="000000"/>
                <w:szCs w:val="24"/>
              </w:rPr>
            </w:pPr>
            <w:r>
              <w:rPr>
                <w:color w:val="000000"/>
                <w:kern w:val="0"/>
                <w:sz w:val="22"/>
                <w:szCs w:val="24"/>
                <w:lang w:eastAsia="en-US" w:bidi="ar-SA"/>
              </w:rPr>
              <w:t>LST EN 61730-1:2007 (arba lygiavertis)</w:t>
            </w:r>
          </w:p>
          <w:p>
            <w:pPr>
              <w:pStyle w:val="Normal"/>
              <w:widowControl w:val="false"/>
              <w:suppressAutoHyphens w:val="true"/>
              <w:spacing w:before="0" w:after="0"/>
              <w:jc w:val="left"/>
              <w:rPr>
                <w:color w:val="000000"/>
                <w:szCs w:val="24"/>
              </w:rPr>
            </w:pPr>
            <w:r>
              <w:rPr>
                <w:color w:val="000000"/>
                <w:kern w:val="0"/>
                <w:sz w:val="22"/>
                <w:szCs w:val="24"/>
                <w:lang w:eastAsia="en-US" w:bidi="ar-SA"/>
              </w:rPr>
              <w:t>LST EN 61730-2:2007 (arba lygiavertis)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1.12.</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Sertifikatas arba lygiavertis dokumentas</w:t>
            </w:r>
          </w:p>
        </w:tc>
        <w:tc>
          <w:tcPr>
            <w:tcW w:w="3838" w:type="dxa"/>
            <w:tcBorders/>
            <w:vAlign w:val="center"/>
          </w:tcPr>
          <w:p>
            <w:pPr>
              <w:pStyle w:val="Normal"/>
              <w:widowControl w:val="false"/>
              <w:suppressAutoHyphens w:val="true"/>
              <w:spacing w:before="0" w:after="0"/>
              <w:jc w:val="both"/>
              <w:rPr>
                <w:color w:val="000000"/>
                <w:szCs w:val="24"/>
              </w:rPr>
            </w:pPr>
            <w:r>
              <w:rPr>
                <w:color w:val="000000"/>
                <w:kern w:val="0"/>
                <w:sz w:val="22"/>
                <w:szCs w:val="24"/>
                <w:lang w:eastAsia="en-US" w:bidi="ar-SA"/>
              </w:rPr>
              <w:t>CE ženklinimas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2.</w:t>
            </w:r>
          </w:p>
        </w:tc>
        <w:tc>
          <w:tcPr>
            <w:tcW w:w="6275" w:type="dxa"/>
            <w:gridSpan w:val="2"/>
            <w:tcBorders/>
            <w:vAlign w:val="center"/>
          </w:tcPr>
          <w:p>
            <w:pPr>
              <w:pStyle w:val="Normal"/>
              <w:widowControl w:val="false"/>
              <w:suppressAutoHyphens w:val="true"/>
              <w:spacing w:before="0" w:after="0"/>
              <w:jc w:val="both"/>
              <w:rPr>
                <w:b/>
                <w:b/>
                <w:color w:val="000000"/>
                <w:szCs w:val="24"/>
              </w:rPr>
            </w:pPr>
            <w:r>
              <w:rPr>
                <w:b/>
                <w:color w:val="000000"/>
                <w:kern w:val="0"/>
                <w:sz w:val="22"/>
                <w:szCs w:val="24"/>
                <w:lang w:eastAsia="en-US" w:bidi="ar-SA"/>
              </w:rPr>
              <w:t>KEITIKLIAI</w:t>
            </w:r>
          </w:p>
        </w:tc>
        <w:tc>
          <w:tcPr>
            <w:tcW w:w="4224" w:type="dxa"/>
            <w:tcBorders/>
            <w:vAlign w:val="center"/>
          </w:tcPr>
          <w:p>
            <w:pPr>
              <w:pStyle w:val="Normal"/>
              <w:widowControl w:val="false"/>
              <w:suppressAutoHyphens w:val="true"/>
              <w:spacing w:before="0" w:after="0"/>
              <w:jc w:val="both"/>
              <w:rPr>
                <w:b/>
                <w:b/>
                <w:color w:val="000000"/>
                <w:szCs w:val="24"/>
              </w:rPr>
            </w:pPr>
            <w:r>
              <w:rPr>
                <w:b/>
                <w:color w:val="000000"/>
                <w:sz w:val="22"/>
                <w:szCs w:val="24"/>
              </w:rPr>
            </w:r>
          </w:p>
        </w:tc>
        <w:tc>
          <w:tcPr>
            <w:tcW w:w="2462" w:type="dxa"/>
            <w:tcBorders/>
            <w:vAlign w:val="center"/>
          </w:tcPr>
          <w:p>
            <w:pPr>
              <w:pStyle w:val="Normal"/>
              <w:widowControl w:val="false"/>
              <w:suppressAutoHyphens w:val="true"/>
              <w:spacing w:before="0" w:after="0"/>
              <w:jc w:val="both"/>
              <w:rPr>
                <w:b/>
                <w:b/>
                <w:color w:val="000000"/>
                <w:szCs w:val="24"/>
              </w:rPr>
            </w:pPr>
            <w:r>
              <w:rPr>
                <w:b/>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AC dalies darbiniai parametrai</w:t>
            </w:r>
          </w:p>
        </w:tc>
        <w:tc>
          <w:tcPr>
            <w:tcW w:w="3838" w:type="dxa"/>
            <w:tcBorders/>
            <w:vAlign w:val="center"/>
          </w:tcPr>
          <w:p>
            <w:pPr>
              <w:pStyle w:val="Normal"/>
              <w:widowControl w:val="false"/>
              <w:suppressAutoHyphens w:val="true"/>
              <w:spacing w:before="0" w:after="0"/>
              <w:jc w:val="both"/>
              <w:rPr>
                <w:color w:val="000000"/>
                <w:szCs w:val="24"/>
              </w:rPr>
            </w:pPr>
            <w:r>
              <w:rPr>
                <w:rFonts w:eastAsia="Calibri"/>
                <w:bCs/>
                <w:kern w:val="0"/>
                <w:sz w:val="22"/>
                <w:szCs w:val="24"/>
                <w:lang w:eastAsia="en-US" w:bidi="ar-SA"/>
              </w:rPr>
              <w:t>230/400 V, 50 Hz</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2.2.</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Darbinės aplinkos temperatūros rėžiai ne siauresni nei</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-25°C – +60°C</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2.3.</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Nominalus keitiklio efektyvumas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w:t>
            </w:r>
            <w:r>
              <w:rPr>
                <w:rFonts w:eastAsia="Calibri"/>
                <w:bCs/>
                <w:kern w:val="0"/>
                <w:sz w:val="22"/>
                <w:szCs w:val="24"/>
                <w:lang w:eastAsia="en-US" w:bidi="ar-SA"/>
              </w:rPr>
              <w:t>97,0 %</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2.4.</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Apsaugos klasė</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2.5.</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Gamintojo garantija</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w:t>
            </w:r>
            <w:r>
              <w:rPr>
                <w:rFonts w:eastAsia="Calibri"/>
                <w:bCs/>
                <w:kern w:val="0"/>
                <w:sz w:val="22"/>
                <w:szCs w:val="24"/>
                <w:lang w:eastAsia="en-US" w:bidi="ar-SA"/>
              </w:rPr>
              <w:t>10 metų</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2.6.</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Gebėjimas reguliuoti aktyviąją ir reaktyviąją galią bei įtampas</w:t>
            </w:r>
          </w:p>
        </w:tc>
        <w:tc>
          <w:tcPr>
            <w:tcW w:w="3838"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Privaloma ir esant poreikiui nuotoliniu būdu pagal  Q (U) algoritmą</w:t>
            </w:r>
            <w:r>
              <w:rPr>
                <w:rStyle w:val="Inaosprieraias"/>
                <w:rFonts w:eastAsia="Calibri"/>
                <w:bCs/>
                <w:kern w:val="0"/>
                <w:sz w:val="22"/>
                <w:szCs w:val="24"/>
                <w:lang w:eastAsia="en-US" w:bidi="ar-SA"/>
              </w:rPr>
              <w:footnoteReference w:id="3"/>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2.7.</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Galios optimizavimas (MPPT – angl. maximum power point tracking) arba lygiavertis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Privalomas</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2.8.</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Standartai ir direktyvos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EN 50549-1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EN 50549-2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61727:2004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62116:2008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62109-1:2010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62109-2:2011 (arba lygiavertis)</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2.9.</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Sertifikatas arba lygiavertis dokumentas</w:t>
            </w:r>
          </w:p>
        </w:tc>
        <w:tc>
          <w:tcPr>
            <w:tcW w:w="3838" w:type="dxa"/>
            <w:tcBorders/>
            <w:vAlign w:val="center"/>
          </w:tcPr>
          <w:p>
            <w:pPr>
              <w:pStyle w:val="Normal"/>
              <w:widowControl w:val="false"/>
              <w:suppressAutoHyphens w:val="true"/>
              <w:spacing w:before="0" w:after="0"/>
              <w:jc w:val="both"/>
              <w:rPr>
                <w:color w:val="000000"/>
                <w:szCs w:val="24"/>
              </w:rPr>
            </w:pPr>
            <w:r>
              <w:rPr>
                <w:color w:val="000000"/>
                <w:kern w:val="0"/>
                <w:sz w:val="22"/>
                <w:szCs w:val="24"/>
                <w:lang w:eastAsia="en-US" w:bidi="ar-SA"/>
              </w:rPr>
              <w:t>CE ženklinimas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2.10.</w:t>
            </w:r>
          </w:p>
        </w:tc>
        <w:tc>
          <w:tcPr>
            <w:tcW w:w="2437" w:type="dxa"/>
            <w:tcBorders/>
            <w:vAlign w:val="center"/>
          </w:tcPr>
          <w:p>
            <w:pPr>
              <w:pStyle w:val="Normal"/>
              <w:widowControl w:val="false"/>
              <w:shd w:val="clear" w:color="auto" w:fill="FFFFFF"/>
              <w:suppressAutoHyphens w:val="true"/>
              <w:spacing w:before="0" w:after="0"/>
              <w:jc w:val="left"/>
              <w:textAlignment w:val="baseline"/>
              <w:rPr>
                <w:rFonts w:eastAsia="Andale Sans UI"/>
                <w:kern w:val="2"/>
                <w:szCs w:val="24"/>
                <w:lang w:bidi="en-US"/>
              </w:rPr>
            </w:pPr>
            <w:r>
              <w:rPr>
                <w:rFonts w:eastAsia="Andale Sans UI"/>
                <w:kern w:val="2"/>
                <w:sz w:val="22"/>
                <w:szCs w:val="24"/>
                <w:lang w:eastAsia="en-US" w:bidi="en-US"/>
              </w:rPr>
              <w:t>Galimos duomenų perdavimo sąsajos pagrindinės, bet neapsiribojant</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eastAsia="en-US" w:bidi="en-US"/>
              </w:rPr>
              <w:t>LAN, RS485 ar kitos, kurios tiktų komunikacijai su modemu ir monitoringo sistema.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bidi="en-US"/>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2.11.</w:t>
            </w:r>
          </w:p>
        </w:tc>
        <w:tc>
          <w:tcPr>
            <w:tcW w:w="2437" w:type="dxa"/>
            <w:tcBorders/>
            <w:vAlign w:val="center"/>
          </w:tcPr>
          <w:p>
            <w:pPr>
              <w:pStyle w:val="Normal"/>
              <w:widowControl w:val="false"/>
              <w:shd w:val="clear" w:color="auto" w:fill="FFFFFF"/>
              <w:suppressAutoHyphens w:val="true"/>
              <w:spacing w:before="0" w:after="0"/>
              <w:jc w:val="left"/>
              <w:textAlignment w:val="baseline"/>
              <w:rPr>
                <w:rFonts w:eastAsia="Andale Sans UI"/>
                <w:kern w:val="2"/>
                <w:szCs w:val="24"/>
                <w:lang w:bidi="en-US"/>
              </w:rPr>
            </w:pPr>
            <w:r>
              <w:rPr>
                <w:rFonts w:eastAsia="Andale Sans UI"/>
                <w:kern w:val="2"/>
                <w:sz w:val="22"/>
                <w:szCs w:val="24"/>
                <w:lang w:eastAsia="en-US" w:bidi="en-US"/>
              </w:rPr>
              <w:t>Keitiklio grafinė vartotojo sąsaja (GUI – angl. graphic user interface)</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eastAsia="en-US" w:bidi="en-US"/>
              </w:rPr>
              <w:t>Keitiklis turi turėti sąsają, kuria pasinaudojant būtų galima paimti duomenis tiesiai iš keitiklio į nešiojamą įrenginį (pvz. telefoną, kompiuterį, USB laikmeną ar pan.) bent šiuos parametrus: pagaminta ir persiųsta į elektros tinklą elektros energija per einamą kalendorinį mėnesį ir praėjusius kalendorinius metus (mėnesių intervalu). Tiekėjas pateikdamas pasiūlymą turi pateikti ir keitiklio techninę specifikaciją, kurioje būtų nurodyta, kad toks funkcionalumas yra.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bidi="en-US"/>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3.</w:t>
            </w:r>
          </w:p>
        </w:tc>
        <w:tc>
          <w:tcPr>
            <w:tcW w:w="6275" w:type="dxa"/>
            <w:gridSpan w:val="2"/>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b/>
                <w:kern w:val="2"/>
                <w:sz w:val="22"/>
                <w:szCs w:val="24"/>
                <w:lang w:eastAsia="en-US" w:bidi="en-US"/>
              </w:rPr>
              <w:t>MONTAVIMO KONSTRUKCIJOS</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b/>
                <w:b/>
                <w:kern w:val="2"/>
                <w:szCs w:val="24"/>
                <w:lang w:bidi="en-US"/>
              </w:rPr>
            </w:pPr>
            <w:r>
              <w:rPr>
                <w:rFonts w:eastAsia="Andale Sans UI"/>
                <w:b/>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b/>
                <w:b/>
                <w:kern w:val="2"/>
                <w:szCs w:val="24"/>
                <w:lang w:bidi="en-US"/>
              </w:rPr>
            </w:pPr>
            <w:r>
              <w:rPr>
                <w:rFonts w:eastAsia="Andale Sans UI"/>
                <w:b/>
                <w:kern w:val="2"/>
                <w:sz w:val="22"/>
                <w:szCs w:val="24"/>
                <w:lang w:bidi="en-US"/>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3.1.</w:t>
            </w:r>
          </w:p>
        </w:tc>
        <w:tc>
          <w:tcPr>
            <w:tcW w:w="2437" w:type="dxa"/>
            <w:tcBorders/>
            <w:vAlign w:val="center"/>
          </w:tcPr>
          <w:p>
            <w:pPr>
              <w:pStyle w:val="Normal"/>
              <w:widowControl w:val="false"/>
              <w:shd w:val="clear" w:color="auto" w:fill="FFFFFF"/>
              <w:suppressAutoHyphens w:val="true"/>
              <w:spacing w:before="0" w:after="0"/>
              <w:jc w:val="both"/>
              <w:textAlignment w:val="baseline"/>
              <w:rPr>
                <w:rFonts w:eastAsia="Andale Sans UI"/>
                <w:kern w:val="2"/>
                <w:szCs w:val="24"/>
                <w:lang w:bidi="en-US"/>
              </w:rPr>
            </w:pPr>
            <w:r>
              <w:rPr>
                <w:rFonts w:eastAsia="Andale Sans UI"/>
                <w:kern w:val="2"/>
                <w:sz w:val="22"/>
                <w:szCs w:val="24"/>
                <w:lang w:eastAsia="en-US" w:bidi="en-US"/>
              </w:rPr>
              <w:t>Gamintojo garantija</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kern w:val="0"/>
                <w:sz w:val="22"/>
                <w:szCs w:val="24"/>
                <w:lang w:eastAsia="en-US" w:bidi="ar-SA"/>
              </w:rPr>
              <w:t>Konstrukcijų montavimo sistema yra standartizuota su ne trumpesne kaip 10 metų gamintojo patvarumo (angl. – durability) garantija.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3.2.</w:t>
            </w:r>
          </w:p>
        </w:tc>
        <w:tc>
          <w:tcPr>
            <w:tcW w:w="2437" w:type="dxa"/>
            <w:tcBorders/>
            <w:vAlign w:val="center"/>
          </w:tcPr>
          <w:p>
            <w:pPr>
              <w:pStyle w:val="Normal"/>
              <w:widowControl w:val="false"/>
              <w:shd w:val="clear" w:color="auto" w:fill="FFFFFF"/>
              <w:suppressAutoHyphens w:val="true"/>
              <w:spacing w:before="0" w:after="0"/>
              <w:jc w:val="both"/>
              <w:textAlignment w:val="baseline"/>
              <w:rPr>
                <w:rFonts w:eastAsia="Andale Sans UI"/>
                <w:kern w:val="2"/>
                <w:szCs w:val="24"/>
                <w:lang w:bidi="en-US"/>
              </w:rPr>
            </w:pPr>
            <w:r>
              <w:rPr>
                <w:rFonts w:eastAsia="Andale Sans UI"/>
                <w:kern w:val="2"/>
                <w:sz w:val="22"/>
                <w:szCs w:val="24"/>
                <w:lang w:eastAsia="en-US" w:bidi="en-US"/>
              </w:rPr>
              <w:t>Medžiaga</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kern w:val="0"/>
                <w:sz w:val="22"/>
                <w:szCs w:val="24"/>
                <w:lang w:eastAsia="en-US" w:bidi="ar-SA"/>
              </w:rPr>
              <w:t xml:space="preserve">Aliuminio lydinys, nerūdijantis arba cinkuotas plienas. Konstrukcija ir montavimo elementai </w:t>
            </w:r>
            <w:r>
              <w:rPr>
                <w:rFonts w:eastAsia="Andale Sans UI"/>
                <w:kern w:val="2"/>
                <w:sz w:val="22"/>
                <w:szCs w:val="24"/>
                <w:lang w:eastAsia="en-US" w:bidi="en-US"/>
              </w:rPr>
              <w:t xml:space="preserve">turi būti iš tvirtų, patvarių bei visą tarnavimo laikotarpį saulės ir atmosferos kritulių poveikyje lauko sąlygomis senėjimui bei korozijai atsparių medžiagų. </w:t>
            </w:r>
            <w:r>
              <w:rPr>
                <w:rFonts w:eastAsia="Calibri"/>
                <w:kern w:val="0"/>
                <w:sz w:val="22"/>
                <w:szCs w:val="24"/>
                <w:lang w:eastAsia="en-US" w:bidi="ar-SA"/>
              </w:rPr>
              <w:t>Konstrukcijų gamintojo pateiktas dokumentas, patvirtinantis konstrukcijos elementų tinkamumą saulės modulių montavimui.</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4.</w:t>
            </w:r>
          </w:p>
        </w:tc>
        <w:tc>
          <w:tcPr>
            <w:tcW w:w="6275" w:type="dxa"/>
            <w:gridSpan w:val="2"/>
            <w:tcBorders/>
            <w:vAlign w:val="center"/>
          </w:tcPr>
          <w:p>
            <w:pPr>
              <w:pStyle w:val="Normal"/>
              <w:widowControl w:val="false"/>
              <w:suppressAutoHyphens w:val="true"/>
              <w:spacing w:before="0" w:after="0"/>
              <w:jc w:val="both"/>
              <w:rPr>
                <w:rFonts w:eastAsia="Calibri"/>
                <w:b/>
                <w:b/>
                <w:szCs w:val="24"/>
              </w:rPr>
            </w:pPr>
            <w:r>
              <w:rPr>
                <w:rFonts w:eastAsia="Calibri"/>
                <w:b/>
                <w:kern w:val="0"/>
                <w:sz w:val="22"/>
                <w:szCs w:val="24"/>
                <w:lang w:eastAsia="en-US" w:bidi="ar-SA"/>
              </w:rPr>
              <w:t>STEBĖSENOS SISTEMA</w:t>
            </w:r>
          </w:p>
        </w:tc>
        <w:tc>
          <w:tcPr>
            <w:tcW w:w="4224" w:type="dxa"/>
            <w:tcBorders/>
            <w:vAlign w:val="center"/>
          </w:tcPr>
          <w:p>
            <w:pPr>
              <w:pStyle w:val="Normal"/>
              <w:widowControl w:val="false"/>
              <w:suppressAutoHyphens w:val="true"/>
              <w:spacing w:before="0" w:after="0"/>
              <w:jc w:val="both"/>
              <w:rPr>
                <w:rFonts w:eastAsia="Calibri"/>
                <w:b/>
                <w:b/>
                <w:szCs w:val="24"/>
              </w:rPr>
            </w:pPr>
            <w:r>
              <w:rPr>
                <w:rFonts w:eastAsia="Calibri"/>
                <w:b/>
                <w:sz w:val="22"/>
                <w:szCs w:val="24"/>
              </w:rPr>
            </w:r>
          </w:p>
        </w:tc>
        <w:tc>
          <w:tcPr>
            <w:tcW w:w="2462" w:type="dxa"/>
            <w:tcBorders/>
            <w:vAlign w:val="center"/>
          </w:tcPr>
          <w:p>
            <w:pPr>
              <w:pStyle w:val="Normal"/>
              <w:widowControl w:val="false"/>
              <w:suppressAutoHyphens w:val="true"/>
              <w:spacing w:before="0" w:after="0"/>
              <w:jc w:val="both"/>
              <w:rPr>
                <w:rFonts w:eastAsia="Calibri"/>
                <w:b/>
                <w:b/>
                <w:szCs w:val="24"/>
              </w:rPr>
            </w:pPr>
            <w:r>
              <w:rPr>
                <w:rFonts w:eastAsia="Calibri"/>
                <w:b/>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4.1.</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Aplikacija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Stebėsenos sistema turi turėti  galimybę atvaizduoti duomenis kompiuteryje per WEB programas.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4.2.</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Pateikiama minimali informacija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Momentinė generuojama galia į tinklą, generuotos elektros energijos kiekis per dieną, savaitę, kiekvieną mėnesį, metus. Informacija pateikiama grafiniu ir skaitmeniniu (duomenis būtų galima eksportuoti) formatais. Susisteminti (suvidurkinti) duomenys pateikiami bent 15 min. intervalais.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4.3.</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Aliarmai</w:t>
            </w:r>
          </w:p>
        </w:tc>
        <w:tc>
          <w:tcPr>
            <w:tcW w:w="3838" w:type="dxa"/>
            <w:tcBorders/>
            <w:vAlign w:val="center"/>
          </w:tcPr>
          <w:p>
            <w:pPr>
              <w:pStyle w:val="Normal"/>
              <w:widowControl w:val="false"/>
              <w:suppressAutoHyphens w:val="true"/>
              <w:spacing w:before="0" w:after="0"/>
              <w:jc w:val="both"/>
              <w:rPr>
                <w:rFonts w:eastAsia="Calibri"/>
                <w:szCs w:val="24"/>
              </w:rPr>
            </w:pPr>
            <w:r>
              <w:rPr>
                <w:kern w:val="0"/>
                <w:sz w:val="22"/>
                <w:szCs w:val="24"/>
                <w:lang w:eastAsia="en-US" w:bidi="ar-SA"/>
              </w:rPr>
              <w:t>Stebėsenos sistemoje turi būti galimybė stebėti Saulės elektrinės darbą modulių eilių lygmenyje, sroves ir įtampas, momentinę galią. Stebėsenos sistema turi komunikuoti su keitikliais ir gauti pranešimus, jei aptinkamas gedimas keitiklio lygmenyje ir apie tai el. paštu operatyviai informuoti atsakingą Pirkėjo personalą.</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4.4.</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Elektros apskaita</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 xml:space="preserve">Pagaminta elektros energija privalo būti apskaitoma MID (angl. measuring instruments directive pagal </w:t>
            </w:r>
            <w:r>
              <w:rPr>
                <w:color w:val="000000"/>
                <w:kern w:val="0"/>
                <w:sz w:val="22"/>
                <w:szCs w:val="24"/>
                <w:shd w:fill="FFFFFF" w:val="clear"/>
                <w:lang w:eastAsia="en-US" w:bidi="ar-SA"/>
              </w:rPr>
              <w:t xml:space="preserve">2004/22/CE direktyvą) </w:t>
            </w:r>
            <w:r>
              <w:rPr>
                <w:kern w:val="0"/>
                <w:sz w:val="22"/>
                <w:szCs w:val="24"/>
                <w:lang w:eastAsia="en-US" w:bidi="ar-SA"/>
              </w:rPr>
              <w:t>sertifikuoto ir Lietuvos Respublikos teisės aktus atitinkančią metrologinę patikrą turinčio elektros energijos apskaitos prietaiso. Šio apskaitos prietaiso duomenys atvaizduojami stebėsenos sistemoje. Tiekėjas atsakingas už elektros apskaitos įrengimą su Pirkėju suderintoje vietoje.</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4.5.</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Prieigos laikotarpis ir duomenų sauga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Tiekėjas užtikrina neatlygintiną prieigą prie stebėsenos sistemos ir šios sistemos funkcionavimą 25 metų bei duomenų (apie pagamintą elektros energiją kiekvieną mėnesį) saugojimą, o reikalui esant jų atstatymą praradimo atveju nuo Saulės elektrinės pastatymo dienos, bet ne ilgiau nei už 25 metų laikotarpį be papildomų mokesčių.</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bl>
    <w:p>
      <w:pPr>
        <w:sectPr>
          <w:footnotePr>
            <w:numFmt w:val="decimal"/>
          </w:footnotePr>
          <w:type w:val="nextPage"/>
          <w:pgSz w:orient="landscape" w:w="15840" w:h="12240"/>
          <w:pgMar w:left="1440" w:right="1440" w:header="0" w:top="900" w:footer="0" w:bottom="1440" w:gutter="0"/>
          <w:pgNumType w:fmt="decimal"/>
          <w:formProt w:val="false"/>
          <w:textDirection w:val="lrTb"/>
          <w:docGrid w:type="default" w:linePitch="360" w:charSpace="0"/>
        </w:sectPr>
      </w:pPr>
    </w:p>
    <w:p>
      <w:pPr>
        <w:pStyle w:val="Normal"/>
        <w:rPr>
          <w:szCs w:val="24"/>
        </w:rPr>
      </w:pPr>
      <w:r>
        <w:rPr>
          <w:szCs w:val="24"/>
        </w:rPr>
      </w:r>
    </w:p>
    <w:p>
      <w:pPr>
        <w:pStyle w:val="ListParagraph"/>
        <w:keepNext w:val="true"/>
        <w:numPr>
          <w:ilvl w:val="0"/>
          <w:numId w:val="1"/>
        </w:numPr>
        <w:spacing w:before="0" w:after="0"/>
        <w:ind w:left="714" w:hanging="357"/>
        <w:contextualSpacing/>
        <w:rPr>
          <w:rFonts w:ascii="Times New Roman" w:hAnsi="Times New Roman" w:cs="Times New Roman"/>
          <w:sz w:val="24"/>
          <w:szCs w:val="24"/>
        </w:rPr>
      </w:pPr>
      <w:r>
        <w:rPr>
          <w:rFonts w:cs="Times New Roman" w:ascii="Times New Roman" w:hAnsi="Times New Roman"/>
          <w:sz w:val="24"/>
          <w:szCs w:val="24"/>
        </w:rPr>
        <w:t>Montavimas ir pridavimas į eksploataciją:</w:t>
      </w:r>
    </w:p>
    <w:p>
      <w:pPr>
        <w:pStyle w:val="ListParagraph"/>
        <w:spacing w:before="0" w:after="0"/>
        <w:contextualSpacing/>
        <w:rPr/>
      </w:pPr>
      <w:r>
        <w:rPr/>
      </w:r>
    </w:p>
    <w:tbl>
      <w:tblPr>
        <w:tblStyle w:val="TableGrid"/>
        <w:tblW w:w="9918"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84"/>
        <w:gridCol w:w="1356"/>
        <w:gridCol w:w="5843"/>
        <w:gridCol w:w="2034"/>
      </w:tblGrid>
      <w:tr>
        <w:trPr>
          <w:tblHeader w:val="true"/>
        </w:trPr>
        <w:tc>
          <w:tcPr>
            <w:tcW w:w="684" w:type="dxa"/>
            <w:tcBorders/>
            <w:vAlign w:val="center"/>
          </w:tcPr>
          <w:p>
            <w:pPr>
              <w:pStyle w:val="Normal"/>
              <w:widowControl w:val="false"/>
              <w:suppressAutoHyphens w:val="true"/>
              <w:spacing w:before="0" w:after="0"/>
              <w:jc w:val="both"/>
              <w:rPr>
                <w:szCs w:val="22"/>
              </w:rPr>
            </w:pPr>
            <w:r>
              <w:rPr>
                <w:kern w:val="0"/>
                <w:sz w:val="22"/>
                <w:szCs w:val="22"/>
                <w:lang w:eastAsia="en-US" w:bidi="ar-SA"/>
              </w:rPr>
              <w:t>Eil. Nr.</w:t>
            </w:r>
          </w:p>
        </w:tc>
        <w:tc>
          <w:tcPr>
            <w:tcW w:w="1356" w:type="dxa"/>
            <w:tcBorders/>
            <w:vAlign w:val="center"/>
          </w:tcPr>
          <w:p>
            <w:pPr>
              <w:pStyle w:val="Normal"/>
              <w:widowControl w:val="false"/>
              <w:suppressAutoHyphens w:val="true"/>
              <w:spacing w:before="0" w:after="0"/>
              <w:jc w:val="both"/>
              <w:rPr>
                <w:bCs/>
                <w:szCs w:val="22"/>
              </w:rPr>
            </w:pPr>
            <w:r>
              <w:rPr>
                <w:bCs/>
                <w:kern w:val="0"/>
                <w:sz w:val="22"/>
                <w:szCs w:val="22"/>
                <w:lang w:eastAsia="en-US" w:bidi="ar-SA"/>
              </w:rPr>
              <w:t>Parametras</w:t>
            </w:r>
          </w:p>
        </w:tc>
        <w:tc>
          <w:tcPr>
            <w:tcW w:w="5843" w:type="dxa"/>
            <w:tcBorders>
              <w:right w:val="nil"/>
            </w:tcBorders>
            <w:vAlign w:val="center"/>
          </w:tcPr>
          <w:p>
            <w:pPr>
              <w:pStyle w:val="ListParagraph"/>
              <w:widowControl w:val="false"/>
              <w:suppressAutoHyphens w:val="true"/>
              <w:spacing w:lineRule="auto" w:line="240" w:before="0" w:after="0"/>
              <w:ind w:left="1038" w:hanging="0"/>
              <w:contextualSpacing/>
              <w:jc w:val="both"/>
              <w:rPr>
                <w:rFonts w:ascii="Times New Roman" w:hAnsi="Times New Roman"/>
              </w:rPr>
            </w:pPr>
            <w:r>
              <w:rPr>
                <w:rFonts w:ascii="Times New Roman" w:hAnsi="Times New Roman"/>
                <w:kern w:val="0"/>
                <w:lang w:eastAsia="en-US" w:bidi="ar-SA"/>
              </w:rPr>
              <w:t>Reikalaujamas rodiklis</w:t>
            </w:r>
          </w:p>
        </w:tc>
        <w:tc>
          <w:tcPr>
            <w:tcW w:w="2034" w:type="dxa"/>
            <w:tcBorders/>
            <w:vAlign w:val="center"/>
          </w:tcPr>
          <w:p>
            <w:pPr>
              <w:pStyle w:val="ListParagraph"/>
              <w:widowControl w:val="false"/>
              <w:suppressAutoHyphens w:val="true"/>
              <w:spacing w:lineRule="auto" w:line="240" w:before="0" w:after="0"/>
              <w:ind w:left="113" w:hanging="0"/>
              <w:contextualSpacing/>
              <w:jc w:val="both"/>
              <w:rPr>
                <w:rFonts w:ascii="Times New Roman" w:hAnsi="Times New Roman"/>
                <w:sz w:val="18"/>
                <w:szCs w:val="18"/>
              </w:rPr>
            </w:pPr>
            <w:r>
              <w:rPr>
                <w:rFonts w:ascii="Times New Roman" w:hAnsi="Times New Roman"/>
                <w:kern w:val="0"/>
                <w:sz w:val="18"/>
                <w:szCs w:val="18"/>
                <w:lang w:eastAsia="en-US" w:bidi="ar-SA"/>
              </w:rPr>
              <w:t>Įrašyti „įspareigoju įgyvendinti“ arba „neįsipareigoju“</w:t>
            </w:r>
          </w:p>
        </w:tc>
      </w:tr>
      <w:tr>
        <w:trPr/>
        <w:tc>
          <w:tcPr>
            <w:tcW w:w="684" w:type="dxa"/>
            <w:tcBorders>
              <w:top w:val="nil"/>
            </w:tcBorders>
            <w:vAlign w:val="center"/>
          </w:tcPr>
          <w:p>
            <w:pPr>
              <w:pStyle w:val="Normal"/>
              <w:widowControl w:val="false"/>
              <w:suppressAutoHyphens w:val="true"/>
              <w:spacing w:before="0" w:after="0"/>
              <w:jc w:val="both"/>
              <w:rPr>
                <w:kern w:val="0"/>
                <w:sz w:val="22"/>
                <w:lang w:eastAsia="en-US" w:bidi="ar-SA"/>
              </w:rPr>
            </w:pPr>
            <w:r>
              <w:rPr>
                <w:rFonts w:eastAsia="Calibri"/>
                <w:kern w:val="0"/>
                <w:sz w:val="22"/>
                <w:szCs w:val="22"/>
                <w:lang w:eastAsia="en-US" w:bidi="ar-SA"/>
              </w:rPr>
              <w:t>1.</w:t>
            </w:r>
          </w:p>
        </w:tc>
        <w:tc>
          <w:tcPr>
            <w:tcW w:w="1356" w:type="dxa"/>
            <w:tcBorders>
              <w:top w:val="nil"/>
            </w:tcBorders>
            <w:vAlign w:val="center"/>
          </w:tcPr>
          <w:p>
            <w:pPr>
              <w:pStyle w:val="Normal"/>
              <w:widowControl w:val="false"/>
              <w:suppressAutoHyphens w:val="true"/>
              <w:spacing w:before="0" w:after="0"/>
              <w:jc w:val="both"/>
              <w:rPr>
                <w:bCs/>
                <w:szCs w:val="24"/>
              </w:rPr>
            </w:pPr>
            <w:r>
              <w:rPr>
                <w:rFonts w:eastAsia="Calibri"/>
                <w:bCs/>
                <w:kern w:val="0"/>
                <w:sz w:val="22"/>
                <w:szCs w:val="24"/>
                <w:lang w:eastAsia="en-US" w:bidi="ar-SA"/>
              </w:rPr>
              <w:t>Techninis sprendinys ir projektavimas</w:t>
            </w:r>
          </w:p>
        </w:tc>
        <w:tc>
          <w:tcPr>
            <w:tcW w:w="5843" w:type="dxa"/>
            <w:tcBorders>
              <w:top w:val="nil"/>
              <w:right w:val="nil"/>
            </w:tcBorders>
            <w:vAlign w:val="center"/>
          </w:tcPr>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Saulės elektrinė gali būti įrengiama tik tose zonose ir ant tų stogų/ sklypuose, kurie pažymėti 1 ir 2 paveiksluose.</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Su pasiūlymu turi būti pateikta sumodeliuota saulės elektrinės modeliavimo ataskaita naudojantis PVsyst, PVsol arba kita lygiaverte saulės elektrinių modeliavimo programine įranga. Ataskaitoje turi matytis siūlomas išdėstomų saulės elementų modulių eilės, pasvyrimo kampai, prognozuojama elektros energijos gamyba. Pirkėjas neatsako už įeities modeliavimui duomenų pateikimą – juos įsvertina Tiekėjas savo rizika. Deklaruojamas per pirmus 12 mėnesių Saulės elektrinės elektros energijos pagaminamas kiekis nebūtinai turi sutapti su sumodeliuotu elektros energijos kiekiu – jį nustato ir deklaruoja Tiekėjas savo rizika.</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Saulės elektrinė prijungiama pagal ESO išduotas sąlygas.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Jei nebus galimybes palaikyti saugaus saulės elektrinės atstumo nuo žaibolaidžių ir žaibosaugos elementų, tiekėjas savo kaštais privalės atlikti žaibosaugos sistemos korekcijas ir užtikrinti tinkamą žaibosaugą.</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Saulės modulių sujungimui naudojami ir techniniame projekte numatomi variniai ≥ 1000 V</w:t>
            </w:r>
            <w:r>
              <w:rPr>
                <w:rFonts w:eastAsia="Calibri" w:cs="Times New Roman" w:ascii="Times New Roman" w:hAnsi="Times New Roman"/>
                <w:kern w:val="0"/>
                <w:sz w:val="18"/>
                <w:szCs w:val="18"/>
                <w:vertAlign w:val="subscript"/>
                <w:lang w:eastAsia="en-US" w:bidi="ar-SA"/>
              </w:rPr>
              <w:t>dc</w:t>
            </w:r>
            <w:r>
              <w:rPr>
                <w:rFonts w:eastAsia="Calibri" w:cs="Times New Roman" w:ascii="Times New Roman" w:hAnsi="Times New Roman"/>
                <w:kern w:val="0"/>
                <w:sz w:val="18"/>
                <w:szCs w:val="18"/>
                <w:lang w:eastAsia="en-US" w:bidi="ar-SA"/>
              </w:rPr>
              <w:t xml:space="preserve"> PV kabeliai. Skerspjūvis turi būti parinktas toks, kuris atitiktų saugią, efektyvią eksploataciją ir leistiną įšilimą pagal kabelių gamintojo specifikacijas.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Keitikliai montuojami atsižvelgiant į gamintojo reikalavimus bei rekomendacijas.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Kabeliai privalo būti apsaugoti nuo tiesioginių UV spindulių, kabelių loviai karšto cinkavimo su dangčiais.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Elektrinių moduliams montuojamiems ant žemės, kabeliai negali gulėti ant žemės ir turi būti sumontuoti taip, kad būtų užtikrinta saugi eksploatacija per visą Saulės elektrinių eksploatavimo laikotarpį.</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Elektros skydų komplektacija ir elektros instaliacija privalo būti atliekama pagal Elektros įrenginių įrengimo bendrąsias taisykles (toliau – EĮĮT), saugos reikalavimus ir atitikti kitus aktualius teisės aktus.</w:t>
            </w:r>
          </w:p>
          <w:p>
            <w:pPr>
              <w:pStyle w:val="Normal"/>
              <w:widowControl w:val="false"/>
              <w:suppressAutoHyphens w:val="true"/>
              <w:spacing w:before="0" w:after="0"/>
              <w:ind w:left="318" w:hanging="0"/>
              <w:jc w:val="both"/>
              <w:rPr>
                <w:sz w:val="18"/>
                <w:szCs w:val="18"/>
              </w:rPr>
            </w:pPr>
            <w:r>
              <w:rPr>
                <w:bCs/>
                <w:kern w:val="0"/>
                <w:sz w:val="18"/>
                <w:szCs w:val="18"/>
                <w:lang w:eastAsia="en-US" w:bidi="ar-SA"/>
              </w:rPr>
              <w:t>AC dalies kabeliai, kurie patenka į patalpų vidų, privalo būti behalogeniniai, jei to reikalauja teisės aktai.</w:t>
            </w:r>
          </w:p>
        </w:tc>
        <w:tc>
          <w:tcPr>
            <w:tcW w:w="2034" w:type="dxa"/>
            <w:tcBorders>
              <w:top w:val="nil"/>
            </w:tcBorders>
            <w:vAlign w:val="center"/>
          </w:tcPr>
          <w:p>
            <w:pPr>
              <w:pStyle w:val="ListParagraph"/>
              <w:widowControl w:val="false"/>
              <w:suppressAutoHyphens w:val="true"/>
              <w:spacing w:lineRule="auto" w:line="240" w:before="0" w:after="0"/>
              <w:ind w:left="1038" w:hanging="0"/>
              <w:contextualSpacing/>
              <w:jc w:val="both"/>
              <w:rPr>
                <w:sz w:val="18"/>
                <w:szCs w:val="18"/>
              </w:rPr>
            </w:pPr>
            <w:r>
              <w:rPr>
                <w:sz w:val="18"/>
                <w:szCs w:val="18"/>
              </w:rPr>
            </w:r>
          </w:p>
        </w:tc>
      </w:tr>
      <w:tr>
        <w:trPr/>
        <w:tc>
          <w:tcPr>
            <w:tcW w:w="684" w:type="dxa"/>
            <w:tcBorders>
              <w:top w:val="nil"/>
            </w:tcBorders>
            <w:vAlign w:val="center"/>
          </w:tcPr>
          <w:p>
            <w:pPr>
              <w:pStyle w:val="Normal"/>
              <w:widowControl w:val="false"/>
              <w:suppressAutoHyphens w:val="true"/>
              <w:spacing w:before="0" w:after="0"/>
              <w:jc w:val="both"/>
              <w:rPr>
                <w:kern w:val="0"/>
                <w:sz w:val="22"/>
                <w:lang w:eastAsia="en-US" w:bidi="ar-SA"/>
              </w:rPr>
            </w:pPr>
            <w:r>
              <w:rPr>
                <w:kern w:val="0"/>
                <w:sz w:val="22"/>
                <w:lang w:eastAsia="en-US" w:bidi="ar-SA"/>
              </w:rPr>
              <w:t>2.</w:t>
            </w:r>
          </w:p>
        </w:tc>
        <w:tc>
          <w:tcPr>
            <w:tcW w:w="1356" w:type="dxa"/>
            <w:tcBorders>
              <w:top w:val="nil"/>
            </w:tcBorders>
            <w:vAlign w:val="center"/>
          </w:tcPr>
          <w:p>
            <w:pPr>
              <w:pStyle w:val="Normal"/>
              <w:widowControl w:val="false"/>
              <w:suppressAutoHyphens w:val="true"/>
              <w:spacing w:before="0" w:after="0"/>
              <w:jc w:val="both"/>
              <w:rPr>
                <w:bCs/>
                <w:szCs w:val="24"/>
              </w:rPr>
            </w:pPr>
            <w:r>
              <w:rPr>
                <w:rFonts w:eastAsia="Calibri"/>
                <w:bCs/>
                <w:kern w:val="0"/>
                <w:sz w:val="22"/>
                <w:szCs w:val="24"/>
                <w:lang w:eastAsia="en-US" w:bidi="ar-SA"/>
              </w:rPr>
              <w:t>Projekto derinimas ir užbaigimas</w:t>
            </w:r>
          </w:p>
        </w:tc>
        <w:tc>
          <w:tcPr>
            <w:tcW w:w="5843" w:type="dxa"/>
            <w:tcBorders>
              <w:top w:val="nil"/>
              <w:right w:val="nil"/>
            </w:tcBorders>
            <w:vAlign w:val="center"/>
          </w:tcPr>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Tiekėjas privalo laikytis ESO ir VERT keliamų reikalavimų Saulės elektrinių prijungimui, suderinimui, testavimui ir kt.</w:t>
            </w:r>
          </w:p>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Projektas laikomas užbaigtas po VERT leidimo gaminti elektros energiją išdavimo ir įrangos bei paslaugų priėmimo-perdavimo akto pasirašymo tarp Tiekėjo ir Pirkėjo. Po projekto užbaigimo inicijuojamas apmokėjimo terminas.</w:t>
            </w:r>
          </w:p>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Tiekėjui už įrangą ir paslaugas atsiskaitoma sutartyje nustatyta tvarka.</w:t>
            </w:r>
          </w:p>
          <w:p>
            <w:pPr>
              <w:pStyle w:val="ListParagraph"/>
              <w:widowControl w:val="false"/>
              <w:suppressAutoHyphens w:val="true"/>
              <w:spacing w:lineRule="auto" w:line="240" w:before="0" w:after="0"/>
              <w:ind w:left="318" w:hanging="360"/>
              <w:contextualSpacing/>
              <w:jc w:val="both"/>
              <w:rPr>
                <w:rFonts w:ascii="Times New Roman" w:hAnsi="Times New Roman" w:cs="Times New Roman"/>
                <w:sz w:val="18"/>
                <w:szCs w:val="18"/>
              </w:rPr>
            </w:pPr>
            <w:r>
              <w:rPr>
                <w:rFonts w:cs="Times New Roman" w:ascii="Times New Roman" w:hAnsi="Times New Roman"/>
                <w:sz w:val="18"/>
                <w:szCs w:val="18"/>
              </w:rPr>
            </w:r>
          </w:p>
        </w:tc>
        <w:tc>
          <w:tcPr>
            <w:tcW w:w="2034" w:type="dxa"/>
            <w:tcBorders>
              <w:top w:val="nil"/>
            </w:tcBorders>
            <w:vAlign w:val="center"/>
          </w:tcPr>
          <w:p>
            <w:pPr>
              <w:pStyle w:val="Normal"/>
              <w:widowControl w:val="false"/>
              <w:suppressAutoHyphens w:val="true"/>
              <w:spacing w:before="0" w:after="0"/>
              <w:ind w:left="720" w:hanging="0"/>
              <w:jc w:val="both"/>
              <w:rPr>
                <w:sz w:val="18"/>
                <w:szCs w:val="18"/>
              </w:rPr>
            </w:pPr>
            <w:r>
              <w:rPr>
                <w:sz w:val="22"/>
                <w:szCs w:val="18"/>
              </w:rPr>
            </w:r>
          </w:p>
        </w:tc>
      </w:tr>
    </w:tbl>
    <w:p>
      <w:pPr>
        <w:pStyle w:val="Normal"/>
        <w:spacing w:before="0" w:after="0"/>
        <w:contextualSpacing/>
        <w:rPr/>
      </w:pPr>
      <w:r>
        <w:rPr/>
      </w:r>
    </w:p>
    <w:p>
      <w:pPr>
        <w:pStyle w:val="ListParagraph"/>
        <w:numPr>
          <w:ilvl w:val="0"/>
          <w:numId w:val="1"/>
        </w:numPr>
        <w:spacing w:before="0" w:after="0"/>
        <w:ind w:left="714" w:hanging="357"/>
        <w:contextualSpacing/>
        <w:rPr>
          <w:rFonts w:ascii="Times New Roman" w:hAnsi="Times New Roman" w:cs="Times New Roman"/>
          <w:sz w:val="24"/>
          <w:szCs w:val="24"/>
        </w:rPr>
      </w:pPr>
      <w:r>
        <w:rPr>
          <w:rFonts w:cs="Times New Roman" w:ascii="Times New Roman" w:hAnsi="Times New Roman"/>
          <w:sz w:val="24"/>
          <w:szCs w:val="24"/>
        </w:rPr>
        <w:t>Pateikiami dokumentai kartu su pasiūlymu:</w:t>
      </w:r>
    </w:p>
    <w:p>
      <w:pPr>
        <w:pStyle w:val="Normal"/>
        <w:keepNext w:val="true"/>
        <w:rPr>
          <w:szCs w:val="24"/>
        </w:rPr>
      </w:pPr>
      <w:r>
        <w:rPr>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819"/>
        <w:gridCol w:w="9070"/>
      </w:tblGrid>
      <w:tr>
        <w:trPr/>
        <w:tc>
          <w:tcPr>
            <w:tcW w:w="819" w:type="dxa"/>
            <w:tcBorders/>
          </w:tcPr>
          <w:p>
            <w:pPr>
              <w:pStyle w:val="Normal"/>
              <w:widowControl w:val="false"/>
              <w:suppressAutoHyphens w:val="true"/>
              <w:spacing w:before="0" w:after="0"/>
              <w:jc w:val="left"/>
              <w:rPr>
                <w:b/>
                <w:b/>
                <w:bCs/>
                <w:szCs w:val="24"/>
              </w:rPr>
            </w:pPr>
            <w:r>
              <w:rPr>
                <w:b/>
                <w:bCs/>
                <w:kern w:val="0"/>
                <w:sz w:val="22"/>
                <w:szCs w:val="24"/>
                <w:lang w:eastAsia="en-US" w:bidi="ar-SA"/>
              </w:rPr>
              <w:t>Eil. nr.</w:t>
            </w:r>
          </w:p>
        </w:tc>
        <w:tc>
          <w:tcPr>
            <w:tcW w:w="9070" w:type="dxa"/>
            <w:tcBorders/>
          </w:tcPr>
          <w:p>
            <w:pPr>
              <w:pStyle w:val="Normal"/>
              <w:widowControl w:val="false"/>
              <w:suppressAutoHyphens w:val="true"/>
              <w:spacing w:before="0" w:after="0"/>
              <w:jc w:val="left"/>
              <w:rPr>
                <w:b/>
                <w:b/>
                <w:bCs/>
                <w:szCs w:val="24"/>
              </w:rPr>
            </w:pPr>
            <w:r>
              <w:rPr>
                <w:b/>
                <w:bCs/>
                <w:kern w:val="0"/>
                <w:sz w:val="22"/>
                <w:szCs w:val="24"/>
                <w:lang w:eastAsia="en-US" w:bidi="ar-SA"/>
              </w:rPr>
              <w:t>Dokumento pavadinimas</w:t>
            </w:r>
          </w:p>
        </w:tc>
      </w:tr>
      <w:tr>
        <w:trPr/>
        <w:tc>
          <w:tcPr>
            <w:tcW w:w="819" w:type="dxa"/>
            <w:tcBorders/>
          </w:tcPr>
          <w:p>
            <w:pPr>
              <w:pStyle w:val="Normal"/>
              <w:widowControl w:val="false"/>
              <w:suppressAutoHyphens w:val="true"/>
              <w:spacing w:before="0" w:after="0"/>
              <w:jc w:val="left"/>
              <w:rPr>
                <w:szCs w:val="24"/>
              </w:rPr>
            </w:pPr>
            <w:r>
              <w:rPr>
                <w:sz w:val="22"/>
                <w:szCs w:val="24"/>
              </w:rPr>
            </w:r>
          </w:p>
        </w:tc>
        <w:tc>
          <w:tcPr>
            <w:tcW w:w="9070" w:type="dxa"/>
            <w:tcBorders/>
          </w:tcPr>
          <w:p>
            <w:pPr>
              <w:pStyle w:val="Normal"/>
              <w:widowControl w:val="false"/>
              <w:suppressAutoHyphens w:val="true"/>
              <w:spacing w:before="0" w:after="0"/>
              <w:jc w:val="left"/>
              <w:rPr>
                <w:i/>
                <w:i/>
                <w:iCs/>
                <w:szCs w:val="24"/>
              </w:rPr>
            </w:pPr>
            <w:r>
              <w:rPr>
                <w:i/>
                <w:iCs/>
                <w:kern w:val="0"/>
                <w:sz w:val="22"/>
                <w:szCs w:val="24"/>
                <w:lang w:eastAsia="en-US" w:bidi="ar-SA"/>
              </w:rPr>
              <w:t>[nurodomi visi kvalifikaciją, ekonominius parametrus, projekto reikalavimus ir techninius parametrus pagrindžiantys dokumentai]</w:t>
            </w:r>
          </w:p>
        </w:tc>
      </w:tr>
      <w:tr>
        <w:trPr/>
        <w:tc>
          <w:tcPr>
            <w:tcW w:w="819" w:type="dxa"/>
            <w:tcBorders/>
          </w:tcPr>
          <w:p>
            <w:pPr>
              <w:pStyle w:val="Normal"/>
              <w:widowControl w:val="false"/>
              <w:suppressAutoHyphens w:val="true"/>
              <w:spacing w:before="0" w:after="0"/>
              <w:jc w:val="left"/>
              <w:rPr>
                <w:szCs w:val="24"/>
              </w:rPr>
            </w:pPr>
            <w:r>
              <w:rPr>
                <w:sz w:val="22"/>
                <w:szCs w:val="24"/>
              </w:rPr>
            </w:r>
          </w:p>
        </w:tc>
        <w:tc>
          <w:tcPr>
            <w:tcW w:w="9070" w:type="dxa"/>
            <w:tcBorders/>
          </w:tcPr>
          <w:p>
            <w:pPr>
              <w:pStyle w:val="Normal"/>
              <w:widowControl w:val="false"/>
              <w:suppressAutoHyphens w:val="true"/>
              <w:spacing w:before="0" w:after="0"/>
              <w:jc w:val="left"/>
              <w:rPr>
                <w:szCs w:val="24"/>
              </w:rPr>
            </w:pPr>
            <w:r>
              <w:rPr>
                <w:sz w:val="22"/>
                <w:szCs w:val="24"/>
              </w:rPr>
            </w:r>
          </w:p>
        </w:tc>
      </w:tr>
      <w:tr>
        <w:trPr/>
        <w:tc>
          <w:tcPr>
            <w:tcW w:w="819" w:type="dxa"/>
            <w:tcBorders/>
          </w:tcPr>
          <w:p>
            <w:pPr>
              <w:pStyle w:val="Normal"/>
              <w:widowControl w:val="false"/>
              <w:suppressAutoHyphens w:val="true"/>
              <w:spacing w:before="0" w:after="0"/>
              <w:jc w:val="left"/>
              <w:rPr>
                <w:szCs w:val="24"/>
              </w:rPr>
            </w:pPr>
            <w:r>
              <w:rPr>
                <w:sz w:val="22"/>
                <w:szCs w:val="24"/>
              </w:rPr>
            </w:r>
          </w:p>
        </w:tc>
        <w:tc>
          <w:tcPr>
            <w:tcW w:w="9070" w:type="dxa"/>
            <w:tcBorders/>
          </w:tcPr>
          <w:p>
            <w:pPr>
              <w:pStyle w:val="Normal"/>
              <w:widowControl w:val="false"/>
              <w:suppressAutoHyphens w:val="true"/>
              <w:spacing w:before="0" w:after="0"/>
              <w:jc w:val="left"/>
              <w:rPr>
                <w:szCs w:val="24"/>
              </w:rPr>
            </w:pPr>
            <w:r>
              <w:rPr>
                <w:sz w:val="22"/>
                <w:szCs w:val="24"/>
              </w:rPr>
            </w:r>
          </w:p>
        </w:tc>
      </w:tr>
    </w:tbl>
    <w:p>
      <w:pPr>
        <w:pStyle w:val="Normal"/>
        <w:rPr>
          <w:szCs w:val="24"/>
        </w:rPr>
      </w:pPr>
      <w:r>
        <w:rPr>
          <w:szCs w:val="24"/>
        </w:rPr>
      </w:r>
    </w:p>
    <w:p>
      <w:pPr>
        <w:pStyle w:val="Normal"/>
        <w:rPr>
          <w:szCs w:val="24"/>
        </w:rPr>
      </w:pPr>
      <w:r>
        <w:rPr>
          <w:szCs w:val="24"/>
        </w:rPr>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 xml:space="preserve">Pasiūlymas galioja iki </w:t>
      </w:r>
      <w:r>
        <w:rPr>
          <w:rFonts w:cs="Times New Roman" w:ascii="Times New Roman" w:hAnsi="Times New Roman"/>
          <w:sz w:val="24"/>
          <w:szCs w:val="24"/>
          <w:highlight w:val="yellow"/>
        </w:rPr>
        <w:t>2022 m. ____________ d. imtinai.</w:t>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Patvirtiname, kad visa mūsų pasiūlyme pateikta informacija yra teisinga ir kad mes nenuslėpėme jokios informacijos, kurią buvo prašoma pateikti konkurso dalyvių.</w:t>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Patvirtiname, jog šį pasiūlymą pripažinus laimėjusiu sudarysime Pirkimo sutartį mūsų pasiūlyme nurodytomis kainomis.</w:t>
      </w:r>
    </w:p>
    <w:p>
      <w:pPr>
        <w:pStyle w:val="Normal"/>
        <w:rPr>
          <w:szCs w:val="24"/>
        </w:rPr>
      </w:pPr>
      <w:r>
        <w:rPr>
          <w:szCs w:val="24"/>
        </w:rPr>
      </w:r>
    </w:p>
    <w:p>
      <w:pPr>
        <w:pStyle w:val="Normal"/>
        <w:rPr>
          <w:szCs w:val="24"/>
        </w:rPr>
      </w:pPr>
      <w:r>
        <w:rPr>
          <w:szCs w:val="24"/>
        </w:rPr>
      </w:r>
    </w:p>
    <w:tbl>
      <w:tblPr>
        <w:tblStyle w:val="TableGrid"/>
        <w:tblW w:w="989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527"/>
        <w:gridCol w:w="429"/>
        <w:gridCol w:w="1851"/>
        <w:gridCol w:w="413"/>
        <w:gridCol w:w="3670"/>
      </w:tblGrid>
      <w:tr>
        <w:trPr>
          <w:trHeight w:val="509" w:hRule="atLeast"/>
        </w:trPr>
        <w:tc>
          <w:tcPr>
            <w:tcW w:w="3527" w:type="dxa"/>
            <w:tcBorders>
              <w:top w:val="nil"/>
              <w:left w:val="nil"/>
              <w:right w:val="nil"/>
            </w:tcBorders>
          </w:tcPr>
          <w:p>
            <w:pPr>
              <w:pStyle w:val="Normal"/>
              <w:widowControl w:val="false"/>
              <w:suppressAutoHyphens w:val="true"/>
              <w:spacing w:before="0" w:after="0"/>
              <w:jc w:val="left"/>
              <w:rPr>
                <w:szCs w:val="24"/>
              </w:rPr>
            </w:pPr>
            <w:r>
              <w:rPr>
                <w:sz w:val="22"/>
                <w:szCs w:val="24"/>
              </w:rPr>
            </w:r>
          </w:p>
        </w:tc>
        <w:tc>
          <w:tcPr>
            <w:tcW w:w="429"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1851" w:type="dxa"/>
            <w:tcBorders>
              <w:top w:val="nil"/>
              <w:left w:val="nil"/>
              <w:right w:val="nil"/>
            </w:tcBorders>
          </w:tcPr>
          <w:p>
            <w:pPr>
              <w:pStyle w:val="Normal"/>
              <w:widowControl w:val="false"/>
              <w:suppressAutoHyphens w:val="true"/>
              <w:spacing w:before="0" w:after="0"/>
              <w:jc w:val="left"/>
              <w:rPr>
                <w:szCs w:val="24"/>
              </w:rPr>
            </w:pPr>
            <w:r>
              <w:rPr>
                <w:sz w:val="22"/>
                <w:szCs w:val="24"/>
              </w:rPr>
            </w:r>
          </w:p>
        </w:tc>
        <w:tc>
          <w:tcPr>
            <w:tcW w:w="413"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3670" w:type="dxa"/>
            <w:tcBorders>
              <w:top w:val="nil"/>
              <w:left w:val="nil"/>
              <w:right w:val="nil"/>
            </w:tcBorders>
          </w:tcPr>
          <w:p>
            <w:pPr>
              <w:pStyle w:val="Normal"/>
              <w:widowControl w:val="false"/>
              <w:suppressAutoHyphens w:val="true"/>
              <w:spacing w:before="0" w:after="0"/>
              <w:jc w:val="left"/>
              <w:rPr>
                <w:szCs w:val="24"/>
              </w:rPr>
            </w:pPr>
            <w:r>
              <w:rPr>
                <w:sz w:val="22"/>
                <w:szCs w:val="24"/>
              </w:rPr>
            </w:r>
          </w:p>
        </w:tc>
      </w:tr>
      <w:tr>
        <w:trPr/>
        <w:tc>
          <w:tcPr>
            <w:tcW w:w="3527" w:type="dxa"/>
            <w:tcBorders>
              <w:left w:val="nil"/>
              <w:bottom w:val="nil"/>
              <w:right w:val="nil"/>
            </w:tcBorders>
          </w:tcPr>
          <w:p>
            <w:pPr>
              <w:pStyle w:val="Normal"/>
              <w:widowControl w:val="false"/>
              <w:suppressAutoHyphens w:val="true"/>
              <w:spacing w:before="0" w:after="0"/>
              <w:jc w:val="left"/>
              <w:rPr>
                <w:szCs w:val="24"/>
              </w:rPr>
            </w:pPr>
            <w:r>
              <w:rPr>
                <w:kern w:val="0"/>
                <w:sz w:val="22"/>
                <w:szCs w:val="24"/>
                <w:vertAlign w:val="superscript"/>
                <w:lang w:eastAsia="en-US" w:bidi="ar-SA"/>
              </w:rPr>
              <w:t>(Tiekėjo vadovo arba jo įgalioto asmens pareigos)</w:t>
            </w:r>
          </w:p>
        </w:tc>
        <w:tc>
          <w:tcPr>
            <w:tcW w:w="429"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1851" w:type="dxa"/>
            <w:tcBorders>
              <w:left w:val="nil"/>
              <w:bottom w:val="nil"/>
              <w:right w:val="nil"/>
            </w:tcBorders>
          </w:tcPr>
          <w:p>
            <w:pPr>
              <w:pStyle w:val="Normal"/>
              <w:widowControl w:val="false"/>
              <w:suppressAutoHyphens w:val="true"/>
              <w:spacing w:before="0" w:after="0"/>
              <w:jc w:val="center"/>
              <w:rPr>
                <w:szCs w:val="24"/>
              </w:rPr>
            </w:pPr>
            <w:r>
              <w:rPr>
                <w:kern w:val="0"/>
                <w:sz w:val="22"/>
                <w:szCs w:val="24"/>
                <w:vertAlign w:val="superscript"/>
                <w:lang w:eastAsia="en-US" w:bidi="ar-SA"/>
              </w:rPr>
              <w:t>(parašas)</w:t>
            </w:r>
          </w:p>
        </w:tc>
        <w:tc>
          <w:tcPr>
            <w:tcW w:w="413"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3670" w:type="dxa"/>
            <w:tcBorders>
              <w:left w:val="nil"/>
              <w:bottom w:val="nil"/>
              <w:right w:val="nil"/>
            </w:tcBorders>
          </w:tcPr>
          <w:p>
            <w:pPr>
              <w:pStyle w:val="Normal"/>
              <w:widowControl w:val="false"/>
              <w:suppressAutoHyphens w:val="true"/>
              <w:spacing w:before="0" w:after="0"/>
              <w:jc w:val="center"/>
              <w:rPr>
                <w:szCs w:val="24"/>
              </w:rPr>
            </w:pPr>
            <w:r>
              <w:rPr>
                <w:kern w:val="0"/>
                <w:sz w:val="22"/>
                <w:szCs w:val="24"/>
                <w:vertAlign w:val="superscript"/>
                <w:lang w:eastAsia="en-US" w:bidi="ar-SA"/>
              </w:rPr>
              <w:t>(vardas, pavardė)</w:t>
            </w:r>
          </w:p>
        </w:tc>
      </w:tr>
    </w:tbl>
    <w:p>
      <w:pPr>
        <w:pStyle w:val="Normal"/>
        <w:rPr>
          <w:szCs w:val="24"/>
        </w:rPr>
      </w:pPr>
      <w:r>
        <w:rPr>
          <w:szCs w:val="24"/>
        </w:rPr>
      </w:r>
    </w:p>
    <w:p>
      <w:pPr>
        <w:pStyle w:val="Normal"/>
        <w:rPr>
          <w:szCs w:val="24"/>
        </w:rPr>
      </w:pPr>
      <w:r>
        <w:rPr/>
      </w:r>
    </w:p>
    <w:sectPr>
      <w:footnotePr>
        <w:numFmt w:val="decimal"/>
      </w:footnotePr>
      <w:type w:val="nextPage"/>
      <w:pgSz w:w="12240" w:h="15840"/>
      <w:pgMar w:left="90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Inaa"/>
        <w:jc w:val="both"/>
        <w:rPr/>
      </w:pPr>
      <w:r>
        <w:rPr>
          <w:rStyle w:val="Inaosramenys"/>
        </w:rPr>
        <w:footnoteRef/>
      </w:r>
      <w:r>
        <w:rPr/>
        <w:t xml:space="preserve"> </w:t>
      </w:r>
      <w:r>
        <w:rPr/>
        <w:t>Elektrinių efektyvumas Monitoringo metu skaičiuojamas atskirai. Kiekviena elektrinė atskirai turi pasiekti pardavėjo nurodomą efektyvumą. Vienos elektrinės pagamintu energijos pertekliumi negali būti padengiami kitos elektrinės</w:t>
      </w:r>
      <w:ins w:id="0" w:author="Nežinomas autorius" w:date="2021-09-15T13:09:00Z">
        <w:r>
          <w:rPr/>
          <w:t xml:space="preserve"> </w:t>
        </w:r>
      </w:ins>
      <w:r>
        <w:rPr/>
        <w:t>nepakankamai pagamintos energijos kiekiai.</w:t>
      </w:r>
    </w:p>
  </w:footnote>
  <w:footnote w:id="3">
    <w:p>
      <w:pPr>
        <w:pStyle w:val="Inaa"/>
        <w:widowControl w:val="false"/>
        <w:rPr/>
      </w:pPr>
      <w:r>
        <w:rPr>
          <w:rStyle w:val="Inaosramenys"/>
        </w:rPr>
        <w:footnoteRef/>
      </w:r>
      <w:r>
        <w:rPr/>
        <w:t xml:space="preserve"> </w:t>
      </w:r>
      <w:r>
        <w:rPr/>
        <w:t>Reikalavimas pateiktas ESO prisijungimo sąlygose.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318"/>
        </w:tabs>
        <w:ind w:left="318" w:hanging="360"/>
      </w:pPr>
    </w:lvl>
    <w:lvl w:ilvl="1">
      <w:start w:val="1"/>
      <w:numFmt w:val="decimal"/>
      <w:lvlText w:val="%2."/>
      <w:lvlJc w:val="left"/>
      <w:pPr>
        <w:tabs>
          <w:tab w:val="num" w:pos="678"/>
        </w:tabs>
        <w:ind w:left="678" w:hanging="360"/>
      </w:pPr>
    </w:lvl>
    <w:lvl w:ilvl="2">
      <w:start w:val="1"/>
      <w:numFmt w:val="decimal"/>
      <w:lvlText w:val="%3."/>
      <w:lvlJc w:val="left"/>
      <w:pPr>
        <w:tabs>
          <w:tab w:val="num" w:pos="1038"/>
        </w:tabs>
        <w:ind w:left="1038" w:hanging="360"/>
      </w:pPr>
    </w:lvl>
    <w:lvl w:ilvl="3">
      <w:start w:val="1"/>
      <w:numFmt w:val="decimal"/>
      <w:lvlText w:val="%4."/>
      <w:lvlJc w:val="left"/>
      <w:pPr>
        <w:tabs>
          <w:tab w:val="num" w:pos="1398"/>
        </w:tabs>
        <w:ind w:left="1398" w:hanging="360"/>
      </w:pPr>
    </w:lvl>
    <w:lvl w:ilvl="4">
      <w:start w:val="1"/>
      <w:numFmt w:val="decimal"/>
      <w:lvlText w:val="%5."/>
      <w:lvlJc w:val="left"/>
      <w:pPr>
        <w:tabs>
          <w:tab w:val="num" w:pos="1758"/>
        </w:tabs>
        <w:ind w:left="1758" w:hanging="360"/>
      </w:pPr>
    </w:lvl>
    <w:lvl w:ilvl="5">
      <w:start w:val="1"/>
      <w:numFmt w:val="decimal"/>
      <w:lvlText w:val="%6."/>
      <w:lvlJc w:val="left"/>
      <w:pPr>
        <w:tabs>
          <w:tab w:val="num" w:pos="2118"/>
        </w:tabs>
        <w:ind w:left="2118" w:hanging="360"/>
      </w:pPr>
    </w:lvl>
    <w:lvl w:ilvl="6">
      <w:start w:val="1"/>
      <w:numFmt w:val="decimal"/>
      <w:lvlText w:val="%7."/>
      <w:lvlJc w:val="left"/>
      <w:pPr>
        <w:tabs>
          <w:tab w:val="num" w:pos="2478"/>
        </w:tabs>
        <w:ind w:left="2478" w:hanging="360"/>
      </w:pPr>
    </w:lvl>
    <w:lvl w:ilvl="7">
      <w:start w:val="1"/>
      <w:numFmt w:val="decimal"/>
      <w:lvlText w:val="%8."/>
      <w:lvlJc w:val="left"/>
      <w:pPr>
        <w:tabs>
          <w:tab w:val="num" w:pos="2838"/>
        </w:tabs>
        <w:ind w:left="2838" w:hanging="360"/>
      </w:pPr>
    </w:lvl>
    <w:lvl w:ilvl="8">
      <w:start w:val="1"/>
      <w:numFmt w:val="decimal"/>
      <w:lvlText w:val="%9."/>
      <w:lvlJc w:val="left"/>
      <w:pPr>
        <w:tabs>
          <w:tab w:val="num" w:pos="3198"/>
        </w:tabs>
        <w:ind w:left="3198"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trackRevisions/>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295d"/>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ListParagraphChar" w:customStyle="1">
    <w:name w:val="List Paragraph Char"/>
    <w:basedOn w:val="DefaultParagraphFont"/>
    <w:link w:val="ListParagraph"/>
    <w:uiPriority w:val="34"/>
    <w:qFormat/>
    <w:locked/>
    <w:rsid w:val="00a8295d"/>
    <w:rPr>
      <w:lang w:val="lt-LT"/>
    </w:rPr>
  </w:style>
  <w:style w:type="character" w:styleId="Internetosaitas" w:customStyle="1">
    <w:name w:val="Interneto saitas"/>
    <w:basedOn w:val="DefaultParagraphFont"/>
    <w:uiPriority w:val="99"/>
    <w:unhideWhenUsed/>
    <w:rsid w:val="00e608a7"/>
    <w:rPr>
      <w:color w:val="0563C1" w:themeColor="hyperlink"/>
      <w:u w:val="single"/>
    </w:rPr>
  </w:style>
  <w:style w:type="character" w:styleId="BalloonTextChar" w:customStyle="1">
    <w:name w:val="Balloon Text Char"/>
    <w:basedOn w:val="DefaultParagraphFont"/>
    <w:link w:val="BalloonText"/>
    <w:uiPriority w:val="99"/>
    <w:semiHidden/>
    <w:qFormat/>
    <w:rsid w:val="008e7cb2"/>
    <w:rPr>
      <w:rFonts w:ascii="Times New Roman" w:hAnsi="Times New Roman" w:eastAsia="Times New Roman" w:cs="Times New Roman"/>
      <w:sz w:val="18"/>
      <w:szCs w:val="18"/>
      <w:lang w:val="lt-LT"/>
    </w:rPr>
  </w:style>
  <w:style w:type="character" w:styleId="FootnoteTextChar" w:customStyle="1">
    <w:name w:val="Footnote Text Char"/>
    <w:basedOn w:val="DefaultParagraphFont"/>
    <w:link w:val="FootnoteText"/>
    <w:uiPriority w:val="99"/>
    <w:semiHidden/>
    <w:qFormat/>
    <w:rsid w:val="008e7cb2"/>
    <w:rPr>
      <w:rFonts w:ascii="Times New Roman" w:hAnsi="Times New Roman" w:eastAsia="Times New Roman" w:cs="Times New Roman"/>
      <w:sz w:val="20"/>
      <w:szCs w:val="20"/>
      <w:lang w:val="lt-LT"/>
    </w:rPr>
  </w:style>
  <w:style w:type="character" w:styleId="Inaosprieraias" w:customStyle="1">
    <w:name w:val="Išnašos prieraišas"/>
    <w:rPr>
      <w:vertAlign w:val="superscript"/>
    </w:rPr>
  </w:style>
  <w:style w:type="character" w:styleId="FootnoteCharacters" w:customStyle="1">
    <w:name w:val="Footnote Characters"/>
    <w:basedOn w:val="DefaultParagraphFont"/>
    <w:uiPriority w:val="99"/>
    <w:semiHidden/>
    <w:unhideWhenUsed/>
    <w:qFormat/>
    <w:rsid w:val="008e7cb2"/>
    <w:rPr>
      <w:vertAlign w:val="superscript"/>
    </w:rPr>
  </w:style>
  <w:style w:type="character" w:styleId="Inaosramenys" w:customStyle="1">
    <w:name w:val="Išnašos rašmenys"/>
    <w:qFormat/>
    <w:rPr/>
  </w:style>
  <w:style w:type="character" w:styleId="Galinsinaosprieraias" w:customStyle="1">
    <w:name w:val="Galinės išnašos prieraišas"/>
    <w:rPr>
      <w:vertAlign w:val="superscript"/>
    </w:rPr>
  </w:style>
  <w:style w:type="character" w:styleId="Galinsinaosramenys" w:customStyle="1">
    <w:name w:val="Galinės išnašos rašmenys"/>
    <w:qFormat/>
    <w:rPr/>
  </w:style>
  <w:style w:type="character" w:styleId="Eiluinumeravimas" w:customStyle="1">
    <w:name w:val="Eilučių numeravimas"/>
    <w:rPr/>
  </w:style>
  <w:style w:type="character" w:styleId="Numeravimosimboliai" w:customStyle="1">
    <w:name w:val="Numeravimo simboliai"/>
    <w:qFormat/>
    <w:rPr/>
  </w:style>
  <w:style w:type="paragraph" w:styleId="Antrat" w:customStyle="1">
    <w:name w:val="Antraštė"/>
    <w:basedOn w:val="Normal"/>
    <w:next w:val="Pagrindinistekstas"/>
    <w:qFormat/>
    <w:pPr>
      <w:keepNext w:val="true"/>
      <w:spacing w:before="240" w:after="120"/>
    </w:pPr>
    <w:rPr>
      <w:rFonts w:ascii="Liberation Sans" w:hAnsi="Liberation Sans" w:eastAsia="Microsoft YaHei" w:cs="Arial"/>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Arial"/>
    </w:rPr>
  </w:style>
  <w:style w:type="paragraph" w:styleId="Pavadinimas">
    <w:name w:val="Caption"/>
    <w:basedOn w:val="Normal"/>
    <w:qFormat/>
    <w:pPr>
      <w:suppressLineNumbers/>
      <w:spacing w:before="120" w:after="120"/>
    </w:pPr>
    <w:rPr>
      <w:rFonts w:cs="Arial"/>
      <w:i/>
      <w:iCs/>
      <w:sz w:val="24"/>
      <w:szCs w:val="24"/>
    </w:rPr>
  </w:style>
  <w:style w:type="paragraph" w:styleId="Rodykl" w:customStyle="1">
    <w:name w:val="Rodyklė"/>
    <w:basedOn w:val="Normal"/>
    <w:qFormat/>
    <w:pPr>
      <w:suppressLineNumbers/>
    </w:pPr>
    <w:rPr>
      <w:rFonts w:cs="Arial"/>
    </w:rPr>
  </w:style>
  <w:style w:type="paragraph" w:styleId="Caption">
    <w:name w:val="caption"/>
    <w:basedOn w:val="Normal"/>
    <w:qFormat/>
    <w:pPr>
      <w:suppressLineNumbers/>
      <w:spacing w:before="120" w:after="120"/>
    </w:pPr>
    <w:rPr>
      <w:rFonts w:cs="Arial"/>
      <w:i/>
      <w:iCs/>
      <w:szCs w:val="24"/>
    </w:rPr>
  </w:style>
  <w:style w:type="paragraph" w:styleId="ListParagraph">
    <w:name w:val="List Paragraph"/>
    <w:basedOn w:val="Normal"/>
    <w:link w:val="ListParagraphChar"/>
    <w:uiPriority w:val="34"/>
    <w:qFormat/>
    <w:rsid w:val="00a8295d"/>
    <w:pPr>
      <w:spacing w:lineRule="auto" w:line="259" w:before="0" w:after="160"/>
      <w:ind w:left="720" w:hanging="0"/>
      <w:contextualSpacing/>
    </w:pPr>
    <w:rPr>
      <w:rFonts w:ascii="Calibri" w:hAnsi="Calibri" w:eastAsia="Calibri" w:cs="" w:asciiTheme="minorHAnsi" w:cstheme="minorBidi" w:eastAsiaTheme="minorHAnsi" w:hAnsiTheme="minorHAnsi"/>
      <w:sz w:val="22"/>
      <w:szCs w:val="22"/>
    </w:rPr>
  </w:style>
  <w:style w:type="paragraph" w:styleId="Standard" w:customStyle="1">
    <w:name w:val="Standard"/>
    <w:qFormat/>
    <w:rsid w:val="00a8295d"/>
    <w:pPr>
      <w:widowControl w:val="false"/>
      <w:suppressAutoHyphens w:val="true"/>
      <w:bidi w:val="0"/>
      <w:spacing w:before="0" w:after="0"/>
      <w:jc w:val="left"/>
    </w:pPr>
    <w:rPr>
      <w:rFonts w:ascii="Times New Roman" w:hAnsi="Times New Roman" w:eastAsia="Andale Sans UI" w:cs="Tahoma"/>
      <w:color w:val="auto"/>
      <w:kern w:val="2"/>
      <w:sz w:val="24"/>
      <w:szCs w:val="24"/>
      <w:lang w:val="en-US" w:eastAsia="zh-CN" w:bidi="en-US"/>
    </w:rPr>
  </w:style>
  <w:style w:type="paragraph" w:styleId="BalloonText">
    <w:name w:val="Balloon Text"/>
    <w:basedOn w:val="Normal"/>
    <w:link w:val="BalloonTextChar"/>
    <w:uiPriority w:val="99"/>
    <w:semiHidden/>
    <w:unhideWhenUsed/>
    <w:qFormat/>
    <w:rsid w:val="008e7cb2"/>
    <w:pPr/>
    <w:rPr>
      <w:sz w:val="18"/>
      <w:szCs w:val="18"/>
    </w:rPr>
  </w:style>
  <w:style w:type="paragraph" w:styleId="Inaa">
    <w:name w:val="Footnote Text"/>
    <w:basedOn w:val="Normal"/>
    <w:link w:val="FootnoteTextChar"/>
    <w:uiPriority w:val="99"/>
    <w:semiHidden/>
    <w:unhideWhenUsed/>
    <w:rsid w:val="008e7cb2"/>
    <w:pPr/>
    <w:rPr>
      <w:sz w:val="20"/>
    </w:rPr>
  </w:style>
  <w:style w:type="paragraph" w:styleId="Revision">
    <w:name w:val="Revision"/>
    <w:uiPriority w:val="99"/>
    <w:semiHidden/>
    <w:qFormat/>
    <w:rsid w:val="00491583"/>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paragraph" w:styleId="Lentelsturinys" w:customStyle="1">
    <w:name w:val="Lentelės turinys"/>
    <w:basedOn w:val="Normal"/>
    <w:qFormat/>
    <w:pPr>
      <w:widowControl w:val="false"/>
      <w:suppressLineNumbers/>
    </w:pPr>
    <w:rPr/>
  </w:style>
  <w:style w:type="paragraph" w:styleId="Lentelsantrat" w:customStyle="1">
    <w:name w:val="Lentelės antraštė"/>
    <w:basedOn w:val="Lentelsturinys"/>
    <w:qFormat/>
    <w:pPr>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a8295d"/>
    <w:rPr>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akvarcas.lt" TargetMode="External"/><Relationship Id="rId3" Type="http://schemas.openxmlformats.org/officeDocument/2006/relationships/hyperlink" Target="http://esinvesticijos.lt/" TargetMode="Externa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677D9-50F5-4AFA-913A-1888B315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Application>LibreOffice/7.1.1.2$Windows_X86_64 LibreOffice_project/fe0b08f4af1bacafe4c7ecc87ce55bb426164676</Application>
  <AppVersion>15.0000</AppVersion>
  <Pages>10</Pages>
  <Words>1487</Words>
  <Characters>10732</Characters>
  <CharactersWithSpaces>12004</CharactersWithSpaces>
  <Paragraphs>219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2020-09-28T13:31:00Z</dcterms:created>
  <dc:creator>Marius Bružas</dc:creator>
  <dc:description/>
  <dc:language>lt-LT</dc:language>
  <cp:lastModifiedBy/>
  <dcterms:modified xsi:type="dcterms:W3CDTF">2021-12-28T14:39:12Z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file>