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2" w:type="dxa"/>
        <w:tblLook w:val="04A0" w:firstRow="1" w:lastRow="0" w:firstColumn="1" w:lastColumn="0" w:noHBand="0" w:noVBand="1"/>
      </w:tblPr>
      <w:tblGrid>
        <w:gridCol w:w="511"/>
        <w:gridCol w:w="2817"/>
        <w:gridCol w:w="3956"/>
        <w:gridCol w:w="3837"/>
        <w:gridCol w:w="1386"/>
        <w:gridCol w:w="2675"/>
      </w:tblGrid>
      <w:tr w:rsidR="000E6F83" w:rsidRPr="000E6F83" w:rsidTr="000E6F83">
        <w:trPr>
          <w:trHeight w:val="289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bookmarkStart w:id="0" w:name="RANGE!A1"/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PASIŪLYMAS</w:t>
            </w:r>
            <w:bookmarkEnd w:id="0"/>
          </w:p>
        </w:tc>
      </w:tr>
      <w:tr w:rsidR="000E6F83" w:rsidRPr="000E6F83" w:rsidTr="000E6F83">
        <w:trPr>
          <w:trHeight w:val="623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lt-LT"/>
              </w:rPr>
              <w:t>PIRKIMO OBJEKTAS: Automatizuotas spaudos ir laminavimo įrenginys su integruotomis skaitmeninimo technologijomis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3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7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  <w:lang w:val="lt-LT"/>
              </w:rPr>
            </w:pPr>
            <w:r w:rsidRPr="000E6F83">
              <w:rPr>
                <w:rFonts w:ascii="Calibri" w:eastAsia="Times New Roman" w:hAnsi="Calibri" w:cs="Calibri"/>
                <w:color w:val="000000"/>
                <w:lang w:val="lt-LT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3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7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Data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3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7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15"/>
        </w:trPr>
        <w:tc>
          <w:tcPr>
            <w:tcW w:w="3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7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Vieta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Tiekėjo pavadinimas (arba Ūkio subjektų grupės kiekvieno nario pavadinimas)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Tiekėjo adresas (arba Ūkio subjektų grupės narių adresai)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Už pasiūlymą atsakingo asmens vardas, pavardė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Telefono numeris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Fakso numeris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El. pašto adresas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Pasiūlymo galiojimo data (pasiūlymas turi galioti ne trumpiau nei iki 2022-07-05)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bookmarkStart w:id="1" w:name="_GoBack"/>
            <w:bookmarkEnd w:id="1"/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Šiuo pasiūlymu pažymime, kad sutinkame su visomis pirkimo sąlygomis, nustatytomis: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1) konkurso skelbime, paskelbtame svetainėje www.esinvesticijos.lt.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3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2) konkurso sąlygose;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3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3) pirkimo dokumentų prieduose.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4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4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Mes siūlome:</w:t>
            </w:r>
          </w:p>
        </w:tc>
      </w:tr>
      <w:tr w:rsidR="000E6F83" w:rsidRPr="000E6F83" w:rsidTr="000E6F83">
        <w:trPr>
          <w:trHeight w:val="36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2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Prekių pavadinimas</w:t>
            </w:r>
          </w:p>
        </w:tc>
        <w:tc>
          <w:tcPr>
            <w:tcW w:w="3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Kiekis</w:t>
            </w:r>
          </w:p>
        </w:tc>
        <w:tc>
          <w:tcPr>
            <w:tcW w:w="3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Mato vnt.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Kaina,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Kaina,</w:t>
            </w:r>
          </w:p>
        </w:tc>
      </w:tr>
      <w:tr w:rsidR="000E6F83" w:rsidRPr="000E6F83" w:rsidTr="000E6F83">
        <w:trPr>
          <w:trHeight w:val="330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proofErr w:type="spellStart"/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Eur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 xml:space="preserve"> (be PVM)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proofErr w:type="spellStart"/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Eur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 xml:space="preserve"> (su PVM)</w:t>
            </w:r>
          </w:p>
        </w:tc>
      </w:tr>
      <w:tr w:rsidR="000E6F83" w:rsidRPr="000E6F83" w:rsidTr="000E6F83">
        <w:trPr>
          <w:trHeight w:val="3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2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6</w:t>
            </w:r>
          </w:p>
        </w:tc>
      </w:tr>
      <w:tr w:rsidR="000E6F83" w:rsidRPr="000E6F83" w:rsidTr="000E6F83">
        <w:trPr>
          <w:trHeight w:val="105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1.  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Automatizuotas spaudos ir laminavimo įrenginys su integruotomis skaitmeninimo technologijomis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Vnt.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0E6F83" w:rsidRPr="000E6F83" w:rsidTr="000E6F83">
        <w:trPr>
          <w:trHeight w:val="300"/>
        </w:trPr>
        <w:tc>
          <w:tcPr>
            <w:tcW w:w="12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IŠ VISO (bendra pasiūlymo kaina):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lastRenderedPageBreak/>
              <w:t>TECHNINĖ SPECIFIKACIJA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Siūlomos prekės visiškai atitinka pirkimo dokumentuose nurodytus reikalavimus ir jų savybės tokios: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6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Pageidaujamos savybės ir komplektacija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Siūlomos savybės ir komplektacija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6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7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(ĮRAŠYTI)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2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3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Maksimalus spaudos medžiagos  plotis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Ne mažesnis, kaip 670 mm.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Maksimalus spaudos greitis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Ne mažesnis, kaip 250 m/min.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Maksimalus fleksografijos spaudos plotis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Ne mažesnis, kaip 660 mm.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Fleksografijos spaudos žingsnis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Ne mažiau, kaip nuo  304,8mm iki  635mm.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Spausdinamų medžiagų tipai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Plėvelės: PET 12mkr; BOPP 12mkr; OPS, PVC, PET, POFF.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Spausdinimo sekcija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8 spaudos sekcijų. Iš jų 2 kombinuotos(karštas oras su UV, 8 UV).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21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Juostos tempimas įrenginyje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Tiesiogine servo pavara varoma padavimo sekcija, su pneumatiniu prispaudimo velenėliu, automatinė juostas tempimo kontrolė "uždara kilpa" (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closed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loop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). Servo pavara varoma išvedimo sekcija su pneumatiniu prispaudimo velenėliu. Tempimo parametrai įvedami pagrindinėje operatoriaus konsolėje.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0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lastRenderedPageBreak/>
              <w:t>8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Išvyniojimo mazgas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Maksimalus rulonų diametras iki 1000mm; išvyniojimo ašys skirtos 76mm tūtoms, su galimybe užsidėti adapterį 152mm. tūtoms. Ašių išsiplėtimas suspaustu oru. Rulonų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pakelimas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nuo žemės, nenaudojant vežimėlių. Sujungimo stalas su pneumatiniais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užspaudėjais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; Automatinė medžiagos juostos tempimo kontrolė su "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closed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loop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"(uždara kilpa) servo pavara; Automatinė medžiagos krašto sekimo sistema, su ultragarsiniu davikliu; Automatinė mašinos sustabdymo sistema, kai baigiasi medžiagos rulonas; Spausdinamos medžiagos trūkimo(2vnt) detektorius, automatiškai sustabdantis įrenginį nutrūkus juostai.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3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Spausdinimo sekcija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Spaudos velenas, atraminis šaldomas būgnas,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aniloksinis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velenas varomi atskirais servo varikliais.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>Lengvos dažų vonelės padengtos teflonu lengvam plovimui, su greita išėmimo/įstatymo galimybe.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>Guminis dažų pernešimo velenėlis be pavaros, su abiejų pusių reguliavimu;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>Išilginis ir skersinis spaudos suvedimas rankinis;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>Galimybe naudoti UV, vandens ir spirito pagrindu pagamintus dažus;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 xml:space="preserve">Galimybė kombinuotose sekcijose spausdinti reversu. 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Džiovinimas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UV dažų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džiovyklės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ir galimybė džiovinti karštu oru. Ne mažiau, kaip 200W/cm galingumo lempos. Ne mažiau, kaip 12 UV  lempų sistema. Prieš 1 ir po 8 spaudos sekcijose prailgintas medžiagos kelias.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Šaldymo sistema dėl šilumai jautrių medžiagų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Visose 10 sekcijose atšaldomi velenai ir šaldymo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čileris</w:t>
            </w:r>
            <w:proofErr w:type="spellEnd"/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Spausdinamų medžiagų aktyvacijos mazgas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Dvipusis medžiagos aktyvatorius. Galingumas ne mažiau kaip 5+5 kW.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lastRenderedPageBreak/>
              <w:t>13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Spausdinamų medžiagų valymo mazgas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Bekontaktinio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tipo, dvipusis.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16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14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Papildomi mazgai ir funkcijos ir sąlygos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Bėgių sistema, kuria galima stumdyti papildomas funkcijas, kaip laminavimo sekciją, šalto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folijavimo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sekciją, "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cast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and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cure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" sistemą ir kitus mazgus. Sumontuoti per visą įrenginį, nuo pirmos iki 9 spausdinimo sekcijos iki suvyniojimo. Prieš 1 prailgintas kelias.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Šalto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folijavimo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sekcija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Montuojama ant bėgių. 2vnt. 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Medžiagos vertimo sistema (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Web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turning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bar)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Montuojama ant bėgių. 1vnt.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12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Kokybės užtikrinimas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Kokybės inspektavimo įrenginys, padedantis suvesti ir stebėti spaudos kokybę; 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 xml:space="preserve">Automatinė spaudos suvedimo sistema; 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>100% kokybės patikros sistema.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18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Nuotolinis patikrinimas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Vaizdo kamera patikrinimui per internetą.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Aniloksiniai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velenai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10 vnt. Galimybė tuos pačius naudoti tiek reversiniu, tiek standartiniu pravedimu. 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9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Spaudos cilindrai Z154(488,95mm) arba lygiaverčiai; klišės storis ne mažiau, kaip 1,14mm; montavimo juostos storis ne mažiau kaip 0,38mm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10 vnt.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Uždaros kameros spaudai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2 vnt.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Papildomi komplektai: dažų vonelių,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gumininių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velenų,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rakelinių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peilių laikiklių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5 vnt.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Automatinė padavimo sistema, tinkanti vandens ir spirito pagrindo dažams.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>Automatinė dažų klampumo valdymo sistema.</w:t>
            </w: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br/>
              <w:t xml:space="preserve">Elektrinis siurblys su 25 l bako talpa, atsparus sprogimui, įskaitant vežimėlį. 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1 vnt.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24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Stalas su vieta greitam dažų išleidimui.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1 vnt.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9 ir 10 sekcijos turi būti „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explosion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proof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“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2 vnt. 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lastRenderedPageBreak/>
              <w:t>26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Peristatinė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dažų padavimo pompa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2 vnt.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Nuotolinė diagnostika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Nuotolinės prieigos sistema ir gedimų ir trikdžių šalinimas per interneto ryšį.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12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28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Paleidimas ir apmokymas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Mašinos surinkimas ir darbuotojų apmokymas UAB "Pakmarkas" patalpose. Visas išlaidas kelionės, apgyvendinimo išlaidas apmoka pardavėjas.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Pristatymo sąlygos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Pristatymo sąlygos – CIP.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Įrenginio pristatymas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12 mėnesius nuo sutarties pasirašymo.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Įranga turi būti nauja ir modelis, pateiktas į rinką turi būti ne anksčiau kaip 2019 metais 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Tiekėjo laisvos formos deklaracija.</w:t>
            </w:r>
          </w:p>
        </w:tc>
        <w:tc>
          <w:tcPr>
            <w:tcW w:w="7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Kartu su pasiūlymu pateikiami šie dokumentai </w:t>
            </w:r>
            <w:r w:rsidRPr="000E6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(jei reikalinga)</w:t>
            </w: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: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5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11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Pateiktų dokumentų pavadinimas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Dokumento puslapių skaičius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1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11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1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578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Aš, žemiau pasirašęs (-</w:t>
            </w:r>
            <w:proofErr w:type="spellStart"/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iusi</w:t>
            </w:r>
            <w:proofErr w:type="spellEnd"/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), patvirtinu, kad visa mūsų pasiūlyme pateikta informacija yra teisinga ir kad mes nenuslėpėme jokios informacijos, kurią buvo prašoma pateikti konkurso dalyvius.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Aš patvirtinu, kad nedalyvavau rengiant pirkimo dokumentus ir nesu susijęs su jokia kita šiame konkurse dalyvaujančia įmone ar kita suinteresuota šalimi.  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Aš suprantu, kad išaiškėjus aukščiau nurodytoms aplinkybėms būsiu pašalintas (-a) iš šio konkurso procedūros, ir mano pasiūlymas bus atmestas.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  <w:t xml:space="preserve"> </w:t>
            </w:r>
          </w:p>
        </w:tc>
      </w:tr>
      <w:tr w:rsidR="000E6F83" w:rsidRPr="000E6F83" w:rsidTr="000E6F83">
        <w:trPr>
          <w:trHeight w:val="51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Tiekėjo vadovo arba jo įgalioto asmens pareigos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83" w:rsidRPr="000E6F83" w:rsidRDefault="000E6F83" w:rsidP="000E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parašas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0E6F83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Vardas Pavardė</w:t>
            </w: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0E6F83" w:rsidRPr="000E6F83" w:rsidTr="000E6F83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83" w:rsidRPr="000E6F83" w:rsidRDefault="000E6F83" w:rsidP="000E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</w:tbl>
    <w:p w:rsidR="00B664D4" w:rsidRPr="00726455" w:rsidRDefault="00B664D4" w:rsidP="00726455">
      <w:pPr>
        <w:ind w:right="-1215"/>
        <w:rPr>
          <w:lang w:val="lt-LT"/>
        </w:rPr>
      </w:pPr>
    </w:p>
    <w:sectPr w:rsidR="00B664D4" w:rsidRPr="00726455" w:rsidSect="00726455">
      <w:pgSz w:w="15840" w:h="12240" w:orient="landscape"/>
      <w:pgMar w:top="709" w:right="1440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1B"/>
    <w:rsid w:val="000E6F83"/>
    <w:rsid w:val="0026791B"/>
    <w:rsid w:val="00726455"/>
    <w:rsid w:val="00B6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26406"/>
  <w15:chartTrackingRefBased/>
  <w15:docId w15:val="{0527894B-0D1C-4A06-9520-E001DD4B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645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6455"/>
    <w:rPr>
      <w:color w:val="954F72"/>
      <w:u w:val="single"/>
    </w:rPr>
  </w:style>
  <w:style w:type="paragraph" w:customStyle="1" w:styleId="msonormal0">
    <w:name w:val="msonormal"/>
    <w:basedOn w:val="Normal"/>
    <w:rsid w:val="0072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72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Normal"/>
    <w:rsid w:val="0072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6">
    <w:name w:val="xl66"/>
    <w:basedOn w:val="Normal"/>
    <w:rsid w:val="0072645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7264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7264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7264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726455"/>
    <w:pPr>
      <w:spacing w:before="100" w:beforeAutospacing="1" w:after="100" w:afterAutospacing="1" w:line="240" w:lineRule="auto"/>
      <w:ind w:firstLineChars="2200" w:firstLine="2200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">
    <w:name w:val="xl73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5">
    <w:name w:val="xl75"/>
    <w:basedOn w:val="Normal"/>
    <w:rsid w:val="007264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7264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7264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"/>
    <w:rsid w:val="0072645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"/>
    <w:rsid w:val="007264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7264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808080"/>
      <w:sz w:val="20"/>
      <w:szCs w:val="20"/>
    </w:rPr>
  </w:style>
  <w:style w:type="paragraph" w:customStyle="1" w:styleId="xl83">
    <w:name w:val="xl83"/>
    <w:basedOn w:val="Normal"/>
    <w:rsid w:val="007264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C0C0C0"/>
      <w:sz w:val="20"/>
      <w:szCs w:val="20"/>
    </w:rPr>
  </w:style>
  <w:style w:type="paragraph" w:customStyle="1" w:styleId="xl84">
    <w:name w:val="xl84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Normal"/>
    <w:rsid w:val="007264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"/>
    <w:rsid w:val="007264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7264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Normal"/>
    <w:rsid w:val="007264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Normal"/>
    <w:rsid w:val="00726455"/>
    <w:pPr>
      <w:pBdr>
        <w:bottom w:val="single" w:sz="4" w:space="0" w:color="auto"/>
      </w:pBdr>
      <w:spacing w:before="100" w:beforeAutospacing="1" w:after="100" w:afterAutospacing="1" w:line="240" w:lineRule="auto"/>
      <w:ind w:firstLineChars="1200" w:firstLine="1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726455"/>
    <w:pPr>
      <w:pBdr>
        <w:bottom w:val="single" w:sz="4" w:space="0" w:color="auto"/>
      </w:pBdr>
      <w:spacing w:before="100" w:beforeAutospacing="1" w:after="100" w:afterAutospacing="1" w:line="240" w:lineRule="auto"/>
      <w:ind w:firstLineChars="2200" w:firstLine="2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5">
    <w:name w:val="xl95"/>
    <w:basedOn w:val="Normal"/>
    <w:rsid w:val="0072645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7264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al"/>
    <w:rsid w:val="007264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7264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7264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726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992</Words>
  <Characters>5655</Characters>
  <Application>Microsoft Office Word</Application>
  <DocSecurity>0</DocSecurity>
  <Lines>47</Lines>
  <Paragraphs>13</Paragraphs>
  <ScaleCrop>false</ScaleCrop>
  <Company>Home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Kozlova</dc:creator>
  <cp:keywords/>
  <dc:description/>
  <cp:lastModifiedBy>Jurgita Kozlova</cp:lastModifiedBy>
  <cp:revision>3</cp:revision>
  <dcterms:created xsi:type="dcterms:W3CDTF">2022-03-28T06:42:00Z</dcterms:created>
  <dcterms:modified xsi:type="dcterms:W3CDTF">2022-03-29T06:52:00Z</dcterms:modified>
</cp:coreProperties>
</file>