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0C" w:rsidRPr="0029420C" w:rsidRDefault="0029420C" w:rsidP="0029420C">
      <w:pPr>
        <w:widowControl w:val="0"/>
        <w:spacing w:line="360" w:lineRule="atLeast"/>
        <w:ind w:firstLine="1296"/>
        <w:jc w:val="center"/>
        <w:textAlignment w:val="baseline"/>
        <w:rPr>
          <w:sz w:val="28"/>
          <w:szCs w:val="28"/>
        </w:rPr>
      </w:pPr>
      <w:bookmarkStart w:id="0" w:name="_top"/>
      <w:bookmarkStart w:id="1" w:name="_GoBack"/>
      <w:bookmarkEnd w:id="0"/>
      <w:bookmarkEnd w:id="1"/>
      <w:proofErr w:type="gramStart"/>
      <w:r w:rsidRPr="0029420C">
        <w:rPr>
          <w:sz w:val="28"/>
          <w:szCs w:val="28"/>
        </w:rPr>
        <w:t>LIETUVOS RESPUBLIKOS FINANSŲ MINISTERIJA</w:t>
      </w:r>
      <w:proofErr w:type="gramEnd"/>
    </w:p>
    <w:p w:rsidR="0029420C" w:rsidRPr="0029420C" w:rsidRDefault="0029420C" w:rsidP="0029420C">
      <w:pPr>
        <w:widowControl w:val="0"/>
        <w:spacing w:line="360" w:lineRule="atLeast"/>
        <w:jc w:val="center"/>
        <w:textAlignment w:val="baseline"/>
        <w:rPr>
          <w:szCs w:val="24"/>
        </w:rPr>
      </w:pPr>
    </w:p>
    <w:p w:rsidR="0029420C" w:rsidRPr="0029420C" w:rsidRDefault="0029420C" w:rsidP="0029420C">
      <w:pPr>
        <w:shd w:val="clear" w:color="auto" w:fill="FFFFFF"/>
        <w:jc w:val="center"/>
        <w:rPr>
          <w:b/>
          <w:color w:val="000000"/>
          <w:szCs w:val="24"/>
        </w:rPr>
      </w:pPr>
      <w:r w:rsidRPr="0029420C">
        <w:rPr>
          <w:b/>
          <w:color w:val="000000"/>
          <w:szCs w:val="24"/>
        </w:rPr>
        <w:t xml:space="preserve">PASIŪLYMAS KEISTI 2014–2020 M. </w:t>
      </w:r>
      <w:proofErr w:type="gramStart"/>
      <w:r w:rsidRPr="0029420C">
        <w:rPr>
          <w:b/>
          <w:color w:val="000000"/>
          <w:szCs w:val="24"/>
        </w:rPr>
        <w:t>EUROPOS SĄJUNGOS</w:t>
      </w:r>
      <w:proofErr w:type="gramEnd"/>
      <w:r w:rsidRPr="0029420C">
        <w:rPr>
          <w:b/>
          <w:color w:val="000000"/>
          <w:szCs w:val="24"/>
        </w:rPr>
        <w:t xml:space="preserve"> FONDŲ INVESTICIJŲ VEIKSMŲ PROGRAMĄ</w:t>
      </w:r>
    </w:p>
    <w:p w:rsidR="0029420C" w:rsidRPr="0029420C" w:rsidRDefault="0029420C" w:rsidP="0029420C">
      <w:pPr>
        <w:widowControl w:val="0"/>
        <w:shd w:val="clear" w:color="auto" w:fill="FFFFFF"/>
        <w:jc w:val="center"/>
        <w:textAlignment w:val="baseline"/>
        <w:rPr>
          <w:color w:val="000000"/>
          <w:szCs w:val="24"/>
        </w:rPr>
      </w:pPr>
    </w:p>
    <w:p w:rsidR="0029420C" w:rsidRPr="0029420C" w:rsidRDefault="0029420C" w:rsidP="0029420C">
      <w:pPr>
        <w:widowControl w:val="0"/>
        <w:shd w:val="clear" w:color="auto" w:fill="FFFFFF"/>
        <w:jc w:val="center"/>
        <w:textAlignment w:val="baseline"/>
        <w:rPr>
          <w:color w:val="000000"/>
          <w:szCs w:val="24"/>
        </w:rPr>
      </w:pPr>
      <w:r>
        <w:rPr>
          <w:color w:val="000000"/>
          <w:szCs w:val="24"/>
        </w:rPr>
        <w:t>2021</w:t>
      </w:r>
      <w:r w:rsidRPr="0029420C">
        <w:rPr>
          <w:color w:val="000000"/>
          <w:szCs w:val="24"/>
        </w:rPr>
        <w:t xml:space="preserve"> m. </w:t>
      </w:r>
      <w:r>
        <w:rPr>
          <w:color w:val="000000"/>
          <w:szCs w:val="24"/>
        </w:rPr>
        <w:t>gegužės</w:t>
      </w:r>
      <w:r w:rsidRPr="0029420C">
        <w:rPr>
          <w:color w:val="000000"/>
          <w:szCs w:val="24"/>
        </w:rPr>
        <w:t xml:space="preserve"> </w:t>
      </w:r>
      <w:r>
        <w:rPr>
          <w:color w:val="000000"/>
          <w:szCs w:val="24"/>
        </w:rPr>
        <w:t>17</w:t>
      </w:r>
      <w:r w:rsidRPr="0029420C">
        <w:rPr>
          <w:color w:val="000000"/>
          <w:szCs w:val="24"/>
        </w:rPr>
        <w:t xml:space="preserve"> d.</w:t>
      </w:r>
    </w:p>
    <w:p w:rsidR="0029420C" w:rsidRPr="0029420C" w:rsidRDefault="0029420C" w:rsidP="0029420C">
      <w:pPr>
        <w:widowControl w:val="0"/>
        <w:shd w:val="clear" w:color="auto" w:fill="FFFFFF"/>
        <w:jc w:val="center"/>
        <w:textAlignment w:val="baseline"/>
        <w:rPr>
          <w:color w:val="000000"/>
          <w:szCs w:val="24"/>
        </w:rPr>
      </w:pPr>
    </w:p>
    <w:p w:rsidR="0029420C" w:rsidRDefault="0029420C" w:rsidP="0029420C">
      <w:pPr>
        <w:widowControl w:val="0"/>
        <w:spacing w:line="360" w:lineRule="atLeast"/>
        <w:textAlignment w:val="baseline"/>
        <w:rPr>
          <w:b/>
          <w:color w:val="000000"/>
          <w:szCs w:val="24"/>
        </w:rPr>
      </w:pPr>
      <w:r w:rsidRPr="0029420C">
        <w:rPr>
          <w:b/>
          <w:color w:val="000000"/>
          <w:szCs w:val="24"/>
        </w:rPr>
        <w:t xml:space="preserve">2014–2020 METŲ </w:t>
      </w:r>
      <w:proofErr w:type="gramStart"/>
      <w:r w:rsidRPr="0029420C">
        <w:rPr>
          <w:b/>
          <w:color w:val="000000"/>
          <w:szCs w:val="24"/>
        </w:rPr>
        <w:t>EUROPOS SĄJUNGOS</w:t>
      </w:r>
      <w:proofErr w:type="gramEnd"/>
      <w:r w:rsidRPr="0029420C">
        <w:rPr>
          <w:b/>
          <w:color w:val="000000"/>
          <w:szCs w:val="24"/>
        </w:rPr>
        <w:t xml:space="preserve"> FONDŲ INVESTICIJŲ VEIKSMŲ PROGRAMOS (TOLIAU – VEIKSMŲ PROGRAMA) 3 PRIED</w:t>
      </w:r>
      <w:r>
        <w:rPr>
          <w:b/>
          <w:color w:val="000000"/>
          <w:szCs w:val="24"/>
        </w:rPr>
        <w:t>AS</w:t>
      </w:r>
      <w:r w:rsidRPr="0029420C">
        <w:rPr>
          <w:b/>
          <w:color w:val="000000"/>
          <w:szCs w:val="24"/>
        </w:rPr>
        <w:t xml:space="preserve"> „DIDELĖS APIMTIES PROJEKTŲ SĄRAŠAS“</w:t>
      </w:r>
    </w:p>
    <w:p w:rsidR="0029420C" w:rsidRDefault="0029420C" w:rsidP="0029420C">
      <w:pPr>
        <w:widowControl w:val="0"/>
        <w:spacing w:line="360" w:lineRule="atLeast"/>
        <w:textAlignment w:val="baseline"/>
        <w:rPr>
          <w:b/>
          <w:color w:val="000000"/>
          <w:szCs w:val="24"/>
        </w:rPr>
      </w:pPr>
    </w:p>
    <w:p w:rsidR="0029420C" w:rsidRDefault="0029420C" w:rsidP="0029420C">
      <w:pPr>
        <w:widowControl w:val="0"/>
        <w:spacing w:line="360" w:lineRule="atLeast"/>
        <w:textAlignment w:val="baseline"/>
        <w:rPr>
          <w:b/>
          <w:i/>
          <w:color w:val="000000"/>
          <w:szCs w:val="24"/>
        </w:rPr>
      </w:pPr>
      <w:r w:rsidRPr="0029420C">
        <w:rPr>
          <w:b/>
          <w:i/>
          <w:color w:val="000000"/>
          <w:szCs w:val="24"/>
        </w:rPr>
        <w:t xml:space="preserve">Šiuo Veiksmų programos keitimu siūloma </w:t>
      </w:r>
      <w:r w:rsidR="00AD6E32">
        <w:rPr>
          <w:b/>
          <w:i/>
          <w:color w:val="000000"/>
          <w:szCs w:val="24"/>
        </w:rPr>
        <w:t>p</w:t>
      </w:r>
      <w:r w:rsidRPr="0029420C">
        <w:rPr>
          <w:b/>
          <w:i/>
          <w:color w:val="000000"/>
          <w:szCs w:val="24"/>
        </w:rPr>
        <w:t>akeisti Veiksmų programos 3 priedą „Didelės apimties projektų sąrašas“</w:t>
      </w:r>
    </w:p>
    <w:p w:rsidR="0029420C" w:rsidRPr="0029420C" w:rsidRDefault="0029420C" w:rsidP="0029420C">
      <w:pPr>
        <w:widowControl w:val="0"/>
        <w:spacing w:line="360" w:lineRule="atLeast"/>
        <w:textAlignment w:val="baseline"/>
        <w:rPr>
          <w:b/>
          <w:color w:val="000000"/>
          <w:szCs w:val="24"/>
        </w:rPr>
      </w:pPr>
    </w:p>
    <w:p w:rsidR="0029420C" w:rsidRPr="00DB798E" w:rsidRDefault="0029420C" w:rsidP="0029420C">
      <w:pPr>
        <w:spacing w:after="200" w:line="276" w:lineRule="auto"/>
        <w:jc w:val="center"/>
        <w:rPr>
          <w:rFonts w:eastAsia="Calibri"/>
          <w:b/>
          <w:sz w:val="28"/>
          <w:szCs w:val="28"/>
        </w:rPr>
      </w:pPr>
      <w:r w:rsidRPr="00DB798E">
        <w:rPr>
          <w:rFonts w:eastAsia="Calibri"/>
          <w:b/>
          <w:sz w:val="28"/>
          <w:szCs w:val="28"/>
        </w:rPr>
        <w:t>DIDELĖS APIMTIES PROJEKTŲ SĄRAŠAS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985"/>
        <w:gridCol w:w="1842"/>
        <w:gridCol w:w="1843"/>
        <w:gridCol w:w="2977"/>
        <w:gridCol w:w="2551"/>
      </w:tblGrid>
      <w:tr w:rsidR="0029420C" w:rsidRPr="00DB798E" w:rsidTr="0029420C">
        <w:tc>
          <w:tcPr>
            <w:tcW w:w="4219" w:type="dxa"/>
            <w:shd w:val="clear" w:color="auto" w:fill="C6D9F1"/>
            <w:vAlign w:val="center"/>
          </w:tcPr>
          <w:p w:rsidR="0029420C" w:rsidRPr="00DB798E" w:rsidRDefault="0029420C" w:rsidP="00B672A0">
            <w:pPr>
              <w:jc w:val="center"/>
              <w:rPr>
                <w:rFonts w:eastAsia="Calibri"/>
                <w:b/>
                <w:sz w:val="22"/>
                <w:szCs w:val="22"/>
              </w:rPr>
            </w:pPr>
            <w:r w:rsidRPr="00DB798E">
              <w:rPr>
                <w:rFonts w:eastAsia="Calibri"/>
                <w:b/>
                <w:sz w:val="22"/>
                <w:szCs w:val="22"/>
              </w:rPr>
              <w:t>Pavadinimas</w:t>
            </w:r>
          </w:p>
        </w:tc>
        <w:tc>
          <w:tcPr>
            <w:tcW w:w="1985" w:type="dxa"/>
            <w:shd w:val="clear" w:color="auto" w:fill="C6D9F1"/>
            <w:vAlign w:val="center"/>
          </w:tcPr>
          <w:p w:rsidR="0029420C" w:rsidRPr="00DB798E" w:rsidRDefault="0029420C" w:rsidP="00B672A0">
            <w:pPr>
              <w:jc w:val="center"/>
              <w:rPr>
                <w:rFonts w:eastAsia="Calibri"/>
                <w:b/>
                <w:color w:val="222222"/>
                <w:sz w:val="22"/>
                <w:szCs w:val="22"/>
              </w:rPr>
            </w:pPr>
            <w:r w:rsidRPr="00DB798E">
              <w:rPr>
                <w:rFonts w:eastAsia="Calibri"/>
                <w:b/>
                <w:color w:val="222222"/>
                <w:sz w:val="22"/>
                <w:szCs w:val="22"/>
              </w:rPr>
              <w:t>Planuojama didelės apimties projekto paraiškos Komisijai notifikuoti / pateikimo data</w:t>
            </w:r>
          </w:p>
          <w:p w:rsidR="0029420C" w:rsidRPr="00DB798E" w:rsidRDefault="0029420C" w:rsidP="00B672A0">
            <w:pPr>
              <w:jc w:val="center"/>
              <w:rPr>
                <w:rFonts w:eastAsia="Calibri"/>
                <w:b/>
                <w:sz w:val="22"/>
                <w:szCs w:val="22"/>
              </w:rPr>
            </w:pPr>
            <w:r w:rsidRPr="00DB798E">
              <w:rPr>
                <w:rFonts w:eastAsia="Calibri"/>
                <w:b/>
                <w:color w:val="222222"/>
                <w:sz w:val="22"/>
                <w:szCs w:val="22"/>
              </w:rPr>
              <w:t>(metai, ketvirtis)</w:t>
            </w:r>
          </w:p>
        </w:tc>
        <w:tc>
          <w:tcPr>
            <w:tcW w:w="1842" w:type="dxa"/>
            <w:shd w:val="clear" w:color="auto" w:fill="C6D9F1"/>
            <w:vAlign w:val="center"/>
          </w:tcPr>
          <w:p w:rsidR="0029420C" w:rsidRPr="00DB798E" w:rsidRDefault="0029420C" w:rsidP="00B672A0">
            <w:pPr>
              <w:jc w:val="center"/>
              <w:rPr>
                <w:rFonts w:eastAsia="Calibri"/>
                <w:b/>
                <w:sz w:val="22"/>
                <w:szCs w:val="22"/>
              </w:rPr>
            </w:pPr>
            <w:r w:rsidRPr="00DB798E">
              <w:rPr>
                <w:rFonts w:eastAsia="Calibri"/>
                <w:b/>
                <w:sz w:val="22"/>
                <w:szCs w:val="22"/>
              </w:rPr>
              <w:t>Planuojama įgyvendinimo pradžios data</w:t>
            </w:r>
          </w:p>
          <w:p w:rsidR="0029420C" w:rsidRPr="00DB798E" w:rsidRDefault="0029420C" w:rsidP="00B672A0">
            <w:pPr>
              <w:jc w:val="center"/>
              <w:rPr>
                <w:rFonts w:eastAsia="Calibri"/>
                <w:b/>
                <w:sz w:val="22"/>
                <w:szCs w:val="22"/>
              </w:rPr>
            </w:pPr>
            <w:r w:rsidRPr="00DB798E">
              <w:rPr>
                <w:rFonts w:eastAsia="Calibri"/>
                <w:b/>
                <w:color w:val="222222"/>
                <w:sz w:val="22"/>
                <w:szCs w:val="22"/>
              </w:rPr>
              <w:t>(metai, ketvirtis)</w:t>
            </w:r>
          </w:p>
        </w:tc>
        <w:tc>
          <w:tcPr>
            <w:tcW w:w="1843" w:type="dxa"/>
            <w:shd w:val="clear" w:color="auto" w:fill="C6D9F1"/>
            <w:vAlign w:val="center"/>
          </w:tcPr>
          <w:p w:rsidR="0029420C" w:rsidRPr="00DB798E" w:rsidRDefault="0029420C" w:rsidP="00B672A0">
            <w:pPr>
              <w:jc w:val="center"/>
              <w:rPr>
                <w:rFonts w:eastAsia="Calibri"/>
                <w:b/>
                <w:sz w:val="22"/>
                <w:szCs w:val="22"/>
              </w:rPr>
            </w:pPr>
            <w:r w:rsidRPr="00DB798E">
              <w:rPr>
                <w:rFonts w:eastAsia="Calibri"/>
                <w:b/>
                <w:sz w:val="22"/>
                <w:szCs w:val="22"/>
              </w:rPr>
              <w:t>Planuojama įgyvendinimo pabaigos data</w:t>
            </w:r>
          </w:p>
          <w:p w:rsidR="0029420C" w:rsidRPr="00DB798E" w:rsidRDefault="0029420C" w:rsidP="00B672A0">
            <w:pPr>
              <w:jc w:val="center"/>
              <w:rPr>
                <w:rFonts w:eastAsia="Calibri"/>
                <w:b/>
                <w:sz w:val="22"/>
                <w:szCs w:val="22"/>
              </w:rPr>
            </w:pPr>
            <w:r w:rsidRPr="00DB798E">
              <w:rPr>
                <w:rFonts w:eastAsia="Calibri"/>
                <w:b/>
                <w:color w:val="222222"/>
                <w:sz w:val="22"/>
                <w:szCs w:val="22"/>
              </w:rPr>
              <w:t>(metai, ketvirtis)</w:t>
            </w:r>
          </w:p>
        </w:tc>
        <w:tc>
          <w:tcPr>
            <w:tcW w:w="2977" w:type="dxa"/>
            <w:shd w:val="clear" w:color="auto" w:fill="C6D9F1"/>
            <w:vAlign w:val="center"/>
          </w:tcPr>
          <w:p w:rsidR="0029420C" w:rsidRPr="00DB798E" w:rsidRDefault="0029420C" w:rsidP="00B672A0">
            <w:pPr>
              <w:jc w:val="center"/>
              <w:rPr>
                <w:rFonts w:eastAsia="Calibri"/>
                <w:b/>
                <w:sz w:val="22"/>
                <w:szCs w:val="22"/>
              </w:rPr>
            </w:pPr>
            <w:r w:rsidRPr="00DB798E">
              <w:rPr>
                <w:rFonts w:eastAsia="Calibri"/>
                <w:b/>
                <w:sz w:val="22"/>
                <w:szCs w:val="22"/>
              </w:rPr>
              <w:t>Investicinis prioritetas</w:t>
            </w:r>
          </w:p>
        </w:tc>
        <w:tc>
          <w:tcPr>
            <w:tcW w:w="2551" w:type="dxa"/>
            <w:shd w:val="clear" w:color="auto" w:fill="C6D9F1"/>
            <w:vAlign w:val="center"/>
          </w:tcPr>
          <w:p w:rsidR="0029420C" w:rsidRPr="00DB798E" w:rsidRDefault="0029420C" w:rsidP="00B672A0">
            <w:pPr>
              <w:jc w:val="center"/>
              <w:rPr>
                <w:rFonts w:eastAsia="Calibri"/>
                <w:b/>
                <w:sz w:val="22"/>
                <w:szCs w:val="22"/>
              </w:rPr>
            </w:pPr>
            <w:r w:rsidRPr="00DB798E">
              <w:rPr>
                <w:rFonts w:eastAsia="Calibri"/>
                <w:b/>
                <w:sz w:val="22"/>
                <w:szCs w:val="22"/>
              </w:rPr>
              <w:t>Prioritetas</w:t>
            </w:r>
          </w:p>
        </w:tc>
      </w:tr>
      <w:tr w:rsidR="0029420C" w:rsidRPr="00DB798E" w:rsidTr="0029420C">
        <w:tc>
          <w:tcPr>
            <w:tcW w:w="4219" w:type="dxa"/>
            <w:shd w:val="clear" w:color="auto" w:fill="auto"/>
            <w:vAlign w:val="center"/>
          </w:tcPr>
          <w:p w:rsidR="0029420C" w:rsidRPr="00DB798E" w:rsidRDefault="0029420C" w:rsidP="00B672A0">
            <w:pPr>
              <w:rPr>
                <w:rFonts w:eastAsia="Calibri"/>
                <w:szCs w:val="24"/>
              </w:rPr>
            </w:pPr>
            <w:r w:rsidRPr="00DB798E">
              <w:rPr>
                <w:color w:val="000000"/>
                <w:szCs w:val="24"/>
              </w:rPr>
              <w:t xml:space="preserve">Didelio naudingumo </w:t>
            </w:r>
            <w:proofErr w:type="spellStart"/>
            <w:r w:rsidRPr="00DB798E">
              <w:rPr>
                <w:color w:val="000000"/>
                <w:szCs w:val="24"/>
              </w:rPr>
              <w:t>kogeneracijos</w:t>
            </w:r>
            <w:proofErr w:type="spellEnd"/>
            <w:r w:rsidRPr="00DB798E">
              <w:rPr>
                <w:color w:val="000000"/>
                <w:szCs w:val="24"/>
              </w:rPr>
              <w:t xml:space="preserve"> pajėgumų, naudojančių atsinaujinančius energijos išteklius, sukūrimas Vilniaus mieste</w:t>
            </w:r>
          </w:p>
        </w:tc>
        <w:tc>
          <w:tcPr>
            <w:tcW w:w="1985" w:type="dxa"/>
            <w:shd w:val="clear" w:color="auto" w:fill="auto"/>
            <w:vAlign w:val="center"/>
          </w:tcPr>
          <w:p w:rsidR="0029420C" w:rsidRPr="00DB798E" w:rsidRDefault="0029420C" w:rsidP="00B672A0">
            <w:pPr>
              <w:jc w:val="center"/>
              <w:rPr>
                <w:color w:val="000000"/>
                <w:sz w:val="22"/>
                <w:szCs w:val="22"/>
              </w:rPr>
            </w:pPr>
            <w:r w:rsidRPr="00DB798E">
              <w:rPr>
                <w:color w:val="000000"/>
                <w:sz w:val="22"/>
                <w:szCs w:val="22"/>
              </w:rPr>
              <w:t>2017 m.</w:t>
            </w:r>
          </w:p>
          <w:p w:rsidR="0029420C" w:rsidRPr="00DB798E" w:rsidRDefault="0029420C" w:rsidP="00B672A0">
            <w:pPr>
              <w:jc w:val="center"/>
              <w:rPr>
                <w:rFonts w:eastAsia="Calibri"/>
                <w:szCs w:val="24"/>
              </w:rPr>
            </w:pPr>
            <w:r w:rsidRPr="00DB798E">
              <w:rPr>
                <w:color w:val="000000"/>
                <w:sz w:val="22"/>
                <w:szCs w:val="22"/>
              </w:rPr>
              <w:t xml:space="preserve">IV </w:t>
            </w:r>
            <w:proofErr w:type="spellStart"/>
            <w:r w:rsidRPr="00DB798E">
              <w:rPr>
                <w:color w:val="000000"/>
                <w:sz w:val="22"/>
                <w:szCs w:val="22"/>
              </w:rPr>
              <w:t>ketv</w:t>
            </w:r>
            <w:proofErr w:type="spellEnd"/>
            <w:r w:rsidRPr="00DB798E">
              <w:rPr>
                <w:color w:val="000000"/>
                <w:sz w:val="22"/>
                <w:szCs w:val="22"/>
              </w:rPr>
              <w:t>.</w:t>
            </w:r>
          </w:p>
        </w:tc>
        <w:tc>
          <w:tcPr>
            <w:tcW w:w="1842"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2016 m.</w:t>
            </w:r>
          </w:p>
          <w:p w:rsidR="0029420C" w:rsidRPr="00DB798E" w:rsidRDefault="0029420C" w:rsidP="00B672A0">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1843"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202</w:t>
            </w:r>
            <w:r w:rsidRPr="00DB798E">
              <w:rPr>
                <w:rFonts w:eastAsia="Calibri"/>
                <w:strike/>
                <w:szCs w:val="24"/>
              </w:rPr>
              <w:t>0</w:t>
            </w:r>
            <w:r w:rsidRPr="00DB798E">
              <w:rPr>
                <w:rFonts w:eastAsia="Calibri"/>
                <w:b/>
                <w:szCs w:val="24"/>
              </w:rPr>
              <w:t>3</w:t>
            </w:r>
            <w:r w:rsidRPr="00DB798E">
              <w:rPr>
                <w:rFonts w:eastAsia="Calibri"/>
                <w:szCs w:val="24"/>
              </w:rPr>
              <w:t xml:space="preserve"> m.</w:t>
            </w:r>
          </w:p>
          <w:p w:rsidR="0029420C" w:rsidRPr="00DB798E" w:rsidRDefault="0029420C" w:rsidP="00B672A0">
            <w:pPr>
              <w:jc w:val="center"/>
              <w:rPr>
                <w:rFonts w:eastAsia="Calibri"/>
                <w:szCs w:val="24"/>
              </w:rPr>
            </w:pPr>
            <w:r w:rsidRPr="00DB798E">
              <w:rPr>
                <w:rFonts w:eastAsia="Calibri"/>
                <w:szCs w:val="24"/>
              </w:rPr>
              <w:t>I</w:t>
            </w:r>
            <w:r w:rsidRPr="00DB798E">
              <w:rPr>
                <w:rFonts w:eastAsia="Calibri"/>
                <w:strike/>
                <w:szCs w:val="24"/>
              </w:rPr>
              <w:t>V</w:t>
            </w:r>
            <w:r w:rsidRPr="00DB798E">
              <w:rPr>
                <w:rFonts w:eastAsia="Calibri"/>
                <w:b/>
                <w:szCs w:val="24"/>
              </w:rPr>
              <w:t>II</w:t>
            </w:r>
            <w:r w:rsidRPr="00DB798E">
              <w:rPr>
                <w:rFonts w:eastAsia="Calibri"/>
                <w:szCs w:val="24"/>
              </w:rPr>
              <w:t xml:space="preserve"> </w:t>
            </w:r>
            <w:proofErr w:type="spellStart"/>
            <w:r w:rsidRPr="00DB798E">
              <w:rPr>
                <w:rFonts w:eastAsia="Calibri"/>
                <w:szCs w:val="24"/>
              </w:rPr>
              <w:t>ketv</w:t>
            </w:r>
            <w:proofErr w:type="spellEnd"/>
            <w:r w:rsidRPr="00DB798E">
              <w:rPr>
                <w:rFonts w:eastAsia="Calibri"/>
                <w:szCs w:val="24"/>
              </w:rPr>
              <w:t>.</w:t>
            </w:r>
          </w:p>
        </w:tc>
        <w:tc>
          <w:tcPr>
            <w:tcW w:w="2977" w:type="dxa"/>
            <w:shd w:val="clear" w:color="auto" w:fill="auto"/>
            <w:vAlign w:val="center"/>
          </w:tcPr>
          <w:p w:rsidR="0029420C" w:rsidRPr="00DB798E" w:rsidRDefault="0029420C" w:rsidP="00B672A0">
            <w:pPr>
              <w:rPr>
                <w:rFonts w:eastAsia="Calibri"/>
                <w:szCs w:val="24"/>
              </w:rPr>
            </w:pPr>
            <w:r w:rsidRPr="00DB798E">
              <w:rPr>
                <w:rFonts w:eastAsia="Calibri"/>
                <w:szCs w:val="24"/>
              </w:rPr>
              <w:t>Atsinaujinančiųjų energijos išteklių gamybos ir skirstymo skatinimas</w:t>
            </w:r>
          </w:p>
        </w:tc>
        <w:tc>
          <w:tcPr>
            <w:tcW w:w="2551" w:type="dxa"/>
            <w:shd w:val="clear" w:color="auto" w:fill="auto"/>
            <w:vAlign w:val="center"/>
          </w:tcPr>
          <w:p w:rsidR="0029420C" w:rsidRPr="00DB798E" w:rsidRDefault="0029420C" w:rsidP="00B672A0">
            <w:pPr>
              <w:rPr>
                <w:rFonts w:eastAsia="Calibri"/>
                <w:szCs w:val="24"/>
              </w:rPr>
            </w:pPr>
            <w:r w:rsidRPr="00DB798E">
              <w:rPr>
                <w:rFonts w:eastAsia="Calibri"/>
                <w:szCs w:val="24"/>
              </w:rPr>
              <w:t>Energijos efektyvumo ir atsinaujinančių energijos išteklių gamybos ir naudojimo skatinimas</w:t>
            </w:r>
          </w:p>
        </w:tc>
      </w:tr>
      <w:tr w:rsidR="0029420C" w:rsidRPr="00DB798E" w:rsidTr="0029420C">
        <w:tc>
          <w:tcPr>
            <w:tcW w:w="4219" w:type="dxa"/>
            <w:shd w:val="clear" w:color="auto" w:fill="auto"/>
            <w:vAlign w:val="center"/>
          </w:tcPr>
          <w:p w:rsidR="0029420C" w:rsidRPr="00DB798E" w:rsidRDefault="0029420C" w:rsidP="00B672A0">
            <w:pPr>
              <w:rPr>
                <w:color w:val="000000"/>
                <w:szCs w:val="24"/>
              </w:rPr>
            </w:pPr>
            <w:r w:rsidRPr="00DB798E">
              <w:rPr>
                <w:color w:val="000000"/>
                <w:szCs w:val="24"/>
              </w:rPr>
              <w:t>Komunalinių atliekų naudojimo energijai gauti pajėgumų sukūrimas Vilniaus mieste</w:t>
            </w:r>
          </w:p>
        </w:tc>
        <w:tc>
          <w:tcPr>
            <w:tcW w:w="1985" w:type="dxa"/>
            <w:shd w:val="clear" w:color="auto" w:fill="auto"/>
            <w:vAlign w:val="center"/>
          </w:tcPr>
          <w:p w:rsidR="0029420C" w:rsidRPr="00DB798E" w:rsidRDefault="0029420C" w:rsidP="00B672A0">
            <w:pPr>
              <w:jc w:val="center"/>
              <w:rPr>
                <w:color w:val="000000"/>
                <w:sz w:val="22"/>
                <w:szCs w:val="22"/>
              </w:rPr>
            </w:pPr>
            <w:r w:rsidRPr="00DB798E">
              <w:rPr>
                <w:color w:val="000000"/>
                <w:sz w:val="22"/>
                <w:szCs w:val="22"/>
              </w:rPr>
              <w:t>2017 m.</w:t>
            </w:r>
          </w:p>
          <w:p w:rsidR="0029420C" w:rsidRPr="00DB798E" w:rsidRDefault="0029420C" w:rsidP="00B672A0">
            <w:pPr>
              <w:jc w:val="center"/>
              <w:rPr>
                <w:rFonts w:eastAsia="Calibri"/>
                <w:szCs w:val="24"/>
              </w:rPr>
            </w:pPr>
            <w:r w:rsidRPr="00DB798E">
              <w:rPr>
                <w:color w:val="000000"/>
                <w:sz w:val="22"/>
                <w:szCs w:val="22"/>
              </w:rPr>
              <w:t xml:space="preserve">IV </w:t>
            </w:r>
            <w:proofErr w:type="spellStart"/>
            <w:r w:rsidRPr="00DB798E">
              <w:rPr>
                <w:color w:val="000000"/>
                <w:sz w:val="22"/>
                <w:szCs w:val="22"/>
              </w:rPr>
              <w:t>ketv</w:t>
            </w:r>
            <w:proofErr w:type="spellEnd"/>
            <w:r w:rsidRPr="00DB798E">
              <w:rPr>
                <w:color w:val="000000"/>
                <w:sz w:val="22"/>
                <w:szCs w:val="22"/>
              </w:rPr>
              <w:t>.</w:t>
            </w:r>
          </w:p>
        </w:tc>
        <w:tc>
          <w:tcPr>
            <w:tcW w:w="1842"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2016 m.</w:t>
            </w:r>
          </w:p>
          <w:p w:rsidR="0029420C" w:rsidRPr="00DB798E" w:rsidRDefault="0029420C" w:rsidP="00B672A0">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1843"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202</w:t>
            </w:r>
            <w:r w:rsidRPr="00DB798E">
              <w:rPr>
                <w:rFonts w:eastAsia="Calibri"/>
                <w:strike/>
                <w:szCs w:val="24"/>
              </w:rPr>
              <w:t>0</w:t>
            </w:r>
            <w:r w:rsidRPr="00DB798E">
              <w:rPr>
                <w:rFonts w:eastAsia="Calibri"/>
                <w:b/>
                <w:szCs w:val="24"/>
              </w:rPr>
              <w:t>1</w:t>
            </w:r>
            <w:r w:rsidRPr="00DB798E">
              <w:rPr>
                <w:rFonts w:eastAsia="Calibri"/>
                <w:szCs w:val="24"/>
              </w:rPr>
              <w:t xml:space="preserve"> m.</w:t>
            </w:r>
          </w:p>
          <w:p w:rsidR="0029420C" w:rsidRPr="00DB798E" w:rsidRDefault="0029420C" w:rsidP="00B672A0">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2977" w:type="dxa"/>
            <w:shd w:val="clear" w:color="auto" w:fill="auto"/>
            <w:vAlign w:val="center"/>
          </w:tcPr>
          <w:p w:rsidR="0029420C" w:rsidRPr="00DB798E" w:rsidRDefault="0029420C" w:rsidP="00B672A0">
            <w:pPr>
              <w:rPr>
                <w:rFonts w:eastAsia="Calibri"/>
                <w:szCs w:val="24"/>
              </w:rPr>
            </w:pPr>
            <w:r w:rsidRPr="00DB798E">
              <w:rPr>
                <w:rFonts w:eastAsia="Calibri"/>
                <w:bCs/>
                <w:szCs w:val="24"/>
              </w:rPr>
              <w:t xml:space="preserve">Investicijos į atliekų sektorių, siekiant įvykdyti ES aplinkos </w:t>
            </w:r>
            <w:proofErr w:type="spellStart"/>
            <w:r w:rsidRPr="00DB798E">
              <w:rPr>
                <w:rFonts w:eastAsia="Calibri"/>
                <w:bCs/>
                <w:i/>
                <w:iCs/>
                <w:szCs w:val="24"/>
              </w:rPr>
              <w:t>acquis</w:t>
            </w:r>
            <w:proofErr w:type="spellEnd"/>
            <w:r w:rsidRPr="00DB798E">
              <w:rPr>
                <w:rFonts w:eastAsia="Calibri"/>
                <w:bCs/>
                <w:i/>
                <w:iCs/>
                <w:szCs w:val="24"/>
              </w:rPr>
              <w:t xml:space="preserve"> </w:t>
            </w:r>
            <w:r w:rsidRPr="00DB798E">
              <w:rPr>
                <w:rFonts w:eastAsia="Calibri"/>
                <w:bCs/>
                <w:szCs w:val="24"/>
              </w:rPr>
              <w:t>reikalavimus ir patenkinti valstybių narių nustatytus poreikius, viršijančius tuos reikalavimus</w:t>
            </w:r>
          </w:p>
        </w:tc>
        <w:tc>
          <w:tcPr>
            <w:tcW w:w="2551" w:type="dxa"/>
            <w:shd w:val="clear" w:color="auto" w:fill="auto"/>
            <w:vAlign w:val="center"/>
          </w:tcPr>
          <w:p w:rsidR="0029420C" w:rsidRPr="00DB798E" w:rsidRDefault="0029420C" w:rsidP="00B672A0">
            <w:pPr>
              <w:rPr>
                <w:rFonts w:eastAsia="Calibri"/>
                <w:szCs w:val="24"/>
              </w:rPr>
            </w:pPr>
            <w:r w:rsidRPr="00DB798E">
              <w:rPr>
                <w:rFonts w:eastAsia="Calibri"/>
                <w:szCs w:val="24"/>
              </w:rPr>
              <w:t>Aplinkosauga, gamtos išteklių darnus naudojimas ir prisitaikymas prie klimato kaitos</w:t>
            </w:r>
          </w:p>
        </w:tc>
      </w:tr>
      <w:tr w:rsidR="0029420C" w:rsidRPr="00DB798E" w:rsidTr="0029420C">
        <w:tc>
          <w:tcPr>
            <w:tcW w:w="4219" w:type="dxa"/>
            <w:shd w:val="clear" w:color="auto" w:fill="auto"/>
            <w:vAlign w:val="center"/>
          </w:tcPr>
          <w:p w:rsidR="0029420C" w:rsidRPr="00DB798E" w:rsidRDefault="0029420C" w:rsidP="00B672A0">
            <w:pPr>
              <w:rPr>
                <w:color w:val="000000"/>
                <w:szCs w:val="24"/>
              </w:rPr>
            </w:pPr>
            <w:r w:rsidRPr="00DB798E">
              <w:rPr>
                <w:bCs/>
                <w:color w:val="000000"/>
                <w:szCs w:val="24"/>
              </w:rPr>
              <w:t>Vilniaus vakarinio aplinkkelio tiesimo III etapas</w:t>
            </w:r>
          </w:p>
        </w:tc>
        <w:tc>
          <w:tcPr>
            <w:tcW w:w="1985"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2016 m.</w:t>
            </w:r>
          </w:p>
          <w:p w:rsidR="0029420C" w:rsidRPr="00DB798E" w:rsidRDefault="0029420C" w:rsidP="00B672A0">
            <w:pPr>
              <w:jc w:val="center"/>
              <w:rPr>
                <w:rFonts w:eastAsia="Calibri"/>
                <w:szCs w:val="24"/>
              </w:rPr>
            </w:pPr>
            <w:r w:rsidRPr="00DB798E">
              <w:rPr>
                <w:rFonts w:eastAsia="Calibri"/>
                <w:szCs w:val="24"/>
              </w:rPr>
              <w:t xml:space="preserve">II </w:t>
            </w:r>
            <w:proofErr w:type="spellStart"/>
            <w:r w:rsidRPr="00DB798E">
              <w:rPr>
                <w:rFonts w:eastAsia="Calibri"/>
                <w:szCs w:val="24"/>
              </w:rPr>
              <w:t>ketv</w:t>
            </w:r>
            <w:proofErr w:type="spellEnd"/>
            <w:r w:rsidRPr="00DB798E">
              <w:rPr>
                <w:rFonts w:eastAsia="Calibri"/>
                <w:szCs w:val="24"/>
              </w:rPr>
              <w:t>.</w:t>
            </w:r>
          </w:p>
        </w:tc>
        <w:tc>
          <w:tcPr>
            <w:tcW w:w="1842"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2015 m.</w:t>
            </w:r>
          </w:p>
          <w:p w:rsidR="0029420C" w:rsidRPr="00DB798E" w:rsidRDefault="0029420C" w:rsidP="00B672A0">
            <w:pPr>
              <w:jc w:val="center"/>
              <w:rPr>
                <w:rFonts w:eastAsia="Calibri"/>
                <w:szCs w:val="24"/>
                <w:highlight w:val="yellow"/>
              </w:rPr>
            </w:pPr>
            <w:r w:rsidRPr="00DB798E">
              <w:rPr>
                <w:rFonts w:eastAsia="Calibri"/>
                <w:szCs w:val="24"/>
              </w:rPr>
              <w:t xml:space="preserve">III </w:t>
            </w:r>
            <w:proofErr w:type="spellStart"/>
            <w:r w:rsidRPr="00DB798E">
              <w:rPr>
                <w:rFonts w:eastAsia="Calibri"/>
                <w:szCs w:val="24"/>
              </w:rPr>
              <w:t>ketv</w:t>
            </w:r>
            <w:proofErr w:type="spellEnd"/>
            <w:r w:rsidRPr="00DB798E">
              <w:rPr>
                <w:rFonts w:eastAsia="Calibri"/>
                <w:szCs w:val="24"/>
              </w:rPr>
              <w:t>.</w:t>
            </w:r>
          </w:p>
        </w:tc>
        <w:tc>
          <w:tcPr>
            <w:tcW w:w="1843"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2017 m.</w:t>
            </w:r>
          </w:p>
          <w:p w:rsidR="0029420C" w:rsidRPr="00DB798E" w:rsidRDefault="0029420C" w:rsidP="00B672A0">
            <w:pPr>
              <w:jc w:val="center"/>
              <w:rPr>
                <w:rFonts w:eastAsia="Calibri"/>
                <w:szCs w:val="24"/>
                <w:highlight w:val="yellow"/>
              </w:rPr>
            </w:pPr>
            <w:r w:rsidRPr="00DB798E">
              <w:rPr>
                <w:rFonts w:eastAsia="Calibri"/>
                <w:szCs w:val="24"/>
              </w:rPr>
              <w:t xml:space="preserve">III </w:t>
            </w:r>
            <w:proofErr w:type="spellStart"/>
            <w:r w:rsidRPr="00DB798E">
              <w:rPr>
                <w:rFonts w:eastAsia="Calibri"/>
                <w:szCs w:val="24"/>
              </w:rPr>
              <w:t>ketv</w:t>
            </w:r>
            <w:proofErr w:type="spellEnd"/>
            <w:r w:rsidRPr="00DB798E">
              <w:rPr>
                <w:rFonts w:eastAsia="Calibri"/>
                <w:szCs w:val="24"/>
              </w:rPr>
              <w:t>.</w:t>
            </w:r>
          </w:p>
        </w:tc>
        <w:tc>
          <w:tcPr>
            <w:tcW w:w="2977" w:type="dxa"/>
            <w:vMerge w:val="restart"/>
            <w:shd w:val="clear" w:color="auto" w:fill="auto"/>
            <w:vAlign w:val="center"/>
          </w:tcPr>
          <w:p w:rsidR="0029420C" w:rsidRPr="00DB798E" w:rsidRDefault="0029420C" w:rsidP="00B672A0">
            <w:pPr>
              <w:rPr>
                <w:rFonts w:eastAsia="Calibri"/>
                <w:szCs w:val="24"/>
              </w:rPr>
            </w:pPr>
            <w:r w:rsidRPr="00DB798E">
              <w:rPr>
                <w:rFonts w:eastAsia="Calibri"/>
                <w:szCs w:val="24"/>
              </w:rPr>
              <w:t xml:space="preserve">Bendros Europos </w:t>
            </w:r>
            <w:proofErr w:type="spellStart"/>
            <w:r w:rsidRPr="00DB798E">
              <w:rPr>
                <w:rFonts w:eastAsia="Calibri"/>
                <w:szCs w:val="24"/>
              </w:rPr>
              <w:t>daugiarūšio</w:t>
            </w:r>
            <w:proofErr w:type="spellEnd"/>
            <w:r w:rsidRPr="00DB798E">
              <w:rPr>
                <w:rFonts w:eastAsia="Calibri"/>
                <w:szCs w:val="24"/>
              </w:rPr>
              <w:t xml:space="preserve"> transporto </w:t>
            </w:r>
            <w:r w:rsidRPr="00DB798E">
              <w:rPr>
                <w:rFonts w:eastAsia="Calibri"/>
                <w:szCs w:val="24"/>
              </w:rPr>
              <w:lastRenderedPageBreak/>
              <w:t xml:space="preserve">erdvės kūrimo rėmimas investuojant į </w:t>
            </w:r>
            <w:proofErr w:type="spellStart"/>
            <w:r w:rsidRPr="00DB798E">
              <w:rPr>
                <w:rFonts w:eastAsia="Calibri"/>
                <w:szCs w:val="24"/>
              </w:rPr>
              <w:t>transeuropinį</w:t>
            </w:r>
            <w:proofErr w:type="spellEnd"/>
            <w:r w:rsidRPr="00DB798E">
              <w:rPr>
                <w:rFonts w:eastAsia="Calibri"/>
                <w:szCs w:val="24"/>
              </w:rPr>
              <w:t xml:space="preserve"> transporto tinklą </w:t>
            </w:r>
          </w:p>
        </w:tc>
        <w:tc>
          <w:tcPr>
            <w:tcW w:w="2551" w:type="dxa"/>
            <w:vMerge w:val="restart"/>
            <w:shd w:val="clear" w:color="auto" w:fill="auto"/>
            <w:vAlign w:val="center"/>
          </w:tcPr>
          <w:p w:rsidR="0029420C" w:rsidRPr="00DB798E" w:rsidRDefault="0029420C" w:rsidP="00B672A0">
            <w:pPr>
              <w:rPr>
                <w:rFonts w:eastAsia="Calibri"/>
                <w:szCs w:val="24"/>
              </w:rPr>
            </w:pPr>
            <w:r w:rsidRPr="00DB798E">
              <w:rPr>
                <w:rFonts w:eastAsia="Calibri"/>
                <w:szCs w:val="24"/>
              </w:rPr>
              <w:lastRenderedPageBreak/>
              <w:t xml:space="preserve">Tvaraus transporto, pagrindinių tinklų </w:t>
            </w:r>
            <w:r w:rsidRPr="00DB798E">
              <w:rPr>
                <w:rFonts w:eastAsia="Calibri"/>
                <w:szCs w:val="24"/>
              </w:rPr>
              <w:lastRenderedPageBreak/>
              <w:t>infrastruktūros skatinimas</w:t>
            </w:r>
          </w:p>
        </w:tc>
      </w:tr>
      <w:tr w:rsidR="0029420C" w:rsidRPr="00DB798E" w:rsidTr="0029420C">
        <w:trPr>
          <w:trHeight w:val="838"/>
        </w:trPr>
        <w:tc>
          <w:tcPr>
            <w:tcW w:w="4219" w:type="dxa"/>
            <w:shd w:val="clear" w:color="auto" w:fill="auto"/>
            <w:vAlign w:val="center"/>
          </w:tcPr>
          <w:p w:rsidR="0029420C" w:rsidRPr="00DB798E" w:rsidRDefault="0029420C" w:rsidP="00B672A0">
            <w:pPr>
              <w:rPr>
                <w:bCs/>
                <w:color w:val="000000"/>
                <w:szCs w:val="24"/>
              </w:rPr>
            </w:pPr>
            <w:r w:rsidRPr="00DB798E">
              <w:rPr>
                <w:bCs/>
                <w:iCs/>
                <w:color w:val="000000"/>
                <w:szCs w:val="24"/>
              </w:rPr>
              <w:lastRenderedPageBreak/>
              <w:t>Geležinkelių ruožų Kaišiadorys–Radviliškis ir Radviliškis–Klaipėda elektrifikavimas</w:t>
            </w:r>
          </w:p>
        </w:tc>
        <w:tc>
          <w:tcPr>
            <w:tcW w:w="1985"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2019 m.</w:t>
            </w:r>
          </w:p>
          <w:p w:rsidR="0029420C" w:rsidRPr="00DB798E" w:rsidRDefault="0029420C" w:rsidP="00B672A0">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1842"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2019 m.</w:t>
            </w:r>
          </w:p>
          <w:p w:rsidR="0029420C" w:rsidRPr="00DB798E" w:rsidRDefault="0029420C" w:rsidP="00B672A0">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1843" w:type="dxa"/>
            <w:shd w:val="clear" w:color="auto" w:fill="auto"/>
            <w:vAlign w:val="center"/>
          </w:tcPr>
          <w:p w:rsidR="0029420C" w:rsidRPr="00DB798E" w:rsidRDefault="0029420C" w:rsidP="00B672A0">
            <w:pPr>
              <w:jc w:val="center"/>
              <w:rPr>
                <w:rFonts w:eastAsia="Calibri"/>
                <w:szCs w:val="24"/>
              </w:rPr>
            </w:pPr>
            <w:r w:rsidRPr="00DB798E">
              <w:rPr>
                <w:rFonts w:eastAsia="Calibri"/>
                <w:szCs w:val="24"/>
              </w:rPr>
              <w:t>2023 m.</w:t>
            </w:r>
          </w:p>
          <w:p w:rsidR="0029420C" w:rsidRPr="00DB798E" w:rsidRDefault="0029420C" w:rsidP="00B672A0">
            <w:pPr>
              <w:jc w:val="center"/>
              <w:rPr>
                <w:rFonts w:eastAsia="Calibri"/>
                <w:szCs w:val="24"/>
              </w:rPr>
            </w:pPr>
            <w:r w:rsidRPr="00DB798E">
              <w:rPr>
                <w:rFonts w:eastAsia="Calibri"/>
                <w:szCs w:val="24"/>
              </w:rPr>
              <w:t xml:space="preserve">IV </w:t>
            </w:r>
            <w:proofErr w:type="spellStart"/>
            <w:r w:rsidRPr="00DB798E">
              <w:rPr>
                <w:rFonts w:eastAsia="Calibri"/>
                <w:szCs w:val="24"/>
              </w:rPr>
              <w:t>ketv</w:t>
            </w:r>
            <w:proofErr w:type="spellEnd"/>
            <w:r w:rsidRPr="00DB798E">
              <w:rPr>
                <w:rFonts w:eastAsia="Calibri"/>
                <w:szCs w:val="24"/>
              </w:rPr>
              <w:t>.</w:t>
            </w:r>
          </w:p>
        </w:tc>
        <w:tc>
          <w:tcPr>
            <w:tcW w:w="2977" w:type="dxa"/>
            <w:vMerge/>
            <w:shd w:val="clear" w:color="auto" w:fill="auto"/>
            <w:vAlign w:val="center"/>
          </w:tcPr>
          <w:p w:rsidR="0029420C" w:rsidRPr="00DB798E" w:rsidRDefault="0029420C" w:rsidP="00B672A0">
            <w:pPr>
              <w:rPr>
                <w:rFonts w:eastAsia="Calibri"/>
                <w:szCs w:val="24"/>
              </w:rPr>
            </w:pPr>
          </w:p>
        </w:tc>
        <w:tc>
          <w:tcPr>
            <w:tcW w:w="2551" w:type="dxa"/>
            <w:vMerge/>
            <w:shd w:val="clear" w:color="auto" w:fill="auto"/>
          </w:tcPr>
          <w:p w:rsidR="0029420C" w:rsidRPr="00DB798E" w:rsidRDefault="0029420C" w:rsidP="00B672A0">
            <w:pPr>
              <w:rPr>
                <w:rFonts w:eastAsia="Calibri"/>
                <w:szCs w:val="24"/>
              </w:rPr>
            </w:pPr>
          </w:p>
        </w:tc>
      </w:tr>
    </w:tbl>
    <w:p w:rsidR="0029420C" w:rsidRDefault="0029420C"/>
    <w:p w:rsidR="00AD6E32" w:rsidRDefault="00AD6E32" w:rsidP="00AD6E32">
      <w:pPr>
        <w:jc w:val="center"/>
      </w:pPr>
      <w:r>
        <w:rPr>
          <w:rFonts w:eastAsia="Calibri"/>
          <w:b/>
          <w:sz w:val="28"/>
          <w:szCs w:val="28"/>
        </w:rPr>
        <w:t>Veiksmų programos pakeitimo</w:t>
      </w:r>
      <w:r w:rsidRPr="00693737">
        <w:rPr>
          <w:rFonts w:eastAsia="Calibri"/>
          <w:b/>
          <w:sz w:val="28"/>
          <w:szCs w:val="28"/>
        </w:rPr>
        <w:t xml:space="preserve"> pagrindimas</w:t>
      </w:r>
    </w:p>
    <w:p w:rsidR="00AD6E32" w:rsidRDefault="00AD6E32"/>
    <w:tbl>
      <w:tblPr>
        <w:tblW w:w="1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6"/>
      </w:tblGrid>
      <w:tr w:rsidR="00B02261" w:rsidTr="0029420C">
        <w:tc>
          <w:tcPr>
            <w:tcW w:w="15486" w:type="dxa"/>
            <w:shd w:val="clear" w:color="auto" w:fill="auto"/>
            <w:vAlign w:val="center"/>
          </w:tcPr>
          <w:p w:rsidR="00B02261" w:rsidRDefault="00B02261" w:rsidP="008976A0">
            <w:pPr>
              <w:widowControl w:val="0"/>
              <w:jc w:val="both"/>
              <w:textAlignment w:val="baseline"/>
              <w:rPr>
                <w:szCs w:val="24"/>
              </w:rPr>
            </w:pPr>
            <w:r>
              <w:rPr>
                <w:b/>
                <w:szCs w:val="24"/>
              </w:rPr>
              <w:t xml:space="preserve">TEISINIS PAGRINDAS </w:t>
            </w:r>
          </w:p>
          <w:p w:rsidR="008976A0" w:rsidRDefault="00AD6E32" w:rsidP="008976A0">
            <w:pPr>
              <w:jc w:val="both"/>
              <w:rPr>
                <w:szCs w:val="24"/>
              </w:rPr>
            </w:pPr>
            <w:r w:rsidRPr="00AD6E32">
              <w:rPr>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bendrosios nuostatos ir Europos regioninės plėtros fondui, Europos socialiniam fondui, Sanglaudos fondui ir Europos jūros reikalų ir žuvininkystės fondui taikytinos bendrosios nuostatos ir panaikinamas Tarybos reglamentas (EB) Nr. 1083/2006 (OL 2013, L 347, p. 320) 96 straipsnis.</w:t>
            </w:r>
          </w:p>
          <w:p w:rsidR="008976A0" w:rsidRDefault="008976A0" w:rsidP="008976A0">
            <w:pPr>
              <w:widowControl w:val="0"/>
              <w:jc w:val="both"/>
              <w:textAlignment w:val="baseline"/>
              <w:rPr>
                <w:szCs w:val="24"/>
              </w:rPr>
            </w:pPr>
          </w:p>
        </w:tc>
      </w:tr>
      <w:tr w:rsidR="00B02261" w:rsidTr="0029420C">
        <w:tc>
          <w:tcPr>
            <w:tcW w:w="15486" w:type="dxa"/>
            <w:shd w:val="clear" w:color="auto" w:fill="auto"/>
            <w:vAlign w:val="center"/>
          </w:tcPr>
          <w:p w:rsidR="00B02261" w:rsidRDefault="00B02261" w:rsidP="005818B0">
            <w:pPr>
              <w:widowControl w:val="0"/>
              <w:textAlignment w:val="baseline"/>
              <w:rPr>
                <w:szCs w:val="24"/>
              </w:rPr>
            </w:pPr>
            <w:r>
              <w:rPr>
                <w:b/>
                <w:szCs w:val="24"/>
              </w:rPr>
              <w:t>PAKEITIMO PAGRINDIMAS*</w:t>
            </w:r>
            <w:r>
              <w:rPr>
                <w:szCs w:val="24"/>
              </w:rPr>
              <w:t>:</w:t>
            </w:r>
          </w:p>
          <w:p w:rsidR="008976A0" w:rsidRDefault="008976A0" w:rsidP="008976A0">
            <w:pPr>
              <w:widowControl w:val="0"/>
              <w:tabs>
                <w:tab w:val="left" w:pos="567"/>
              </w:tabs>
              <w:jc w:val="both"/>
              <w:textAlignment w:val="baseline"/>
              <w:rPr>
                <w:szCs w:val="24"/>
              </w:rPr>
            </w:pPr>
            <w:r>
              <w:rPr>
                <w:szCs w:val="24"/>
              </w:rPr>
              <w:t xml:space="preserve">1. </w:t>
            </w:r>
            <w:r w:rsidRPr="006A7382">
              <w:rPr>
                <w:b/>
                <w:szCs w:val="24"/>
              </w:rPr>
              <w:t>Siūlomo pakeitimo priežastys ir svarba</w:t>
            </w:r>
            <w:r>
              <w:rPr>
                <w:szCs w:val="24"/>
              </w:rPr>
              <w:t xml:space="preserve">. </w:t>
            </w:r>
          </w:p>
          <w:p w:rsidR="006B5E06" w:rsidRDefault="00AD6E32" w:rsidP="006B5E06">
            <w:pPr>
              <w:widowControl w:val="0"/>
              <w:jc w:val="both"/>
              <w:textAlignment w:val="baseline"/>
              <w:rPr>
                <w:rFonts w:eastAsia="Calibri"/>
                <w:szCs w:val="24"/>
              </w:rPr>
            </w:pPr>
            <w:r>
              <w:rPr>
                <w:szCs w:val="24"/>
              </w:rPr>
              <w:t xml:space="preserve">Veiksmų programos 3 priedo </w:t>
            </w:r>
            <w:r w:rsidRPr="00AD6E32">
              <w:rPr>
                <w:color w:val="000000"/>
                <w:szCs w:val="24"/>
              </w:rPr>
              <w:t xml:space="preserve">„Didelės apimties projektų sąrašas“ </w:t>
            </w:r>
            <w:r>
              <w:rPr>
                <w:szCs w:val="24"/>
              </w:rPr>
              <w:t xml:space="preserve">pakeitimas siūlomas įvertinus </w:t>
            </w:r>
            <w:r w:rsidRPr="00F81EB7">
              <w:rPr>
                <w:szCs w:val="24"/>
              </w:rPr>
              <w:t xml:space="preserve">esamą </w:t>
            </w:r>
            <w:r>
              <w:rPr>
                <w:szCs w:val="24"/>
              </w:rPr>
              <w:t>didelės apimties projektų įgyvendinimo situaciją</w:t>
            </w:r>
            <w:r w:rsidRPr="00693737">
              <w:rPr>
                <w:szCs w:val="24"/>
              </w:rPr>
              <w:t>.</w:t>
            </w:r>
            <w:r>
              <w:rPr>
                <w:rFonts w:eastAsia="Calibri"/>
                <w:szCs w:val="24"/>
              </w:rPr>
              <w:t xml:space="preserve"> Dėl pasikeitimų techniniuose projektuose keičiami projektų „</w:t>
            </w:r>
            <w:r w:rsidRPr="00F81EB7">
              <w:rPr>
                <w:rFonts w:eastAsia="Calibri"/>
                <w:szCs w:val="24"/>
              </w:rPr>
              <w:t xml:space="preserve">Didelio naudingumo </w:t>
            </w:r>
            <w:proofErr w:type="spellStart"/>
            <w:r w:rsidRPr="00F81EB7">
              <w:rPr>
                <w:rFonts w:eastAsia="Calibri"/>
                <w:szCs w:val="24"/>
              </w:rPr>
              <w:t>kogeneracijos</w:t>
            </w:r>
            <w:proofErr w:type="spellEnd"/>
            <w:r w:rsidRPr="00F81EB7">
              <w:rPr>
                <w:rFonts w:eastAsia="Calibri"/>
                <w:szCs w:val="24"/>
              </w:rPr>
              <w:t xml:space="preserve"> pajėgumų, naudojančių atsinaujinančius energijos išteklius, sukūrimas Vilniaus mieste</w:t>
            </w:r>
            <w:r>
              <w:rPr>
                <w:rFonts w:eastAsia="Calibri"/>
                <w:szCs w:val="24"/>
              </w:rPr>
              <w:t>“, „</w:t>
            </w:r>
            <w:r w:rsidRPr="00F81EB7">
              <w:rPr>
                <w:rFonts w:eastAsia="Calibri"/>
                <w:szCs w:val="24"/>
              </w:rPr>
              <w:t>Komunalinių atliekų naudojimo energijai gauti pajėgumų sukūrimas Vilniaus mieste</w:t>
            </w:r>
            <w:r>
              <w:rPr>
                <w:rFonts w:eastAsia="Calibri"/>
                <w:szCs w:val="24"/>
              </w:rPr>
              <w:t xml:space="preserve">“ terminai, nustatyti Veiksmų programos 3 priede „Didelės apimties projektų sąrašas“. </w:t>
            </w:r>
          </w:p>
          <w:p w:rsidR="00AD6E32" w:rsidRDefault="00AD6E32" w:rsidP="006B5E06">
            <w:pPr>
              <w:widowControl w:val="0"/>
              <w:jc w:val="both"/>
              <w:textAlignment w:val="baseline"/>
              <w:rPr>
                <w:szCs w:val="24"/>
              </w:rPr>
            </w:pPr>
          </w:p>
          <w:p w:rsidR="008976A0" w:rsidRDefault="008976A0" w:rsidP="008976A0">
            <w:pPr>
              <w:widowControl w:val="0"/>
              <w:jc w:val="both"/>
              <w:textAlignment w:val="baseline"/>
              <w:rPr>
                <w:b/>
                <w:szCs w:val="24"/>
              </w:rPr>
            </w:pPr>
            <w:r>
              <w:rPr>
                <w:szCs w:val="24"/>
              </w:rPr>
              <w:t xml:space="preserve">2. </w:t>
            </w:r>
            <w:r w:rsidRPr="009F31D7">
              <w:rPr>
                <w:b/>
                <w:szCs w:val="24"/>
              </w:rPr>
              <w:t>Siūlomo pakeitimo indėlis siekiant Europos Sąjungos pažangaus, tvaraus ir integracinio augimo strategijos tikslų.</w:t>
            </w:r>
            <w:r>
              <w:rPr>
                <w:b/>
                <w:szCs w:val="24"/>
              </w:rPr>
              <w:t xml:space="preserve"> </w:t>
            </w:r>
          </w:p>
          <w:p w:rsidR="008976A0" w:rsidRDefault="00AD6E32" w:rsidP="008976A0">
            <w:pPr>
              <w:widowControl w:val="0"/>
              <w:jc w:val="both"/>
              <w:textAlignment w:val="baseline"/>
              <w:rPr>
                <w:szCs w:val="24"/>
              </w:rPr>
            </w:pPr>
            <w:r>
              <w:rPr>
                <w:sz w:val="23"/>
                <w:szCs w:val="23"/>
              </w:rPr>
              <w:t>Šio pakeitimo indėlis neutralus.</w:t>
            </w:r>
          </w:p>
          <w:p w:rsidR="008976A0" w:rsidRPr="009F31D7" w:rsidRDefault="008976A0" w:rsidP="008976A0">
            <w:pPr>
              <w:widowControl w:val="0"/>
              <w:jc w:val="both"/>
              <w:textAlignment w:val="baseline"/>
              <w:rPr>
                <w:szCs w:val="24"/>
              </w:rPr>
            </w:pPr>
          </w:p>
          <w:p w:rsidR="008976A0" w:rsidRDefault="008976A0" w:rsidP="008976A0">
            <w:pPr>
              <w:widowControl w:val="0"/>
              <w:tabs>
                <w:tab w:val="left" w:pos="567"/>
              </w:tabs>
              <w:jc w:val="both"/>
              <w:textAlignment w:val="baseline"/>
              <w:rPr>
                <w:szCs w:val="24"/>
              </w:rPr>
            </w:pPr>
            <w:r>
              <w:rPr>
                <w:szCs w:val="24"/>
              </w:rPr>
              <w:t xml:space="preserve">3. </w:t>
            </w:r>
            <w:r w:rsidRPr="009F31D7">
              <w:rPr>
                <w:b/>
                <w:szCs w:val="24"/>
              </w:rPr>
              <w:t>Siūlomo pakeitimo indėlis siekiant numatytų Partnerystės sutarties ir Veiksmų programos tikslų ir prioritetų</w:t>
            </w:r>
            <w:r>
              <w:rPr>
                <w:szCs w:val="24"/>
              </w:rPr>
              <w:t xml:space="preserve">. </w:t>
            </w:r>
          </w:p>
          <w:p w:rsidR="008976A0" w:rsidRDefault="00AD6E32" w:rsidP="008976A0">
            <w:pPr>
              <w:widowControl w:val="0"/>
              <w:tabs>
                <w:tab w:val="left" w:pos="567"/>
              </w:tabs>
              <w:jc w:val="both"/>
              <w:textAlignment w:val="baseline"/>
              <w:rPr>
                <w:sz w:val="23"/>
                <w:szCs w:val="23"/>
              </w:rPr>
            </w:pPr>
            <w:r>
              <w:rPr>
                <w:sz w:val="23"/>
                <w:szCs w:val="23"/>
              </w:rPr>
              <w:t>Šio pakeitimo indėlis neutralus.</w:t>
            </w:r>
          </w:p>
          <w:p w:rsidR="00AD6E32" w:rsidRDefault="00AD6E32" w:rsidP="008976A0">
            <w:pPr>
              <w:widowControl w:val="0"/>
              <w:tabs>
                <w:tab w:val="left" w:pos="567"/>
              </w:tabs>
              <w:jc w:val="both"/>
              <w:textAlignment w:val="baseline"/>
              <w:rPr>
                <w:szCs w:val="24"/>
              </w:rPr>
            </w:pPr>
          </w:p>
          <w:p w:rsidR="008976A0" w:rsidRPr="009F31D7" w:rsidRDefault="008976A0" w:rsidP="008976A0">
            <w:pPr>
              <w:widowControl w:val="0"/>
              <w:tabs>
                <w:tab w:val="left" w:pos="567"/>
              </w:tabs>
              <w:jc w:val="both"/>
              <w:textAlignment w:val="baseline"/>
              <w:rPr>
                <w:b/>
                <w:szCs w:val="24"/>
              </w:rPr>
            </w:pPr>
            <w:r>
              <w:rPr>
                <w:szCs w:val="24"/>
              </w:rPr>
              <w:t xml:space="preserve">4. </w:t>
            </w:r>
            <w:r w:rsidRPr="009F31D7">
              <w:rPr>
                <w:b/>
                <w:szCs w:val="24"/>
              </w:rPr>
              <w:t xml:space="preserve">Siūlomo pakeitimo įtaka Veiksmų programos stebėsenos rodikliams, jų pasiekimui ir </w:t>
            </w:r>
            <w:r w:rsidRPr="009F31D7">
              <w:rPr>
                <w:b/>
                <w:szCs w:val="24"/>
                <w:lang w:eastAsia="lt-LT"/>
              </w:rPr>
              <w:t xml:space="preserve">veiklos peržiūros rodiklių pasiekimo plano, </w:t>
            </w:r>
            <w:r w:rsidRPr="009F31D7">
              <w:rPr>
                <w:b/>
                <w:szCs w:val="24"/>
              </w:rPr>
              <w:t>patvirtinto Lietuvos Respublikos Vyriausybės nutarimu, vykdymui.</w:t>
            </w:r>
          </w:p>
          <w:p w:rsidR="00E00570" w:rsidRPr="00AD4363" w:rsidRDefault="00AD6E32" w:rsidP="00F92776">
            <w:pPr>
              <w:widowControl w:val="0"/>
              <w:tabs>
                <w:tab w:val="left" w:pos="567"/>
              </w:tabs>
              <w:jc w:val="both"/>
              <w:textAlignment w:val="baseline"/>
              <w:rPr>
                <w:szCs w:val="24"/>
              </w:rPr>
            </w:pPr>
            <w:r w:rsidRPr="00AD6E32">
              <w:rPr>
                <w:szCs w:val="24"/>
              </w:rPr>
              <w:t xml:space="preserve">Šis pakeitimas neturės įtakos Veiksmų programos </w:t>
            </w:r>
            <w:proofErr w:type="spellStart"/>
            <w:r w:rsidRPr="00AD6E32">
              <w:rPr>
                <w:szCs w:val="24"/>
              </w:rPr>
              <w:t>stebėsenos</w:t>
            </w:r>
            <w:proofErr w:type="spellEnd"/>
            <w:r w:rsidRPr="00AD6E32">
              <w:rPr>
                <w:szCs w:val="24"/>
              </w:rPr>
              <w:t xml:space="preserve"> rodikliams, jų pasiekimui ir veiklos peržiūros rodiklių pasiekimo plano vykdymui</w:t>
            </w:r>
          </w:p>
          <w:p w:rsidR="008976A0" w:rsidRDefault="008976A0" w:rsidP="008976A0">
            <w:pPr>
              <w:widowControl w:val="0"/>
              <w:tabs>
                <w:tab w:val="left" w:pos="567"/>
              </w:tabs>
              <w:jc w:val="both"/>
              <w:textAlignment w:val="baseline"/>
              <w:rPr>
                <w:szCs w:val="24"/>
              </w:rPr>
            </w:pPr>
          </w:p>
          <w:p w:rsidR="008976A0" w:rsidRDefault="008976A0" w:rsidP="008976A0">
            <w:pPr>
              <w:widowControl w:val="0"/>
              <w:textAlignment w:val="baseline"/>
              <w:rPr>
                <w:szCs w:val="24"/>
              </w:rPr>
            </w:pPr>
            <w:r>
              <w:rPr>
                <w:szCs w:val="24"/>
              </w:rPr>
              <w:t xml:space="preserve">5. </w:t>
            </w:r>
            <w:r w:rsidRPr="009F31D7">
              <w:rPr>
                <w:b/>
                <w:szCs w:val="24"/>
              </w:rPr>
              <w:t>Siūlomo pakeitimo poveikis Veiksmų programos finansavimo planui (lėšų paskirstymui pagal Veiksmų programos prioritetus), išlaidų pasiskirstymui pagal išlaidų kategorijas nustatytas Veiksmų programoje</w:t>
            </w:r>
            <w:r>
              <w:rPr>
                <w:szCs w:val="24"/>
              </w:rPr>
              <w:t xml:space="preserve">. </w:t>
            </w:r>
          </w:p>
          <w:p w:rsidR="008976A0" w:rsidRDefault="00AD6E32" w:rsidP="008976A0">
            <w:pPr>
              <w:widowControl w:val="0"/>
              <w:textAlignment w:val="baseline"/>
              <w:rPr>
                <w:szCs w:val="24"/>
              </w:rPr>
            </w:pPr>
            <w:r w:rsidRPr="00AD6E32">
              <w:rPr>
                <w:szCs w:val="24"/>
              </w:rPr>
              <w:t>Šis pakeitimas neturės poveikio Veiksmų programos finansavimo planui ir išlaidų pasiskirstymui pagal išlaidų kategorijas.</w:t>
            </w:r>
          </w:p>
          <w:p w:rsidR="008976A0" w:rsidRDefault="008976A0" w:rsidP="008976A0">
            <w:pPr>
              <w:widowControl w:val="0"/>
              <w:textAlignment w:val="baseline"/>
              <w:rPr>
                <w:b/>
                <w:szCs w:val="24"/>
              </w:rPr>
            </w:pPr>
          </w:p>
          <w:p w:rsidR="008976A0" w:rsidRDefault="008976A0" w:rsidP="008976A0">
            <w:pPr>
              <w:widowControl w:val="0"/>
              <w:tabs>
                <w:tab w:val="left" w:pos="567"/>
              </w:tabs>
              <w:jc w:val="both"/>
              <w:textAlignment w:val="baseline"/>
              <w:rPr>
                <w:szCs w:val="24"/>
              </w:rPr>
            </w:pPr>
            <w:r>
              <w:rPr>
                <w:szCs w:val="24"/>
              </w:rPr>
              <w:t xml:space="preserve">6. </w:t>
            </w:r>
            <w:r w:rsidRPr="001A75BF">
              <w:rPr>
                <w:b/>
                <w:szCs w:val="24"/>
              </w:rPr>
              <w:t>Siūlomo pakeitimo poveikis Europos Sąjungos struktūrinių fondų lėšų panaudojimui ir Europos Sąjungos struktūrinių fondų lėšų naudojimo plano, patvirtinto Lietuvos Respublikos Vyriausybės nutarimu, vykdymui</w:t>
            </w:r>
            <w:r>
              <w:rPr>
                <w:szCs w:val="24"/>
              </w:rPr>
              <w:t>.</w:t>
            </w:r>
          </w:p>
          <w:p w:rsidR="008976A0" w:rsidRDefault="00AD6E32" w:rsidP="008976A0">
            <w:pPr>
              <w:widowControl w:val="0"/>
              <w:tabs>
                <w:tab w:val="left" w:pos="567"/>
              </w:tabs>
              <w:jc w:val="both"/>
              <w:textAlignment w:val="baseline"/>
              <w:rPr>
                <w:szCs w:val="24"/>
              </w:rPr>
            </w:pPr>
            <w:r w:rsidRPr="00426F82">
              <w:rPr>
                <w:rFonts w:eastAsia="Calibri"/>
                <w:szCs w:val="24"/>
              </w:rPr>
              <w:t>Šis pakeitimas neturės</w:t>
            </w:r>
            <w:r>
              <w:rPr>
                <w:rFonts w:eastAsia="Calibri"/>
                <w:szCs w:val="24"/>
              </w:rPr>
              <w:t xml:space="preserve"> poveikio ES struktūrinių fondų lėšų panaudojimui ir ES lėšų naudojimo planui</w:t>
            </w:r>
            <w:r w:rsidRPr="00426F82">
              <w:rPr>
                <w:rFonts w:eastAsia="Calibri"/>
                <w:szCs w:val="24"/>
              </w:rPr>
              <w:t>.</w:t>
            </w:r>
          </w:p>
          <w:p w:rsidR="008976A0" w:rsidRDefault="008976A0" w:rsidP="008976A0">
            <w:pPr>
              <w:widowControl w:val="0"/>
              <w:tabs>
                <w:tab w:val="left" w:pos="567"/>
              </w:tabs>
              <w:jc w:val="both"/>
              <w:textAlignment w:val="baseline"/>
              <w:rPr>
                <w:szCs w:val="24"/>
              </w:rPr>
            </w:pPr>
          </w:p>
          <w:p w:rsidR="008976A0" w:rsidRDefault="008976A0" w:rsidP="008976A0">
            <w:pPr>
              <w:widowControl w:val="0"/>
              <w:tabs>
                <w:tab w:val="left" w:pos="567"/>
              </w:tabs>
              <w:jc w:val="both"/>
              <w:textAlignment w:val="baseline"/>
              <w:rPr>
                <w:szCs w:val="24"/>
              </w:rPr>
            </w:pPr>
            <w:r>
              <w:rPr>
                <w:szCs w:val="24"/>
              </w:rPr>
              <w:lastRenderedPageBreak/>
              <w:t xml:space="preserve">7. </w:t>
            </w:r>
            <w:r w:rsidRPr="001A75BF">
              <w:rPr>
                <w:b/>
                <w:szCs w:val="24"/>
              </w:rPr>
              <w:t xml:space="preserve">Siūlomo pakeitimo poveikis </w:t>
            </w:r>
            <w:r w:rsidRPr="001A75BF">
              <w:rPr>
                <w:b/>
                <w:bCs/>
                <w:szCs w:val="24"/>
                <w:lang w:eastAsia="lt-LT"/>
              </w:rPr>
              <w:t xml:space="preserve">Europos Sąjungos </w:t>
            </w:r>
            <w:r w:rsidRPr="001A75BF">
              <w:rPr>
                <w:b/>
                <w:szCs w:val="24"/>
              </w:rPr>
              <w:t xml:space="preserve">struktūrinių </w:t>
            </w:r>
            <w:r w:rsidRPr="001A75BF">
              <w:rPr>
                <w:b/>
                <w:bCs/>
                <w:szCs w:val="24"/>
                <w:lang w:eastAsia="lt-LT"/>
              </w:rPr>
              <w:t xml:space="preserve">fondų lėšų, </w:t>
            </w:r>
            <w:r w:rsidRPr="001A75BF">
              <w:rPr>
                <w:b/>
                <w:szCs w:val="24"/>
                <w:lang w:eastAsia="lt-LT"/>
              </w:rPr>
              <w:t>nacionalinių lėšų ir veiklos lėšų rezervo paskirstymui Veiksmų programos prioritetams įgyvendinti, kuris patvirtintas</w:t>
            </w:r>
            <w:r w:rsidRPr="001A75BF">
              <w:rPr>
                <w:b/>
                <w:szCs w:val="24"/>
              </w:rPr>
              <w:t xml:space="preserve"> Lietuvos Respublikos Vyriausybės nutarimu</w:t>
            </w:r>
            <w:r>
              <w:rPr>
                <w:szCs w:val="24"/>
              </w:rPr>
              <w:t>.</w:t>
            </w:r>
          </w:p>
          <w:p w:rsidR="008976A0" w:rsidRDefault="00AD6E32" w:rsidP="008976A0">
            <w:pPr>
              <w:widowControl w:val="0"/>
              <w:tabs>
                <w:tab w:val="left" w:pos="567"/>
              </w:tabs>
              <w:jc w:val="both"/>
              <w:textAlignment w:val="baseline"/>
              <w:rPr>
                <w:rFonts w:eastAsia="Calibri"/>
                <w:szCs w:val="24"/>
              </w:rPr>
            </w:pPr>
            <w:r w:rsidRPr="00426F82">
              <w:rPr>
                <w:rFonts w:eastAsia="Calibri"/>
                <w:szCs w:val="24"/>
              </w:rPr>
              <w:t>Šis pakeitimas neturės</w:t>
            </w:r>
            <w:r>
              <w:rPr>
                <w:rFonts w:eastAsia="Calibri"/>
                <w:szCs w:val="24"/>
              </w:rPr>
              <w:t xml:space="preserve"> poveikio ES struktūrinių fondų lėšų, nacionalinių lėšų ir veiklos lėšų rezervo paskirstymui VP prioritetams įgyvendinti</w:t>
            </w:r>
            <w:r w:rsidRPr="00426F82">
              <w:rPr>
                <w:rFonts w:eastAsia="Calibri"/>
                <w:szCs w:val="24"/>
              </w:rPr>
              <w:t>.</w:t>
            </w:r>
          </w:p>
          <w:p w:rsidR="00AD6E32" w:rsidRDefault="00AD6E32" w:rsidP="008976A0">
            <w:pPr>
              <w:widowControl w:val="0"/>
              <w:tabs>
                <w:tab w:val="left" w:pos="567"/>
              </w:tabs>
              <w:jc w:val="both"/>
              <w:textAlignment w:val="baseline"/>
              <w:rPr>
                <w:szCs w:val="24"/>
              </w:rPr>
            </w:pPr>
          </w:p>
          <w:p w:rsidR="008976A0" w:rsidRDefault="008976A0" w:rsidP="008976A0">
            <w:pPr>
              <w:widowControl w:val="0"/>
              <w:textAlignment w:val="baseline"/>
              <w:rPr>
                <w:szCs w:val="24"/>
              </w:rPr>
            </w:pPr>
            <w:r>
              <w:rPr>
                <w:szCs w:val="24"/>
              </w:rPr>
              <w:t xml:space="preserve">8. </w:t>
            </w:r>
            <w:r w:rsidRPr="001A75BF">
              <w:rPr>
                <w:b/>
                <w:szCs w:val="24"/>
              </w:rPr>
              <w:t>Siūlomo pakeitimo poveikio analizė (nurodoma esama situacija, numatomas (-i) pokytis (-</w:t>
            </w:r>
            <w:proofErr w:type="spellStart"/>
            <w:r w:rsidRPr="001A75BF">
              <w:rPr>
                <w:b/>
                <w:szCs w:val="24"/>
              </w:rPr>
              <w:t>čiai</w:t>
            </w:r>
            <w:proofErr w:type="spellEnd"/>
            <w:r w:rsidRPr="001A75BF">
              <w:rPr>
                <w:b/>
                <w:szCs w:val="24"/>
              </w:rPr>
              <w:t>) ir tikėtinas jo (jų) poveikis)</w:t>
            </w:r>
            <w:r>
              <w:rPr>
                <w:szCs w:val="24"/>
              </w:rPr>
              <w:t xml:space="preserve">. </w:t>
            </w:r>
          </w:p>
          <w:p w:rsidR="00B02261" w:rsidRPr="0070136F" w:rsidRDefault="00AD6E32" w:rsidP="004B37DA">
            <w:pPr>
              <w:widowControl w:val="0"/>
              <w:jc w:val="both"/>
              <w:textAlignment w:val="baseline"/>
              <w:rPr>
                <w:szCs w:val="24"/>
              </w:rPr>
            </w:pPr>
            <w:r w:rsidRPr="00426F82">
              <w:rPr>
                <w:rFonts w:eastAsia="Calibri"/>
                <w:szCs w:val="24"/>
              </w:rPr>
              <w:t>Šis pakeitimas neturės</w:t>
            </w:r>
            <w:r>
              <w:rPr>
                <w:rFonts w:eastAsia="Calibri"/>
                <w:szCs w:val="24"/>
              </w:rPr>
              <w:t xml:space="preserve"> poveikio nei Programos, nei Partnerystės sutartyje numatytų tikslų ir rodiklių pasiekimui, nes didelės apimties projektų, kurių įgyvendinimo terminai pavėlinti, įgyvendinimo rizikos valdomos, siekiant užtikrinti, kad jie būtų įgyvendinti iki laikotarpio </w:t>
            </w:r>
            <w:proofErr w:type="spellStart"/>
            <w:r>
              <w:rPr>
                <w:rFonts w:eastAsia="Calibri"/>
                <w:szCs w:val="24"/>
              </w:rPr>
              <w:t>pab</w:t>
            </w:r>
            <w:proofErr w:type="spellEnd"/>
            <w:r>
              <w:rPr>
                <w:rFonts w:eastAsia="Calibri"/>
                <w:szCs w:val="24"/>
              </w:rPr>
              <w:t>.</w:t>
            </w:r>
          </w:p>
        </w:tc>
      </w:tr>
    </w:tbl>
    <w:p w:rsidR="00B02261" w:rsidRDefault="00B02261" w:rsidP="00B02261">
      <w:pPr>
        <w:widowControl w:val="0"/>
        <w:spacing w:line="320" w:lineRule="exact"/>
        <w:jc w:val="both"/>
        <w:textAlignment w:val="baseline"/>
        <w:rPr>
          <w:bCs/>
          <w:sz w:val="20"/>
        </w:rPr>
      </w:pPr>
      <w:r>
        <w:rPr>
          <w:bCs/>
          <w:sz w:val="20"/>
        </w:rPr>
        <w:lastRenderedPageBreak/>
        <w:t xml:space="preserve">* </w:t>
      </w:r>
      <w:r>
        <w:rPr>
          <w:sz w:val="20"/>
        </w:rPr>
        <w:t>Esant siūlymui pakeitimo projektą teikti skubos tvarka, pakeitimo pagrindimo dokumentai pateikiami ir anglų kalba.</w:t>
      </w:r>
    </w:p>
    <w:p w:rsidR="00B02261" w:rsidRDefault="00B02261" w:rsidP="00B02261">
      <w:pPr>
        <w:tabs>
          <w:tab w:val="left" w:pos="0"/>
          <w:tab w:val="left" w:pos="426"/>
          <w:tab w:val="left" w:pos="10205"/>
        </w:tabs>
        <w:ind w:right="424"/>
        <w:jc w:val="center"/>
        <w:rPr>
          <w:color w:val="000000"/>
          <w:szCs w:val="24"/>
        </w:rPr>
      </w:pPr>
      <w:r>
        <w:rPr>
          <w:szCs w:val="24"/>
          <w:lang w:eastAsia="lt-LT"/>
        </w:rPr>
        <w:t>__________</w:t>
      </w:r>
    </w:p>
    <w:p w:rsidR="00B02261" w:rsidRDefault="00B02261" w:rsidP="00B02261">
      <w:pPr>
        <w:spacing w:line="276" w:lineRule="auto"/>
        <w:rPr>
          <w:b/>
          <w:sz w:val="22"/>
          <w:szCs w:val="22"/>
        </w:rPr>
      </w:pPr>
    </w:p>
    <w:p w:rsidR="00B02261" w:rsidRDefault="00B02261" w:rsidP="00B02261">
      <w:pPr>
        <w:rPr>
          <w:sz w:val="18"/>
          <w:szCs w:val="18"/>
        </w:rPr>
      </w:pPr>
    </w:p>
    <w:p w:rsidR="005A3AFB" w:rsidRDefault="005A3AFB"/>
    <w:sectPr w:rsidR="005A3AFB" w:rsidSect="005C6193">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A0B" w:rsidRDefault="007A1A0B" w:rsidP="004C150C">
      <w:r>
        <w:separator/>
      </w:r>
    </w:p>
  </w:endnote>
  <w:endnote w:type="continuationSeparator" w:id="0">
    <w:p w:rsidR="007A1A0B" w:rsidRDefault="007A1A0B" w:rsidP="004C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A0B" w:rsidRDefault="007A1A0B" w:rsidP="004C150C">
      <w:r>
        <w:separator/>
      </w:r>
    </w:p>
  </w:footnote>
  <w:footnote w:type="continuationSeparator" w:id="0">
    <w:p w:rsidR="007A1A0B" w:rsidRDefault="007A1A0B" w:rsidP="004C1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463"/>
    <w:multiLevelType w:val="multilevel"/>
    <w:tmpl w:val="DF402A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E517E9C"/>
    <w:multiLevelType w:val="hybridMultilevel"/>
    <w:tmpl w:val="90801FEC"/>
    <w:lvl w:ilvl="0" w:tplc="117E931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95206D4"/>
    <w:multiLevelType w:val="hybridMultilevel"/>
    <w:tmpl w:val="06B6BD42"/>
    <w:lvl w:ilvl="0" w:tplc="B63478F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254212C5"/>
    <w:multiLevelType w:val="hybridMultilevel"/>
    <w:tmpl w:val="65AA981C"/>
    <w:lvl w:ilvl="0" w:tplc="BD7015BE">
      <w:start w:val="5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61"/>
    <w:rsid w:val="00001612"/>
    <w:rsid w:val="00004266"/>
    <w:rsid w:val="00023830"/>
    <w:rsid w:val="00033F1F"/>
    <w:rsid w:val="00060D93"/>
    <w:rsid w:val="00071057"/>
    <w:rsid w:val="00091220"/>
    <w:rsid w:val="000B33A1"/>
    <w:rsid w:val="000C5289"/>
    <w:rsid w:val="000D2A91"/>
    <w:rsid w:val="000F1A16"/>
    <w:rsid w:val="000F2109"/>
    <w:rsid w:val="00107C92"/>
    <w:rsid w:val="00130691"/>
    <w:rsid w:val="00180357"/>
    <w:rsid w:val="001A25BD"/>
    <w:rsid w:val="001C1BEF"/>
    <w:rsid w:val="002116AA"/>
    <w:rsid w:val="0029420C"/>
    <w:rsid w:val="002A0163"/>
    <w:rsid w:val="002A07FE"/>
    <w:rsid w:val="002C2A64"/>
    <w:rsid w:val="002F2BD4"/>
    <w:rsid w:val="0031252A"/>
    <w:rsid w:val="003154B1"/>
    <w:rsid w:val="00355991"/>
    <w:rsid w:val="00411212"/>
    <w:rsid w:val="0044713B"/>
    <w:rsid w:val="00451C35"/>
    <w:rsid w:val="00480269"/>
    <w:rsid w:val="004B37DA"/>
    <w:rsid w:val="004C150C"/>
    <w:rsid w:val="00522345"/>
    <w:rsid w:val="00594159"/>
    <w:rsid w:val="005A3AFB"/>
    <w:rsid w:val="005B081B"/>
    <w:rsid w:val="005C6193"/>
    <w:rsid w:val="006329B4"/>
    <w:rsid w:val="00640FAB"/>
    <w:rsid w:val="00656AD6"/>
    <w:rsid w:val="006B5E06"/>
    <w:rsid w:val="006E2504"/>
    <w:rsid w:val="0070136F"/>
    <w:rsid w:val="0073499F"/>
    <w:rsid w:val="007A1A0B"/>
    <w:rsid w:val="00817702"/>
    <w:rsid w:val="00845C0D"/>
    <w:rsid w:val="00847618"/>
    <w:rsid w:val="008976A0"/>
    <w:rsid w:val="00934790"/>
    <w:rsid w:val="00946BE7"/>
    <w:rsid w:val="00955104"/>
    <w:rsid w:val="00963387"/>
    <w:rsid w:val="0097584E"/>
    <w:rsid w:val="009A62FE"/>
    <w:rsid w:val="00A344D5"/>
    <w:rsid w:val="00A61067"/>
    <w:rsid w:val="00A9377D"/>
    <w:rsid w:val="00AB7B08"/>
    <w:rsid w:val="00AD4363"/>
    <w:rsid w:val="00AD6E32"/>
    <w:rsid w:val="00B02261"/>
    <w:rsid w:val="00B14CA5"/>
    <w:rsid w:val="00B468ED"/>
    <w:rsid w:val="00C05F7D"/>
    <w:rsid w:val="00C33895"/>
    <w:rsid w:val="00C4576B"/>
    <w:rsid w:val="00C86882"/>
    <w:rsid w:val="00C92EA3"/>
    <w:rsid w:val="00CB0B3B"/>
    <w:rsid w:val="00CF1198"/>
    <w:rsid w:val="00D30312"/>
    <w:rsid w:val="00D46863"/>
    <w:rsid w:val="00D82043"/>
    <w:rsid w:val="00DB798E"/>
    <w:rsid w:val="00E00570"/>
    <w:rsid w:val="00E104A1"/>
    <w:rsid w:val="00E71769"/>
    <w:rsid w:val="00EC42E9"/>
    <w:rsid w:val="00EE6A56"/>
    <w:rsid w:val="00F92776"/>
    <w:rsid w:val="00FC0FD5"/>
    <w:rsid w:val="00FC102E"/>
    <w:rsid w:val="00FC313B"/>
    <w:rsid w:val="00FE1CDD"/>
    <w:rsid w:val="00FF3C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2261"/>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F1F"/>
    <w:pPr>
      <w:ind w:left="720"/>
      <w:contextualSpacing/>
    </w:pPr>
  </w:style>
  <w:style w:type="character" w:styleId="Komentaronuoroda">
    <w:name w:val="annotation reference"/>
    <w:basedOn w:val="Numatytasispastraiposriftas"/>
    <w:uiPriority w:val="99"/>
    <w:semiHidden/>
    <w:unhideWhenUsed/>
    <w:rsid w:val="00033F1F"/>
    <w:rPr>
      <w:sz w:val="16"/>
      <w:szCs w:val="16"/>
    </w:rPr>
  </w:style>
  <w:style w:type="paragraph" w:styleId="Komentarotekstas">
    <w:name w:val="annotation text"/>
    <w:basedOn w:val="prastasis"/>
    <w:link w:val="KomentarotekstasDiagrama"/>
    <w:uiPriority w:val="99"/>
    <w:semiHidden/>
    <w:unhideWhenUsed/>
    <w:rsid w:val="00033F1F"/>
    <w:rPr>
      <w:sz w:val="20"/>
    </w:rPr>
  </w:style>
  <w:style w:type="character" w:customStyle="1" w:styleId="KomentarotekstasDiagrama">
    <w:name w:val="Komentaro tekstas Diagrama"/>
    <w:basedOn w:val="Numatytasispastraiposriftas"/>
    <w:link w:val="Komentarotekstas"/>
    <w:uiPriority w:val="99"/>
    <w:semiHidden/>
    <w:rsid w:val="00033F1F"/>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33F1F"/>
    <w:rPr>
      <w:b/>
      <w:bCs/>
    </w:rPr>
  </w:style>
  <w:style w:type="character" w:customStyle="1" w:styleId="KomentarotemaDiagrama">
    <w:name w:val="Komentaro tema Diagrama"/>
    <w:basedOn w:val="KomentarotekstasDiagrama"/>
    <w:link w:val="Komentarotema"/>
    <w:uiPriority w:val="99"/>
    <w:semiHidden/>
    <w:rsid w:val="00033F1F"/>
    <w:rPr>
      <w:rFonts w:eastAsia="Times New Roman" w:cs="Times New Roman"/>
      <w:b/>
      <w:bCs/>
      <w:sz w:val="20"/>
      <w:szCs w:val="20"/>
    </w:rPr>
  </w:style>
  <w:style w:type="paragraph" w:styleId="Debesliotekstas">
    <w:name w:val="Balloon Text"/>
    <w:basedOn w:val="prastasis"/>
    <w:link w:val="DebesliotekstasDiagrama"/>
    <w:uiPriority w:val="99"/>
    <w:semiHidden/>
    <w:unhideWhenUsed/>
    <w:rsid w:val="00033F1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3F1F"/>
    <w:rPr>
      <w:rFonts w:ascii="Tahoma" w:eastAsia="Times New Roman" w:hAnsi="Tahoma" w:cs="Tahoma"/>
      <w:sz w:val="16"/>
      <w:szCs w:val="16"/>
    </w:rPr>
  </w:style>
  <w:style w:type="paragraph" w:styleId="Puslapioinaostekstas">
    <w:name w:val="footnote text"/>
    <w:basedOn w:val="prastasis"/>
    <w:link w:val="PuslapioinaostekstasDiagrama"/>
    <w:uiPriority w:val="99"/>
    <w:semiHidden/>
    <w:unhideWhenUsed/>
    <w:rsid w:val="004C150C"/>
    <w:rPr>
      <w:sz w:val="20"/>
      <w:lang w:val="en-GB"/>
    </w:rPr>
  </w:style>
  <w:style w:type="character" w:customStyle="1" w:styleId="PuslapioinaostekstasDiagrama">
    <w:name w:val="Puslapio išnašos tekstas Diagrama"/>
    <w:basedOn w:val="Numatytasispastraiposriftas"/>
    <w:link w:val="Puslapioinaostekstas"/>
    <w:uiPriority w:val="99"/>
    <w:semiHidden/>
    <w:rsid w:val="004C150C"/>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4C150C"/>
    <w:rPr>
      <w:vertAlign w:val="superscript"/>
    </w:rPr>
  </w:style>
  <w:style w:type="paragraph" w:styleId="Pataisymai">
    <w:name w:val="Revision"/>
    <w:hidden/>
    <w:uiPriority w:val="99"/>
    <w:semiHidden/>
    <w:rsid w:val="000D2A91"/>
    <w:pPr>
      <w:spacing w:after="0" w:line="240" w:lineRule="auto"/>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2261"/>
    <w:pPr>
      <w:spacing w:after="0" w:line="240" w:lineRule="auto"/>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33F1F"/>
    <w:pPr>
      <w:ind w:left="720"/>
      <w:contextualSpacing/>
    </w:pPr>
  </w:style>
  <w:style w:type="character" w:styleId="Komentaronuoroda">
    <w:name w:val="annotation reference"/>
    <w:basedOn w:val="Numatytasispastraiposriftas"/>
    <w:uiPriority w:val="99"/>
    <w:semiHidden/>
    <w:unhideWhenUsed/>
    <w:rsid w:val="00033F1F"/>
    <w:rPr>
      <w:sz w:val="16"/>
      <w:szCs w:val="16"/>
    </w:rPr>
  </w:style>
  <w:style w:type="paragraph" w:styleId="Komentarotekstas">
    <w:name w:val="annotation text"/>
    <w:basedOn w:val="prastasis"/>
    <w:link w:val="KomentarotekstasDiagrama"/>
    <w:uiPriority w:val="99"/>
    <w:semiHidden/>
    <w:unhideWhenUsed/>
    <w:rsid w:val="00033F1F"/>
    <w:rPr>
      <w:sz w:val="20"/>
    </w:rPr>
  </w:style>
  <w:style w:type="character" w:customStyle="1" w:styleId="KomentarotekstasDiagrama">
    <w:name w:val="Komentaro tekstas Diagrama"/>
    <w:basedOn w:val="Numatytasispastraiposriftas"/>
    <w:link w:val="Komentarotekstas"/>
    <w:uiPriority w:val="99"/>
    <w:semiHidden/>
    <w:rsid w:val="00033F1F"/>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33F1F"/>
    <w:rPr>
      <w:b/>
      <w:bCs/>
    </w:rPr>
  </w:style>
  <w:style w:type="character" w:customStyle="1" w:styleId="KomentarotemaDiagrama">
    <w:name w:val="Komentaro tema Diagrama"/>
    <w:basedOn w:val="KomentarotekstasDiagrama"/>
    <w:link w:val="Komentarotema"/>
    <w:uiPriority w:val="99"/>
    <w:semiHidden/>
    <w:rsid w:val="00033F1F"/>
    <w:rPr>
      <w:rFonts w:eastAsia="Times New Roman" w:cs="Times New Roman"/>
      <w:b/>
      <w:bCs/>
      <w:sz w:val="20"/>
      <w:szCs w:val="20"/>
    </w:rPr>
  </w:style>
  <w:style w:type="paragraph" w:styleId="Debesliotekstas">
    <w:name w:val="Balloon Text"/>
    <w:basedOn w:val="prastasis"/>
    <w:link w:val="DebesliotekstasDiagrama"/>
    <w:uiPriority w:val="99"/>
    <w:semiHidden/>
    <w:unhideWhenUsed/>
    <w:rsid w:val="00033F1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3F1F"/>
    <w:rPr>
      <w:rFonts w:ascii="Tahoma" w:eastAsia="Times New Roman" w:hAnsi="Tahoma" w:cs="Tahoma"/>
      <w:sz w:val="16"/>
      <w:szCs w:val="16"/>
    </w:rPr>
  </w:style>
  <w:style w:type="paragraph" w:styleId="Puslapioinaostekstas">
    <w:name w:val="footnote text"/>
    <w:basedOn w:val="prastasis"/>
    <w:link w:val="PuslapioinaostekstasDiagrama"/>
    <w:uiPriority w:val="99"/>
    <w:semiHidden/>
    <w:unhideWhenUsed/>
    <w:rsid w:val="004C150C"/>
    <w:rPr>
      <w:sz w:val="20"/>
      <w:lang w:val="en-GB"/>
    </w:rPr>
  </w:style>
  <w:style w:type="character" w:customStyle="1" w:styleId="PuslapioinaostekstasDiagrama">
    <w:name w:val="Puslapio išnašos tekstas Diagrama"/>
    <w:basedOn w:val="Numatytasispastraiposriftas"/>
    <w:link w:val="Puslapioinaostekstas"/>
    <w:uiPriority w:val="99"/>
    <w:semiHidden/>
    <w:rsid w:val="004C150C"/>
    <w:rPr>
      <w:rFonts w:eastAsia="Times New Roman" w:cs="Times New Roman"/>
      <w:sz w:val="20"/>
      <w:szCs w:val="20"/>
      <w:lang w:val="en-GB"/>
    </w:rPr>
  </w:style>
  <w:style w:type="character" w:styleId="Puslapioinaosnuoroda">
    <w:name w:val="footnote reference"/>
    <w:basedOn w:val="Numatytasispastraiposriftas"/>
    <w:uiPriority w:val="99"/>
    <w:semiHidden/>
    <w:unhideWhenUsed/>
    <w:rsid w:val="004C150C"/>
    <w:rPr>
      <w:vertAlign w:val="superscript"/>
    </w:rPr>
  </w:style>
  <w:style w:type="paragraph" w:styleId="Pataisymai">
    <w:name w:val="Revision"/>
    <w:hidden/>
    <w:uiPriority w:val="99"/>
    <w:semiHidden/>
    <w:rsid w:val="000D2A91"/>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91A9-055E-439C-9C84-41A4C4F4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3327</Words>
  <Characters>1897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Julija Kvietkė</dc:creator>
  <cp:lastModifiedBy>Renata Karvelienė</cp:lastModifiedBy>
  <cp:revision>2</cp:revision>
  <dcterms:created xsi:type="dcterms:W3CDTF">2021-05-17T16:46:00Z</dcterms:created>
  <dcterms:modified xsi:type="dcterms:W3CDTF">2021-05-17T16:46:00Z</dcterms:modified>
</cp:coreProperties>
</file>