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DA48C1" w:rsidRDefault="00895B79" w:rsidP="00DA48C1">
      <w:pPr>
        <w:spacing w:line="240" w:lineRule="auto"/>
        <w:jc w:val="right"/>
        <w:rPr>
          <w:color w:val="000000" w:themeColor="text1"/>
          <w:sz w:val="24"/>
          <w:szCs w:val="24"/>
        </w:rPr>
      </w:pPr>
    </w:p>
    <w:p w:rsidR="00044027" w:rsidRPr="00DA48C1" w:rsidRDefault="00044027" w:rsidP="00DA48C1">
      <w:pPr>
        <w:spacing w:line="240" w:lineRule="auto"/>
        <w:jc w:val="left"/>
        <w:rPr>
          <w:color w:val="000000" w:themeColor="text1"/>
          <w:sz w:val="24"/>
          <w:szCs w:val="24"/>
        </w:rPr>
      </w:pPr>
    </w:p>
    <w:p w:rsidR="00E319A0" w:rsidRPr="00DA48C1" w:rsidRDefault="00804349" w:rsidP="00DA48C1">
      <w:pPr>
        <w:spacing w:line="240" w:lineRule="auto"/>
        <w:jc w:val="center"/>
        <w:rPr>
          <w:b/>
          <w:color w:val="000000" w:themeColor="text1"/>
          <w:sz w:val="24"/>
          <w:szCs w:val="24"/>
        </w:rPr>
      </w:pPr>
      <w:r w:rsidRPr="00DA48C1">
        <w:rPr>
          <w:b/>
          <w:color w:val="000000" w:themeColor="text1"/>
          <w:sz w:val="24"/>
          <w:szCs w:val="24"/>
        </w:rPr>
        <w:t xml:space="preserve">PASIŪLYMAI DĖL </w:t>
      </w:r>
      <w:r w:rsidR="00E319A0" w:rsidRPr="00DA48C1">
        <w:rPr>
          <w:b/>
          <w:color w:val="000000" w:themeColor="text1"/>
          <w:sz w:val="24"/>
          <w:szCs w:val="24"/>
        </w:rPr>
        <w:t>PROJEKTŲ ATRANKOS KRITERIJŲ NUSTATYMO IR KEITIMO</w:t>
      </w:r>
    </w:p>
    <w:p w:rsidR="00E319A0" w:rsidRPr="00DA48C1" w:rsidRDefault="00E319A0" w:rsidP="00DA48C1">
      <w:pPr>
        <w:spacing w:line="240" w:lineRule="auto"/>
        <w:jc w:val="center"/>
        <w:rPr>
          <w:color w:val="000000" w:themeColor="text1"/>
          <w:sz w:val="24"/>
          <w:szCs w:val="24"/>
          <w:lang w:val="en-US"/>
        </w:rPr>
      </w:pPr>
    </w:p>
    <w:p w:rsidR="00E319A0" w:rsidRPr="00DA48C1" w:rsidRDefault="00804349" w:rsidP="00DA48C1">
      <w:pPr>
        <w:spacing w:line="240" w:lineRule="auto"/>
        <w:jc w:val="center"/>
        <w:rPr>
          <w:color w:val="000000" w:themeColor="text1"/>
          <w:sz w:val="24"/>
          <w:szCs w:val="24"/>
        </w:rPr>
      </w:pPr>
      <w:r w:rsidRPr="00DA48C1">
        <w:rPr>
          <w:color w:val="000000" w:themeColor="text1"/>
          <w:sz w:val="24"/>
          <w:szCs w:val="24"/>
        </w:rPr>
        <w:t>20</w:t>
      </w:r>
      <w:r w:rsidR="00277932" w:rsidRPr="00DA48C1">
        <w:rPr>
          <w:color w:val="000000" w:themeColor="text1"/>
          <w:sz w:val="24"/>
          <w:szCs w:val="24"/>
        </w:rPr>
        <w:t>1</w:t>
      </w:r>
      <w:r w:rsidR="005909B9" w:rsidRPr="00DA48C1">
        <w:rPr>
          <w:color w:val="000000" w:themeColor="text1"/>
          <w:sz w:val="24"/>
          <w:szCs w:val="24"/>
        </w:rPr>
        <w:t>8</w:t>
      </w:r>
      <w:r w:rsidR="00694A24">
        <w:rPr>
          <w:color w:val="000000" w:themeColor="text1"/>
          <w:sz w:val="24"/>
          <w:szCs w:val="24"/>
        </w:rPr>
        <w:t xml:space="preserve"> m. rugsėjo 3 </w:t>
      </w:r>
      <w:r w:rsidR="00D90F04" w:rsidRPr="00DA48C1">
        <w:rPr>
          <w:color w:val="000000" w:themeColor="text1"/>
          <w:sz w:val="24"/>
          <w:szCs w:val="24"/>
        </w:rPr>
        <w:t>d.</w:t>
      </w:r>
    </w:p>
    <w:p w:rsidR="005D5E8B" w:rsidRPr="00DA48C1" w:rsidRDefault="005D5E8B" w:rsidP="00DA48C1">
      <w:pPr>
        <w:spacing w:line="240" w:lineRule="auto"/>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8647"/>
        <w:gridCol w:w="10"/>
      </w:tblGrid>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Pasiūlymus dėl projektų atrankos kriterijų nustatymo ir (ar) keitimo teikianti institucija:</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Lietuvos Respublikos energetikos ministerija</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prioriteto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color w:val="000000"/>
                <w:sz w:val="24"/>
                <w:szCs w:val="24"/>
              </w:rPr>
              <w:t>4 prioritetas „Energijos efektyvumo ir atsinaujinančių išteklių energijos gamybos ir naudojimo skatinimas”</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konkretaus uždavinio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color w:val="000000"/>
                <w:sz w:val="24"/>
                <w:szCs w:val="24"/>
              </w:rPr>
              <w:t xml:space="preserve">4.3.1. konkretus uždavinys „Sumažinti energijos suvartojimą viešojoje infrastruktūroje ir daugiabučiuose namuose“ </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įgyvendinimo priemonės (toliau – priemonė) kodas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04.3.1-VIPA-V-101 „Valstybei nuosavybės teise priklausančių pastatų atnaujinimas“</w:t>
            </w:r>
          </w:p>
        </w:tc>
      </w:tr>
      <w:tr w:rsidR="009E6631" w:rsidRPr="00DA48C1" w:rsidTr="00001B8A">
        <w:tc>
          <w:tcPr>
            <w:tcW w:w="5987" w:type="dxa"/>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Priemonei skirtų Europos Sąjungos struktūrinių fondų lėšų suma, mln. Eur:</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 xml:space="preserve">16,07 </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w:t>
            </w:r>
          </w:p>
        </w:tc>
        <w:tc>
          <w:tcPr>
            <w:tcW w:w="8657" w:type="dxa"/>
            <w:gridSpan w:val="2"/>
            <w:tcBorders>
              <w:bottom w:val="single" w:sz="4" w:space="0" w:color="auto"/>
            </w:tcBorders>
            <w:shd w:val="clear" w:color="auto" w:fill="auto"/>
          </w:tcPr>
          <w:p w:rsidR="009E6631" w:rsidRPr="00DA48C1" w:rsidRDefault="009E6631" w:rsidP="00DA48C1">
            <w:pPr>
              <w:numPr>
                <w:ilvl w:val="0"/>
                <w:numId w:val="15"/>
              </w:numPr>
              <w:tabs>
                <w:tab w:val="left" w:pos="601"/>
              </w:tabs>
              <w:spacing w:line="240" w:lineRule="auto"/>
              <w:rPr>
                <w:sz w:val="24"/>
                <w:szCs w:val="24"/>
              </w:rPr>
            </w:pPr>
            <w:r w:rsidRPr="00DA48C1">
              <w:rPr>
                <w:sz w:val="24"/>
                <w:szCs w:val="24"/>
              </w:rPr>
              <w:t>Valstybei nuosavybės teise priklausančių šildomų ir (arba) vėsinamų viešųjų pastatų atnaujinimas</w:t>
            </w:r>
            <w:r w:rsidR="007403B7" w:rsidRPr="00DA48C1">
              <w:rPr>
                <w:sz w:val="24"/>
                <w:szCs w:val="24"/>
              </w:rPr>
              <w:t>,</w:t>
            </w:r>
            <w:r w:rsidRPr="00DA48C1">
              <w:rPr>
                <w:sz w:val="24"/>
                <w:szCs w:val="24"/>
              </w:rPr>
              <w:t xml:space="preserve"> didinant energijos vartojimo efektyvumą</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 arba dalis veiklų bus vykdomos:</w:t>
            </w:r>
          </w:p>
          <w:p w:rsidR="009E6631" w:rsidRPr="00DA48C1" w:rsidRDefault="009E6631" w:rsidP="00DA48C1">
            <w:pPr>
              <w:spacing w:line="240" w:lineRule="auto"/>
              <w:rPr>
                <w:b/>
                <w:color w:val="000000" w:themeColor="text1"/>
                <w:sz w:val="24"/>
                <w:szCs w:val="24"/>
              </w:rPr>
            </w:pPr>
          </w:p>
        </w:tc>
        <w:tc>
          <w:tcPr>
            <w:tcW w:w="8657" w:type="dxa"/>
            <w:gridSpan w:val="2"/>
            <w:tcBorders>
              <w:bottom w:val="single" w:sz="4"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color w:val="000000" w:themeColor="text1"/>
                <w:sz w:val="24"/>
                <w:szCs w:val="24"/>
              </w:rPr>
              <w:t>Stebėsenos komiteto pritarimas nereikalingas, nes: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color w:val="000000" w:themeColor="text1"/>
                <w:sz w:val="24"/>
                <w:szCs w:val="24"/>
              </w:rPr>
              <w:t xml:space="preserve"> </w:t>
            </w:r>
            <w:r w:rsidRPr="00DA48C1">
              <w:rPr>
                <w:bCs/>
                <w:color w:val="000000" w:themeColor="text1"/>
                <w:sz w:val="24"/>
                <w:szCs w:val="24"/>
              </w:rPr>
              <w:t xml:space="preserve">veiklos bus </w:t>
            </w:r>
            <w:r w:rsidRPr="00DA48C1">
              <w:rPr>
                <w:color w:val="000000" w:themeColor="text1"/>
                <w:sz w:val="24"/>
                <w:szCs w:val="24"/>
              </w:rPr>
              <w:t>vykdomos Lietuvoje (arba ES šalyse, kai projektai finansuojami iš Europos socialinio fondo);</w:t>
            </w:r>
          </w:p>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color w:val="000000" w:themeColor="text1"/>
                <w:sz w:val="24"/>
                <w:szCs w:val="24"/>
              </w:rPr>
              <w:t>apribojimai veiklų vykdymo teritorijai netaikomi.</w:t>
            </w:r>
          </w:p>
          <w:p w:rsidR="009E6631" w:rsidRPr="00DA48C1" w:rsidRDefault="009E6631" w:rsidP="00DA48C1">
            <w:pPr>
              <w:spacing w:line="240" w:lineRule="auto"/>
              <w:jc w:val="left"/>
              <w:rPr>
                <w:bCs/>
                <w:i/>
                <w:color w:val="000000" w:themeColor="text1"/>
                <w:sz w:val="24"/>
                <w:szCs w:val="24"/>
              </w:rPr>
            </w:pPr>
          </w:p>
        </w:tc>
      </w:tr>
      <w:tr w:rsidR="009E6631" w:rsidRPr="00DA48C1" w:rsidTr="00001B8A">
        <w:tc>
          <w:tcPr>
            <w:tcW w:w="5987" w:type="dxa"/>
            <w:tcBorders>
              <w:bottom w:val="single" w:sz="12"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Projektų atrankos būdas (finansavimo forma finansinių priemonių atveju):</w:t>
            </w:r>
          </w:p>
        </w:tc>
        <w:tc>
          <w:tcPr>
            <w:tcW w:w="8657" w:type="dxa"/>
            <w:gridSpan w:val="2"/>
            <w:tcBorders>
              <w:bottom w:val="single" w:sz="12" w:space="0" w:color="auto"/>
            </w:tcBorders>
            <w:shd w:val="clear" w:color="auto" w:fill="auto"/>
          </w:tcPr>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color w:val="000000" w:themeColor="text1"/>
                <w:sz w:val="24"/>
                <w:szCs w:val="24"/>
              </w:rPr>
              <w:t>Valstybės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Regionų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b/>
                <w:bCs/>
                <w:sz w:val="24"/>
                <w:szCs w:val="24"/>
              </w:rPr>
              <w:t xml:space="preserve"> </w:t>
            </w:r>
            <w:r w:rsidRPr="00DA48C1">
              <w:rPr>
                <w:color w:val="000000" w:themeColor="text1"/>
                <w:sz w:val="24"/>
                <w:szCs w:val="24"/>
              </w:rPr>
              <w:t>Projektų konkursas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Tęstinė projektų atranka</w:t>
            </w:r>
          </w:p>
          <w:p w:rsidR="009E6631" w:rsidRPr="00DA48C1" w:rsidRDefault="009E6631" w:rsidP="00DA48C1">
            <w:pPr>
              <w:spacing w:line="240" w:lineRule="auto"/>
              <w:jc w:val="left"/>
              <w:rPr>
                <w:i/>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bCs/>
                <w:color w:val="000000" w:themeColor="text1"/>
                <w:sz w:val="24"/>
                <w:szCs w:val="24"/>
              </w:rPr>
              <w:t>Finansinė priemonė</w:t>
            </w:r>
          </w:p>
        </w:tc>
      </w:tr>
      <w:tr w:rsidR="009E6631" w:rsidRPr="00DA48C1" w:rsidTr="00001B8A">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 x SPECIALUSIS PROJEKTŲ ATRANKOS KRITERIJUS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p w:rsidR="009E6631" w:rsidRPr="00DA48C1" w:rsidRDefault="009E6631" w:rsidP="00DA48C1">
            <w:pPr>
              <w:spacing w:line="240" w:lineRule="auto"/>
              <w:rPr>
                <w:i/>
                <w:color w:val="000000" w:themeColor="text1"/>
                <w:sz w:val="24"/>
                <w:szCs w:val="24"/>
              </w:rPr>
            </w:pPr>
          </w:p>
        </w:tc>
        <w:tc>
          <w:tcPr>
            <w:tcW w:w="8657" w:type="dxa"/>
            <w:gridSpan w:val="2"/>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Nustatymas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 xml:space="preserve">X Keitimas </w:t>
            </w:r>
          </w:p>
          <w:p w:rsidR="009E6631" w:rsidRPr="00E86539" w:rsidRDefault="00D808E3" w:rsidP="00DA48C1">
            <w:pPr>
              <w:spacing w:line="240" w:lineRule="auto"/>
              <w:rPr>
                <w:b/>
                <w:bCs/>
                <w:color w:val="FF0000"/>
                <w:sz w:val="24"/>
                <w:szCs w:val="24"/>
              </w:rPr>
            </w:pPr>
            <w:r w:rsidRPr="00E86539">
              <w:rPr>
                <w:b/>
                <w:bCs/>
                <w:color w:val="FF0000"/>
                <w:sz w:val="24"/>
                <w:szCs w:val="24"/>
              </w:rPr>
              <w:t>(</w:t>
            </w:r>
            <w:r w:rsidR="00E86539">
              <w:rPr>
                <w:b/>
                <w:bCs/>
                <w:color w:val="FF0000"/>
                <w:sz w:val="24"/>
                <w:szCs w:val="24"/>
              </w:rPr>
              <w:t>Kriterijus patvirtintas 2015-06-18)</w:t>
            </w:r>
          </w:p>
          <w:p w:rsidR="009E6631" w:rsidRPr="00DA48C1" w:rsidRDefault="009E6631" w:rsidP="00DA48C1">
            <w:pPr>
              <w:spacing w:line="240" w:lineRule="auto"/>
              <w:rPr>
                <w:color w:val="000000" w:themeColor="text1"/>
                <w:sz w:val="24"/>
                <w:szCs w:val="24"/>
                <w:lang w:val="en-US"/>
              </w:rPr>
            </w:pPr>
          </w:p>
        </w:tc>
      </w:tr>
      <w:tr w:rsidR="009E6631" w:rsidRPr="00DA48C1" w:rsidTr="00001B8A">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57" w:type="dxa"/>
            <w:gridSpan w:val="2"/>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bCs/>
                <w:sz w:val="24"/>
                <w:szCs w:val="24"/>
              </w:rPr>
              <w:t>1. Galutinių naudos gavėjų įgyvendinamas projektas turi atitikti</w:t>
            </w:r>
            <w:r w:rsidR="0071481B" w:rsidRPr="00DA48C1">
              <w:rPr>
                <w:bCs/>
                <w:sz w:val="24"/>
                <w:szCs w:val="24"/>
              </w:rPr>
              <w:t xml:space="preserve"> </w:t>
            </w:r>
            <w:hyperlink r:id="rId9" w:history="1">
              <w:r w:rsidR="0071481B" w:rsidRPr="00DA48C1">
                <w:rPr>
                  <w:rStyle w:val="Hipersaitas"/>
                  <w:bCs/>
                  <w:sz w:val="24"/>
                  <w:szCs w:val="24"/>
                </w:rPr>
                <w:t>Nacionalinės energetinės nepriklausomybės strategijos</w:t>
              </w:r>
            </w:hyperlink>
            <w:r w:rsidR="0071481B" w:rsidRPr="00DA48C1">
              <w:rPr>
                <w:bCs/>
                <w:color w:val="000000" w:themeColor="text1"/>
                <w:sz w:val="24"/>
                <w:szCs w:val="24"/>
              </w:rPr>
              <w:t xml:space="preserve">, </w:t>
            </w:r>
            <w:r w:rsidRPr="00DA48C1">
              <w:rPr>
                <w:bCs/>
                <w:sz w:val="24"/>
                <w:szCs w:val="24"/>
              </w:rPr>
              <w:t xml:space="preserve">patvirtintos Lietuvos Respublikos Seimo </w:t>
            </w:r>
            <w:r w:rsidRPr="00DA48C1">
              <w:rPr>
                <w:bCs/>
                <w:sz w:val="24"/>
                <w:szCs w:val="24"/>
              </w:rPr>
              <w:lastRenderedPageBreak/>
              <w:t>2012 m. birželio 26 d. nutarimu Nr. XI-2133</w:t>
            </w:r>
            <w:r w:rsidR="008958FF">
              <w:rPr>
                <w:bCs/>
                <w:sz w:val="24"/>
                <w:szCs w:val="24"/>
              </w:rPr>
              <w:t xml:space="preserve"> </w:t>
            </w:r>
            <w:r w:rsidR="008958FF" w:rsidRPr="00DA48C1">
              <w:rPr>
                <w:sz w:val="24"/>
                <w:szCs w:val="24"/>
              </w:rPr>
              <w:t>(toliau – Nacionalinė energetinės nepriklausomybės strategija)</w:t>
            </w:r>
            <w:r w:rsidRPr="00DA48C1">
              <w:rPr>
                <w:bCs/>
                <w:sz w:val="24"/>
                <w:szCs w:val="24"/>
              </w:rPr>
              <w:t xml:space="preserve">, nuostatas ir </w:t>
            </w:r>
            <w:hyperlink r:id="rId10" w:history="1">
              <w:r w:rsidR="008958FF" w:rsidRPr="00DA48C1">
                <w:rPr>
                  <w:rStyle w:val="Hipersaitas"/>
                  <w:bCs/>
                  <w:sz w:val="24"/>
                  <w:szCs w:val="24"/>
                </w:rPr>
                <w:t>Viešųjų pastatų energinio efektyvumo didinimo programos,</w:t>
              </w:r>
            </w:hyperlink>
            <w:r w:rsidRPr="00DA48C1">
              <w:rPr>
                <w:bCs/>
                <w:sz w:val="24"/>
                <w:szCs w:val="24"/>
              </w:rPr>
              <w:t xml:space="preserve"> patvirtintos Lietuvos Respublikos Vyriausybės 2014 m. lapkričio 26 d. nutarimu Nr. 1328, nuostatas.</w:t>
            </w:r>
          </w:p>
        </w:tc>
      </w:tr>
      <w:tr w:rsidR="009E6631" w:rsidRPr="00DA48C1" w:rsidTr="00001B8A">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vertinimo aspektai ir paaiškinimai:</w:t>
            </w:r>
          </w:p>
        </w:tc>
        <w:tc>
          <w:tcPr>
            <w:tcW w:w="8657" w:type="dxa"/>
            <w:gridSpan w:val="2"/>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bCs/>
                <w:sz w:val="24"/>
                <w:szCs w:val="24"/>
              </w:rPr>
              <w:t xml:space="preserve">Laikoma, kad galutinio naudos gavėjo numatomas vykdyti projektas prisideda prie </w:t>
            </w:r>
            <w:r w:rsidR="0071481B" w:rsidRPr="00DA48C1">
              <w:rPr>
                <w:sz w:val="24"/>
                <w:szCs w:val="24"/>
              </w:rPr>
              <w:t>Nacionalinės energetinės nepriklausomybės strategijos</w:t>
            </w:r>
            <w:r w:rsidR="0071481B" w:rsidRPr="00DA48C1">
              <w:rPr>
                <w:bCs/>
                <w:color w:val="000000" w:themeColor="text1"/>
                <w:sz w:val="24"/>
                <w:szCs w:val="24"/>
              </w:rPr>
              <w:t xml:space="preserve"> </w:t>
            </w:r>
            <w:r w:rsidRPr="00DA48C1">
              <w:rPr>
                <w:bCs/>
                <w:strike/>
                <w:sz w:val="24"/>
                <w:szCs w:val="24"/>
              </w:rPr>
              <w:t>11 punkto</w:t>
            </w:r>
            <w:r w:rsidRPr="00DA48C1">
              <w:rPr>
                <w:bCs/>
                <w:sz w:val="24"/>
                <w:szCs w:val="24"/>
              </w:rPr>
              <w:t xml:space="preserve"> </w:t>
            </w:r>
            <w:r w:rsidRPr="00DA48C1">
              <w:rPr>
                <w:b/>
                <w:bCs/>
                <w:sz w:val="24"/>
                <w:szCs w:val="24"/>
              </w:rPr>
              <w:t xml:space="preserve">33.1 </w:t>
            </w:r>
            <w:r w:rsidRPr="00DA48C1">
              <w:rPr>
                <w:bCs/>
                <w:strike/>
                <w:sz w:val="24"/>
                <w:szCs w:val="24"/>
              </w:rPr>
              <w:t>punkto</w:t>
            </w:r>
            <w:proofErr w:type="gramStart"/>
            <w:r w:rsidRPr="00DA48C1">
              <w:rPr>
                <w:bCs/>
                <w:sz w:val="24"/>
                <w:szCs w:val="24"/>
              </w:rPr>
              <w:t xml:space="preserve">  </w:t>
            </w:r>
            <w:proofErr w:type="gramEnd"/>
            <w:r w:rsidRPr="00DA48C1">
              <w:rPr>
                <w:b/>
                <w:bCs/>
                <w:sz w:val="24"/>
                <w:szCs w:val="24"/>
              </w:rPr>
              <w:t>papunkčio</w:t>
            </w:r>
            <w:r w:rsidRPr="00DA48C1">
              <w:rPr>
                <w:bCs/>
                <w:sz w:val="24"/>
                <w:szCs w:val="24"/>
              </w:rPr>
              <w:t xml:space="preserve"> įgyvendinimo, t. y. projektu turi būti</w:t>
            </w:r>
            <w:r w:rsidRPr="00DA48C1">
              <w:rPr>
                <w:bCs/>
                <w:strike/>
                <w:sz w:val="24"/>
                <w:szCs w:val="24"/>
              </w:rPr>
              <w:t xml:space="preserve"> mažinamas energijos suvartojimas </w:t>
            </w:r>
            <w:r w:rsidRPr="00DA48C1">
              <w:rPr>
                <w:b/>
                <w:bCs/>
                <w:sz w:val="24"/>
                <w:szCs w:val="24"/>
              </w:rPr>
              <w:t>užtikrintas energijos vartojimo efektyvumo padidėjimas</w:t>
            </w:r>
            <w:r w:rsidRPr="00DA48C1">
              <w:rPr>
                <w:bCs/>
                <w:sz w:val="24"/>
                <w:szCs w:val="24"/>
              </w:rPr>
              <w:t xml:space="preserve">, ir, kad pastatas, kurį ketinama atnaujinti, atitinka </w:t>
            </w:r>
            <w:r w:rsidRPr="008958FF">
              <w:rPr>
                <w:bCs/>
                <w:sz w:val="24"/>
                <w:szCs w:val="24"/>
              </w:rPr>
              <w:t>Viešųjų pastatų energinio efektyvumo didinimo programą</w:t>
            </w:r>
            <w:r w:rsidRPr="00DA48C1">
              <w:rPr>
                <w:bCs/>
                <w:sz w:val="24"/>
                <w:szCs w:val="24"/>
              </w:rPr>
              <w:t xml:space="preserve">, jei skiriant finansavimą pastato </w:t>
            </w:r>
            <w:r w:rsidRPr="00DA48C1">
              <w:rPr>
                <w:sz w:val="24"/>
                <w:szCs w:val="24"/>
              </w:rPr>
              <w:t>energetinio naudingumo klasė – žemesnė kaip C</w:t>
            </w:r>
            <w:r w:rsidRPr="00DA48C1">
              <w:rPr>
                <w:bCs/>
                <w:sz w:val="24"/>
                <w:szCs w:val="24"/>
              </w:rPr>
              <w:t>.</w:t>
            </w:r>
          </w:p>
        </w:tc>
      </w:tr>
      <w:tr w:rsidR="009E6631" w:rsidRPr="00DA48C1" w:rsidTr="00001B8A">
        <w:tc>
          <w:tcPr>
            <w:tcW w:w="5987" w:type="dxa"/>
            <w:tcBorders>
              <w:top w:val="single" w:sz="2" w:space="0" w:color="auto"/>
              <w:left w:val="single" w:sz="12" w:space="0" w:color="auto"/>
              <w:bottom w:val="single" w:sz="1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57" w:type="dxa"/>
            <w:gridSpan w:val="2"/>
            <w:tcBorders>
              <w:top w:val="single" w:sz="2" w:space="0" w:color="auto"/>
              <w:left w:val="single" w:sz="2" w:space="0" w:color="auto"/>
              <w:bottom w:val="single" w:sz="12" w:space="0" w:color="auto"/>
              <w:right w:val="single" w:sz="12" w:space="0" w:color="auto"/>
            </w:tcBorders>
            <w:shd w:val="clear" w:color="auto" w:fill="auto"/>
          </w:tcPr>
          <w:p w:rsidR="009E6631" w:rsidRPr="00DA48C1" w:rsidRDefault="009E6631" w:rsidP="008958FF">
            <w:pPr>
              <w:spacing w:line="240" w:lineRule="auto"/>
              <w:rPr>
                <w:bCs/>
                <w:sz w:val="24"/>
                <w:szCs w:val="24"/>
              </w:rPr>
            </w:pPr>
            <w:r w:rsidRPr="00DA48C1">
              <w:rPr>
                <w:sz w:val="24"/>
                <w:szCs w:val="24"/>
              </w:rPr>
              <w:t xml:space="preserve">Kriterijui nustatyti buvo pasirinktas strateginio planavimo dokumentas, kuriame yra iškelti tikslai ir uždaviniai, prie kurių pasiekimo prisidės pagal šią priemonę finansuojami projektai, tuo tarpu  pasirinktas Lietuvos Respublikos Vyriausybės nutarimas </w:t>
            </w:r>
            <w:r w:rsidRPr="00DA48C1">
              <w:rPr>
                <w:bCs/>
                <w:sz w:val="24"/>
                <w:szCs w:val="24"/>
              </w:rPr>
              <w:t xml:space="preserve">bus taikomas visiems atnaujinamiems, </w:t>
            </w:r>
            <w:r w:rsidRPr="00DA48C1">
              <w:rPr>
                <w:sz w:val="24"/>
                <w:szCs w:val="24"/>
              </w:rPr>
              <w:t xml:space="preserve">valstybei </w:t>
            </w:r>
            <w:r w:rsidRPr="00DA48C1">
              <w:rPr>
                <w:color w:val="000000"/>
                <w:sz w:val="24"/>
                <w:szCs w:val="24"/>
              </w:rPr>
              <w:t>nuosavybės teise priklausantiems, viešiesiems pastatams</w:t>
            </w:r>
            <w:r w:rsidRPr="00DA48C1">
              <w:rPr>
                <w:bCs/>
                <w:sz w:val="24"/>
                <w:szCs w:val="24"/>
              </w:rPr>
              <w:t xml:space="preserve">. </w:t>
            </w:r>
          </w:p>
          <w:p w:rsidR="009E6631" w:rsidRPr="00DA48C1" w:rsidRDefault="009E6631" w:rsidP="008958FF">
            <w:pPr>
              <w:spacing w:line="240" w:lineRule="auto"/>
              <w:rPr>
                <w:color w:val="000000"/>
                <w:sz w:val="24"/>
                <w:szCs w:val="24"/>
              </w:rPr>
            </w:pPr>
            <w:r w:rsidRPr="00DA48C1">
              <w:rPr>
                <w:bCs/>
                <w:sz w:val="24"/>
                <w:szCs w:val="24"/>
              </w:rPr>
              <w:t xml:space="preserve">Projektui atitikus minėtų dokumentų nuostatų reikalavimus bus prisidedama prie energijos vartojimo efektyvumo didėjimo, bus atnaujinami pastatai, kurie energijos suvartojimo prasme yra neefektyvūs. Tai tiesiogiai prisidės prie Veiksmų programos </w:t>
            </w:r>
            <w:r w:rsidRPr="00DA48C1">
              <w:rPr>
                <w:color w:val="000000"/>
                <w:sz w:val="24"/>
                <w:szCs w:val="24"/>
              </w:rPr>
              <w:t xml:space="preserve">4.3.1. konkretaus uždavinio „Sumažinti energijos suvartojimą viešojoje infrastruktūroje ir daugiabučiuose namuose“ įgyvendinimo. </w:t>
            </w:r>
          </w:p>
          <w:p w:rsidR="009E6631" w:rsidRPr="00DA48C1" w:rsidRDefault="009E6631" w:rsidP="008958FF">
            <w:pPr>
              <w:spacing w:line="240" w:lineRule="auto"/>
              <w:rPr>
                <w:bCs/>
                <w:sz w:val="24"/>
                <w:szCs w:val="24"/>
              </w:rPr>
            </w:pPr>
            <w:r w:rsidRPr="00DA48C1">
              <w:rPr>
                <w:bCs/>
                <w:sz w:val="24"/>
                <w:szCs w:val="24"/>
              </w:rPr>
              <w:t>Projektų atrankos kriterijus nepagrįstai neišskiria tam tikros tikslinės grupės iš kitų.</w:t>
            </w:r>
          </w:p>
          <w:p w:rsidR="009E6631" w:rsidRPr="00DA48C1" w:rsidRDefault="009E6631" w:rsidP="008958FF">
            <w:pPr>
              <w:spacing w:line="240" w:lineRule="auto"/>
              <w:rPr>
                <w:bCs/>
                <w:i/>
                <w:color w:val="000000" w:themeColor="text1"/>
                <w:sz w:val="24"/>
                <w:szCs w:val="24"/>
              </w:rPr>
            </w:pPr>
            <w:r w:rsidRPr="00DA48C1">
              <w:rPr>
                <w:b/>
                <w:sz w:val="24"/>
                <w:szCs w:val="24"/>
                <w:u w:val="single"/>
              </w:rPr>
              <w:t>Keitimo priežastys</w:t>
            </w:r>
            <w:r w:rsidRPr="00DA48C1">
              <w:rPr>
                <w:b/>
                <w:sz w:val="24"/>
                <w:szCs w:val="24"/>
              </w:rPr>
              <w:t xml:space="preserve">: </w:t>
            </w:r>
            <w:r w:rsidRPr="00DA48C1">
              <w:rPr>
                <w:sz w:val="24"/>
                <w:szCs w:val="24"/>
              </w:rPr>
              <w:t>Lietuvos Respublikos Seimas 2018 m. birželio 21 d. nutarimu Nr. XIII-1288</w:t>
            </w:r>
            <w:r w:rsidRPr="00DA48C1">
              <w:rPr>
                <w:rStyle w:val="Puslapioinaosnuoroda"/>
                <w:sz w:val="24"/>
                <w:szCs w:val="24"/>
              </w:rPr>
              <w:footnoteReference w:id="1"/>
            </w:r>
            <w:r w:rsidRPr="00DA48C1">
              <w:rPr>
                <w:sz w:val="24"/>
                <w:szCs w:val="24"/>
              </w:rPr>
              <w:t xml:space="preserve"> patvirtino </w:t>
            </w:r>
            <w:hyperlink r:id="rId11" w:history="1">
              <w:r w:rsidR="0071481B" w:rsidRPr="00DA48C1">
                <w:rPr>
                  <w:rStyle w:val="Hipersaitas"/>
                  <w:bCs/>
                  <w:sz w:val="24"/>
                  <w:szCs w:val="24"/>
                </w:rPr>
                <w:t>Nacionalinės energetinės nepriklausomybės strategijos</w:t>
              </w:r>
            </w:hyperlink>
            <w:r w:rsidR="0071481B" w:rsidRPr="00DA48C1">
              <w:rPr>
                <w:bCs/>
                <w:color w:val="000000" w:themeColor="text1"/>
                <w:sz w:val="24"/>
                <w:szCs w:val="24"/>
              </w:rPr>
              <w:t xml:space="preserve"> </w:t>
            </w:r>
            <w:r w:rsidRPr="00DA48C1">
              <w:rPr>
                <w:bCs/>
                <w:sz w:val="24"/>
                <w:szCs w:val="24"/>
              </w:rPr>
              <w:t xml:space="preserve">pakeitimą (įsigaliojo </w:t>
            </w:r>
            <w:r w:rsidRPr="00DA48C1">
              <w:rPr>
                <w:sz w:val="24"/>
                <w:szCs w:val="24"/>
              </w:rPr>
              <w:t>2018 m. birželio 30 d.</w:t>
            </w:r>
            <w:r w:rsidRPr="00DA48C1">
              <w:rPr>
                <w:bCs/>
                <w:sz w:val="24"/>
                <w:szCs w:val="24"/>
              </w:rPr>
              <w:t>)</w:t>
            </w:r>
          </w:p>
        </w:tc>
      </w:tr>
      <w:tr w:rsidR="009E6631" w:rsidRPr="00DA48C1" w:rsidTr="00001B8A">
        <w:trPr>
          <w:gridAfter w:val="1"/>
          <w:wAfter w:w="10" w:type="dxa"/>
          <w:trHeight w:val="1402"/>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x SPECIALUSIS PROJEKTŲ ATRANKOS KRITERIJUS</w:t>
            </w:r>
            <w:proofErr w:type="gramStart"/>
            <w:r w:rsidRPr="00DA48C1">
              <w:rPr>
                <w:b/>
                <w:bCs/>
                <w:color w:val="000000" w:themeColor="text1"/>
                <w:sz w:val="24"/>
                <w:szCs w:val="24"/>
              </w:rPr>
              <w:t xml:space="preserve">           </w:t>
            </w:r>
            <w:proofErr w:type="gramEnd"/>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p w:rsidR="009E6631" w:rsidRPr="00DA48C1" w:rsidRDefault="009E6631" w:rsidP="00DA48C1">
            <w:pPr>
              <w:spacing w:line="240" w:lineRule="auto"/>
              <w:rPr>
                <w:b/>
                <w:bCs/>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E86539" w:rsidP="00940943">
            <w:pPr>
              <w:spacing w:line="240" w:lineRule="auto"/>
              <w:rPr>
                <w:color w:val="000000" w:themeColor="text1"/>
                <w:sz w:val="24"/>
                <w:szCs w:val="24"/>
              </w:rPr>
            </w:pPr>
            <w:r w:rsidRPr="00E86539">
              <w:rPr>
                <w:b/>
                <w:bCs/>
                <w:color w:val="FF0000"/>
                <w:sz w:val="24"/>
                <w:szCs w:val="24"/>
              </w:rPr>
              <w:t>Kriterijus patvirtintas 2015-06-18, pakeistas 2015-11-26</w:t>
            </w:r>
          </w:p>
        </w:tc>
      </w:tr>
      <w:tr w:rsidR="009E6631" w:rsidRPr="00DA48C1" w:rsidTr="00001B8A">
        <w:trPr>
          <w:gridAfter w:val="1"/>
          <w:wAfter w:w="10" w:type="dxa"/>
          <w:trHeight w:val="599"/>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bCs/>
                <w:sz w:val="24"/>
                <w:szCs w:val="24"/>
              </w:rPr>
              <w:t xml:space="preserve">2. </w:t>
            </w:r>
            <w:r w:rsidRPr="00DA48C1">
              <w:rPr>
                <w:bCs/>
                <w:color w:val="000000"/>
                <w:sz w:val="24"/>
                <w:szCs w:val="24"/>
              </w:rPr>
              <w:t>Projektu turi būti siekiama galutinės energijos sąnaudas atnaujinamame pastate sumažinti ne mažiau kaip 30 proc.</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widowControl/>
              <w:adjustRightInd/>
              <w:spacing w:line="240" w:lineRule="auto"/>
              <w:textAlignment w:val="auto"/>
              <w:rPr>
                <w:bCs/>
                <w:color w:val="000000" w:themeColor="text1"/>
                <w:sz w:val="24"/>
                <w:szCs w:val="24"/>
              </w:rPr>
            </w:pPr>
            <w:r w:rsidRPr="00DA48C1">
              <w:rPr>
                <w:bCs/>
                <w:color w:val="000000"/>
                <w:sz w:val="24"/>
                <w:szCs w:val="24"/>
              </w:rPr>
              <w:t xml:space="preserve">Laikoma, kad galutinio naudos gavėjo projektas atitinka šį kriterijų, jeigu projektu numatyta, kad atnaujinus pastatą, galutinės energijos sąnaudos bus sumažintos ne </w:t>
            </w:r>
            <w:r w:rsidRPr="00DA48C1">
              <w:rPr>
                <w:bCs/>
                <w:color w:val="000000"/>
                <w:sz w:val="24"/>
                <w:szCs w:val="24"/>
              </w:rPr>
              <w:lastRenderedPageBreak/>
              <w:t>mažiau kaip 30 proc. Galutinės energijos sąnaudų sumažėjimas (procentais) vertinamas lyginant sumines energijos sąnaudas arba bendras šildymui, vėsinimui, karštam vandeniui ruošti, suminės elektros energijos sąnaudas pagal pateikiamą energinio naudingumo sertifikatą, išduotą prieš pastato atnaujinimą su bendromis šildymui, vėsinimui, karštam vandeniui ruošti, suminėmis elektros energijos sąnaudomis, nurodytomis projektiniame energinio efektyvumo sertifikate, pateiktame energijos vartojimo audito ataskaitoje.</w:t>
            </w:r>
          </w:p>
        </w:tc>
      </w:tr>
      <w:tr w:rsidR="009E6631" w:rsidRPr="00DA48C1" w:rsidTr="00001B8A">
        <w:trPr>
          <w:gridAfter w:val="1"/>
          <w:wAfter w:w="10" w:type="dxa"/>
          <w:trHeight w:val="1271"/>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sz w:val="24"/>
                <w:szCs w:val="24"/>
              </w:rPr>
            </w:pPr>
            <w:r w:rsidRPr="00DA48C1">
              <w:rPr>
                <w:bCs/>
                <w:sz w:val="24"/>
                <w:szCs w:val="24"/>
              </w:rPr>
              <w:t xml:space="preserve">Nustatant kiekvieno projektu atnaujinamo pastato siektiną minimalų energijos sąnaudų sumažinimą procentais, yra užtikrinamas ES struktūrinių fondų lėšų efektyvus investavimas į projektus, kuriais bus siekiamas energijos sutaupymas, reikalaujamas </w:t>
            </w:r>
            <w:hyperlink r:id="rId12" w:history="1">
              <w:r w:rsidRPr="00DA48C1">
                <w:rPr>
                  <w:rStyle w:val="Hipersaitas"/>
                  <w:bCs/>
                  <w:sz w:val="24"/>
                  <w:szCs w:val="24"/>
                </w:rPr>
                <w:t>2012 m. spalio 25 d. Europos Parlamento ir Tarybos direktyvos 2012/27/</w:t>
              </w:r>
            </w:hyperlink>
            <w:r w:rsidRPr="00DA48C1">
              <w:rPr>
                <w:bCs/>
                <w:sz w:val="24"/>
                <w:szCs w:val="24"/>
              </w:rPr>
              <w:t xml:space="preserve">ES dėl energijos vartojimo efektyvumo, ir kurių įgyvendinimas leis užtikrinti grąžinamų lėšų srautą, kurį bus galima investuoti į kitus projektus. Pagal šį kriterijų atrinkti projektai prisidės prie Veiksmų programos 4.3.1. konkretaus uždavinio „Sumažinti energijos suvartojimą viešojoje infrastruktūroje ir daugiabučiuose namuose“ spartesnio įgyvendinimo ir nustatytų jo rezultato stebėsenos rodiklių pasiekimo.  </w:t>
            </w:r>
          </w:p>
          <w:p w:rsidR="009E6631" w:rsidRPr="00DA48C1" w:rsidRDefault="009E6631" w:rsidP="00DA48C1">
            <w:pPr>
              <w:spacing w:line="240" w:lineRule="auto"/>
              <w:rPr>
                <w:color w:val="000000" w:themeColor="text1"/>
                <w:sz w:val="24"/>
                <w:szCs w:val="24"/>
              </w:rPr>
            </w:pPr>
            <w:r w:rsidRPr="00DA48C1">
              <w:rPr>
                <w:bCs/>
                <w:sz w:val="24"/>
                <w:szCs w:val="24"/>
              </w:rPr>
              <w:t>Projektų atrankos kriterijus nepagrįstai neišskiria tam tikros tikslinės grupės iš kitų. Strateginiuose dokumentuose pastatų atnaujinimui grąžinamosios subsidijos būdu nėra numatyta apribojimų minimaliam galutinės energijos sąnaudų kiekio sumažinimui, todėl šis kriterijus neprieštarauja strateginiams dokumentams, kurių pagrindu įgyvendinamos minėtos priemonės.</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x SPECIALUSIS PROJEKTŲ ATRANKOS KRITERIJUS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p w:rsidR="009E6631" w:rsidRPr="00DA48C1" w:rsidRDefault="009E6631" w:rsidP="00DA48C1">
            <w:pPr>
              <w:spacing w:line="240" w:lineRule="auto"/>
              <w:rPr>
                <w:i/>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E86539" w:rsidRDefault="00E86539" w:rsidP="00DA48C1">
            <w:pPr>
              <w:spacing w:line="240" w:lineRule="auto"/>
              <w:rPr>
                <w:b/>
                <w:bCs/>
                <w:color w:val="FF0000"/>
                <w:sz w:val="24"/>
                <w:szCs w:val="24"/>
              </w:rPr>
            </w:pPr>
            <w:r w:rsidRPr="00E86539">
              <w:rPr>
                <w:b/>
                <w:bCs/>
                <w:color w:val="FF0000"/>
                <w:sz w:val="24"/>
                <w:szCs w:val="24"/>
              </w:rPr>
              <w:t>Kriterijus patvirtintas 2015-06-18</w:t>
            </w:r>
          </w:p>
          <w:p w:rsidR="009E6631" w:rsidRPr="00DA48C1" w:rsidRDefault="009E6631" w:rsidP="00DA48C1">
            <w:pPr>
              <w:spacing w:line="240" w:lineRule="auto"/>
              <w:rPr>
                <w:color w:val="000000" w:themeColor="text1"/>
                <w:sz w:val="24"/>
                <w:szCs w:val="24"/>
              </w:rPr>
            </w:pPr>
            <w:bookmarkStart w:id="0" w:name="_GoBack"/>
            <w:bookmarkEnd w:id="0"/>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sz w:val="24"/>
                <w:szCs w:val="24"/>
              </w:rPr>
              <w:t xml:space="preserve">3. Projektu turi būti atnaujinamas pastatas, esantis </w:t>
            </w:r>
            <w:r w:rsidR="00220A25" w:rsidRPr="00DA48C1">
              <w:rPr>
                <w:sz w:val="24"/>
                <w:szCs w:val="24"/>
              </w:rPr>
              <w:t xml:space="preserve">Lietuvos Respublikos energetikos ministro įsakymu kasmet tvirtinamame </w:t>
            </w:r>
            <w:hyperlink r:id="rId13" w:history="1">
              <w:r w:rsidRPr="00885869">
                <w:rPr>
                  <w:rStyle w:val="Hipersaitas"/>
                  <w:sz w:val="24"/>
                  <w:szCs w:val="24"/>
                </w:rPr>
                <w:t>Tinkamų atnaujinti pastatų sąraše</w:t>
              </w:r>
            </w:hyperlink>
            <w:r w:rsidRPr="00DA48C1">
              <w:rPr>
                <w:sz w:val="24"/>
                <w:szCs w:val="24"/>
              </w:rPr>
              <w:t>,  </w:t>
            </w:r>
            <w:r w:rsidR="00220A25" w:rsidRPr="00DA48C1">
              <w:rPr>
                <w:sz w:val="24"/>
                <w:szCs w:val="24"/>
              </w:rPr>
              <w:t xml:space="preserve">ir </w:t>
            </w:r>
            <w:r w:rsidRPr="00DA48C1">
              <w:rPr>
                <w:sz w:val="24"/>
                <w:szCs w:val="24"/>
              </w:rPr>
              <w:t xml:space="preserve">kuris pagal </w:t>
            </w:r>
            <w:hyperlink r:id="rId14" w:history="1">
              <w:r w:rsidR="00220A25" w:rsidRPr="00DA48C1">
                <w:rPr>
                  <w:rStyle w:val="Hipersaitas"/>
                  <w:sz w:val="24"/>
                  <w:szCs w:val="24"/>
                </w:rPr>
                <w:t>Vadovybės apsaugos įstatymo</w:t>
              </w:r>
            </w:hyperlink>
            <w:r w:rsidRPr="00DA48C1">
              <w:rPr>
                <w:sz w:val="24"/>
                <w:szCs w:val="24"/>
              </w:rPr>
              <w:t xml:space="preserve"> nuostatas priskirtinas saugomiems objektams </w:t>
            </w:r>
            <w:r w:rsidR="00220A25" w:rsidRPr="00DA48C1">
              <w:rPr>
                <w:sz w:val="24"/>
                <w:szCs w:val="24"/>
              </w:rPr>
              <w:t>bei</w:t>
            </w:r>
            <w:r w:rsidRPr="00DA48C1">
              <w:rPr>
                <w:sz w:val="24"/>
                <w:szCs w:val="24"/>
              </w:rPr>
              <w:t xml:space="preserve"> kuriame taikomas specialus režimas jo apsaugai ar, kuriame pagal kitus galiojančius LR teisės aktus energijos taupymo paslaugų teikimo įmonės negali užtikrinti paslaugų teikimo arba dėl kurio buvo kreiptasi, bet kuriam nebuvo skirtas finansavimas pagal priemonę Nr. 04.3.1-FM-F-105 „Energijos vartojimo efektyvumo didinimas viešojoje infrastruktūroje“.</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 xml:space="preserve">Projektų atrankos kriterijaus vertinimo aspektai ir </w:t>
            </w:r>
            <w:r w:rsidRPr="00DA48C1">
              <w:rPr>
                <w:b/>
                <w:bCs/>
                <w:color w:val="000000" w:themeColor="text1"/>
                <w:sz w:val="24"/>
                <w:szCs w:val="24"/>
              </w:rPr>
              <w:lastRenderedPageBreak/>
              <w:t>paaiškinimai:</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sz w:val="24"/>
                <w:szCs w:val="24"/>
              </w:rPr>
            </w:pPr>
            <w:r w:rsidRPr="00DA48C1">
              <w:rPr>
                <w:bCs/>
                <w:sz w:val="24"/>
                <w:szCs w:val="24"/>
              </w:rPr>
              <w:lastRenderedPageBreak/>
              <w:t xml:space="preserve">Bus vertinamas Projektas pastato, esančio </w:t>
            </w:r>
            <w:r w:rsidRPr="00DA48C1">
              <w:rPr>
                <w:sz w:val="24"/>
                <w:szCs w:val="24"/>
              </w:rPr>
              <w:t xml:space="preserve"> </w:t>
            </w:r>
            <w:r w:rsidRPr="00DA48C1">
              <w:rPr>
                <w:bCs/>
                <w:sz w:val="24"/>
                <w:szCs w:val="24"/>
              </w:rPr>
              <w:t xml:space="preserve">Tinkamų atnaujinti pastatų sąraše ir </w:t>
            </w:r>
            <w:r w:rsidRPr="00DA48C1">
              <w:rPr>
                <w:bCs/>
                <w:sz w:val="24"/>
                <w:szCs w:val="24"/>
              </w:rPr>
              <w:lastRenderedPageBreak/>
              <w:t>atitinkančio vieną iš sąlygų:</w:t>
            </w:r>
          </w:p>
          <w:p w:rsidR="009E6631" w:rsidRPr="00DA48C1" w:rsidRDefault="009E6631" w:rsidP="00DA48C1">
            <w:pPr>
              <w:pStyle w:val="Sraopastraipa"/>
              <w:numPr>
                <w:ilvl w:val="0"/>
                <w:numId w:val="18"/>
              </w:numPr>
              <w:jc w:val="both"/>
              <w:rPr>
                <w:sz w:val="24"/>
                <w:szCs w:val="24"/>
              </w:rPr>
            </w:pPr>
            <w:r w:rsidRPr="00DA48C1">
              <w:rPr>
                <w:bCs/>
                <w:sz w:val="24"/>
                <w:szCs w:val="24"/>
              </w:rPr>
              <w:t xml:space="preserve">Projektas yra skirtas atnaujinti pastatą, kuris pagal </w:t>
            </w:r>
            <w:r w:rsidRPr="00DA48C1">
              <w:rPr>
                <w:sz w:val="24"/>
                <w:szCs w:val="24"/>
              </w:rPr>
              <w:t>Vadovybės apsaugos įstatymo 2 straipsnio 7 dalį, priskirtinas saugomiems objektams ir, kurio apsaugai pagal Vadovybės apsaugos įstatymo 9 straipsnį taikomas specialus režimas ar kuriame pagal kitus galiojančius LR teisės aktus ETPT įmonės negali užtikrinti paslaugų teikimo;</w:t>
            </w:r>
          </w:p>
          <w:p w:rsidR="009E6631" w:rsidRPr="00DA48C1" w:rsidRDefault="009E6631" w:rsidP="00DA48C1">
            <w:pPr>
              <w:pStyle w:val="Sraopastraipa"/>
              <w:numPr>
                <w:ilvl w:val="0"/>
                <w:numId w:val="18"/>
              </w:numPr>
              <w:jc w:val="both"/>
              <w:rPr>
                <w:sz w:val="24"/>
                <w:szCs w:val="24"/>
              </w:rPr>
            </w:pPr>
            <w:r w:rsidRPr="00DA48C1">
              <w:rPr>
                <w:sz w:val="24"/>
                <w:szCs w:val="24"/>
              </w:rPr>
              <w:t>arba dėl pastato atnaujinimo buvo kreiptasi, bet nebuvo skirtas finansavimas pagal priemonę Nr. 04.3.1-FM-F-105 „Energijos vartojimo efektyvumo didinimas viešojoje infrastruktūroje“.</w:t>
            </w:r>
          </w:p>
        </w:tc>
      </w:tr>
      <w:tr w:rsidR="009E6631" w:rsidRPr="00DA48C1" w:rsidTr="00001B8A">
        <w:trPr>
          <w:gridAfter w:val="1"/>
          <w:wAfter w:w="10" w:type="dxa"/>
          <w:trHeight w:val="963"/>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sz w:val="24"/>
                <w:szCs w:val="24"/>
              </w:rPr>
            </w:pPr>
            <w:r w:rsidRPr="00DA48C1">
              <w:rPr>
                <w:bCs/>
                <w:sz w:val="24"/>
                <w:szCs w:val="24"/>
              </w:rPr>
              <w:t xml:space="preserve">Šis kriterijus pasirinktas tikslu užtikrinti </w:t>
            </w:r>
            <w:hyperlink r:id="rId15" w:history="1">
              <w:r w:rsidRPr="00DA48C1">
                <w:rPr>
                  <w:rStyle w:val="Hipersaitas"/>
                  <w:bCs/>
                  <w:sz w:val="24"/>
                  <w:szCs w:val="24"/>
                </w:rPr>
                <w:t>Efektyvumo direktyvos 2012/27/ES</w:t>
              </w:r>
            </w:hyperlink>
            <w:r w:rsidRPr="00DA48C1">
              <w:rPr>
                <w:bCs/>
                <w:sz w:val="24"/>
                <w:szCs w:val="24"/>
              </w:rPr>
              <w:t xml:space="preserve"> reikalavimų (kasmet atnaujinti 3 proc. viešųjų pastatų ploto) įgyvendinimą, sudarant alternatyvias finansavimo sąlygas pastatų atnaujinimo projektams, kuriuose dėl teisės aktuose nustatytų saugumo ar kitų apribojimų ETPT įmonės negalėtų pilna apimtimi užtikrinti energijos paslaugų teikimo. </w:t>
            </w:r>
          </w:p>
          <w:p w:rsidR="009E6631" w:rsidRPr="00DA48C1" w:rsidRDefault="009E6631" w:rsidP="00DA48C1">
            <w:pPr>
              <w:spacing w:line="240" w:lineRule="auto"/>
              <w:rPr>
                <w:bCs/>
                <w:sz w:val="24"/>
                <w:szCs w:val="24"/>
              </w:rPr>
            </w:pPr>
            <w:r w:rsidRPr="00DA48C1">
              <w:rPr>
                <w:bCs/>
                <w:sz w:val="24"/>
                <w:szCs w:val="24"/>
              </w:rPr>
              <w:t>Kriterijus tuo pačiu prisideda prie efektyvesnio lėšų investavimo ir užtikrina, kad kuo didesnė dalis pastatų atnaujinimo projektų būtų įgyvendinama, taikant finansų priemones, tuo užtikrinant Veiksmų programoje numatytų rodiklių bei Viešųjų pastatų programoje iškeltų uždavinių pasiekimą.</w:t>
            </w:r>
          </w:p>
          <w:p w:rsidR="009E6631" w:rsidRPr="00DA48C1" w:rsidRDefault="009E6631" w:rsidP="00DA48C1">
            <w:pPr>
              <w:spacing w:line="240" w:lineRule="auto"/>
              <w:rPr>
                <w:bCs/>
                <w:color w:val="000000" w:themeColor="text1"/>
                <w:sz w:val="24"/>
                <w:szCs w:val="24"/>
              </w:rPr>
            </w:pPr>
            <w:r w:rsidRPr="00DA48C1">
              <w:rPr>
                <w:bCs/>
                <w:sz w:val="24"/>
                <w:szCs w:val="24"/>
              </w:rPr>
              <w:t>Projektų atrankos kriterijus nepagrįstai neišskiria tam tikros tikslinės grupės iš kitų. Kadangi strateginiuose dokumentuose nėra numatyta kokie konkrečiai  pastatai turi būti atnaujinami grąžinamosios subsidijos būdu, tad šis kriterijus neprieštarauja strateginiams dokumentams, kurių pagrindu  įgyvendinama priemonė.</w:t>
            </w:r>
          </w:p>
        </w:tc>
      </w:tr>
    </w:tbl>
    <w:p w:rsidR="00001B8A" w:rsidRPr="003F5F7F" w:rsidRDefault="00001B8A" w:rsidP="003F5F7F"/>
    <w:p w:rsidR="00001B8A" w:rsidRDefault="00001B8A" w:rsidP="00001B8A">
      <w:pPr>
        <w:spacing w:line="240" w:lineRule="auto"/>
        <w:rPr>
          <w:color w:val="000000" w:themeColor="text1"/>
          <w:sz w:val="24"/>
          <w:szCs w:val="24"/>
          <w:u w:val="single"/>
        </w:rPr>
      </w:pPr>
    </w:p>
    <w:p w:rsidR="00001B8A" w:rsidRDefault="00001B8A" w:rsidP="00001B8A">
      <w:pPr>
        <w:spacing w:line="240" w:lineRule="auto"/>
        <w:rPr>
          <w:color w:val="000000" w:themeColor="text1"/>
          <w:sz w:val="24"/>
          <w:szCs w:val="24"/>
          <w:u w:val="single"/>
        </w:rPr>
      </w:pPr>
    </w:p>
    <w:p w:rsidR="003F5F7F" w:rsidRDefault="003F5F7F" w:rsidP="00001B8A">
      <w:pPr>
        <w:spacing w:line="240" w:lineRule="auto"/>
        <w:rPr>
          <w:color w:val="000000" w:themeColor="text1"/>
          <w:sz w:val="24"/>
          <w:szCs w:val="24"/>
          <w:u w:val="single"/>
        </w:rPr>
      </w:pPr>
    </w:p>
    <w:p w:rsidR="00001B8A" w:rsidRDefault="00001B8A" w:rsidP="00001B8A">
      <w:pPr>
        <w:spacing w:line="240" w:lineRule="auto"/>
        <w:rPr>
          <w:color w:val="000000" w:themeColor="text1"/>
          <w:sz w:val="24"/>
          <w:szCs w:val="24"/>
          <w:u w:val="single"/>
        </w:rPr>
      </w:pPr>
    </w:p>
    <w:p w:rsidR="00001B8A" w:rsidRDefault="00001B8A" w:rsidP="00001B8A">
      <w:pPr>
        <w:spacing w:line="240" w:lineRule="auto"/>
        <w:rPr>
          <w:color w:val="000000" w:themeColor="text1"/>
          <w:sz w:val="24"/>
          <w:szCs w:val="24"/>
          <w:u w:val="single"/>
        </w:rPr>
      </w:pPr>
    </w:p>
    <w:p w:rsidR="00001B8A" w:rsidRPr="00DA48C1" w:rsidRDefault="00001B8A" w:rsidP="00001B8A">
      <w:pPr>
        <w:spacing w:line="240" w:lineRule="auto"/>
        <w:rPr>
          <w:color w:val="000000" w:themeColor="text1"/>
          <w:sz w:val="24"/>
          <w:szCs w:val="24"/>
        </w:rPr>
      </w:pPr>
      <w:r w:rsidRPr="00DA48C1">
        <w:rPr>
          <w:color w:val="000000" w:themeColor="text1"/>
          <w:sz w:val="24"/>
          <w:szCs w:val="24"/>
          <w:u w:val="single"/>
        </w:rPr>
        <w:t xml:space="preserve">           Viceministras</w:t>
      </w:r>
      <w:r w:rsidRPr="00DA48C1">
        <w:rPr>
          <w:color w:val="000000" w:themeColor="text1"/>
          <w:sz w:val="24"/>
          <w:szCs w:val="24"/>
          <w:u w:val="single"/>
        </w:rPr>
        <w:tab/>
      </w:r>
      <w:r w:rsidRPr="00DA48C1">
        <w:rPr>
          <w:color w:val="000000" w:themeColor="text1"/>
          <w:sz w:val="24"/>
          <w:szCs w:val="24"/>
          <w:u w:val="single"/>
        </w:rPr>
        <w:tab/>
      </w:r>
      <w:r w:rsidRPr="00DA48C1">
        <w:rPr>
          <w:color w:val="000000" w:themeColor="text1"/>
          <w:sz w:val="24"/>
          <w:szCs w:val="24"/>
        </w:rPr>
        <w:tab/>
      </w:r>
      <w:proofErr w:type="gramStart"/>
      <w:r w:rsidRPr="00DA48C1">
        <w:rPr>
          <w:color w:val="000000" w:themeColor="text1"/>
          <w:sz w:val="24"/>
          <w:szCs w:val="24"/>
        </w:rPr>
        <w:t xml:space="preserve">   </w:t>
      </w:r>
      <w:r>
        <w:rPr>
          <w:color w:val="000000" w:themeColor="text1"/>
          <w:sz w:val="24"/>
          <w:szCs w:val="24"/>
        </w:rPr>
        <w:t xml:space="preserve">     </w:t>
      </w:r>
      <w:r w:rsidRPr="00DA48C1">
        <w:rPr>
          <w:color w:val="000000" w:themeColor="text1"/>
          <w:sz w:val="24"/>
          <w:szCs w:val="24"/>
        </w:rPr>
        <w:t xml:space="preserve">        </w:t>
      </w:r>
      <w:proofErr w:type="gramEnd"/>
      <w:r w:rsidRPr="00DA48C1">
        <w:rPr>
          <w:color w:val="000000" w:themeColor="text1"/>
          <w:sz w:val="24"/>
          <w:szCs w:val="24"/>
        </w:rPr>
        <w:t>___________________</w:t>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u w:val="single"/>
        </w:rPr>
        <w:t>Vidmantas Macevičius__</w:t>
      </w:r>
    </w:p>
    <w:p w:rsidR="00001B8A" w:rsidRPr="00DA48C1" w:rsidRDefault="00001B8A" w:rsidP="00001B8A">
      <w:pPr>
        <w:spacing w:line="240" w:lineRule="auto"/>
        <w:rPr>
          <w:color w:val="000000" w:themeColor="text1"/>
          <w:sz w:val="24"/>
          <w:szCs w:val="24"/>
        </w:rPr>
      </w:pPr>
      <w:r w:rsidRPr="00DA48C1">
        <w:rPr>
          <w:color w:val="000000" w:themeColor="text1"/>
          <w:sz w:val="24"/>
          <w:szCs w:val="24"/>
        </w:rPr>
        <w:t xml:space="preserve"> (ministerijos atsakingo asmens </w:t>
      </w:r>
      <w:r>
        <w:rPr>
          <w:color w:val="000000" w:themeColor="text1"/>
          <w:sz w:val="24"/>
          <w:szCs w:val="24"/>
        </w:rPr>
        <w:t>pareigų pavadinimas)</w:t>
      </w:r>
      <w:r>
        <w:rPr>
          <w:color w:val="000000" w:themeColor="text1"/>
          <w:sz w:val="24"/>
          <w:szCs w:val="24"/>
        </w:rPr>
        <w:tab/>
      </w:r>
      <w:r>
        <w:rPr>
          <w:color w:val="000000" w:themeColor="text1"/>
          <w:sz w:val="24"/>
          <w:szCs w:val="24"/>
        </w:rPr>
        <w:tab/>
      </w:r>
      <w:proofErr w:type="gramStart"/>
      <w:r>
        <w:rPr>
          <w:color w:val="000000" w:themeColor="text1"/>
          <w:sz w:val="24"/>
          <w:szCs w:val="24"/>
        </w:rPr>
        <w:t xml:space="preserve">  </w:t>
      </w:r>
      <w:proofErr w:type="gramEnd"/>
      <w:r w:rsidRPr="00DA48C1">
        <w:rPr>
          <w:color w:val="000000" w:themeColor="text1"/>
          <w:sz w:val="24"/>
          <w:szCs w:val="24"/>
        </w:rPr>
        <w:t xml:space="preserve">(parašas)                               </w:t>
      </w:r>
      <w:r w:rsidRPr="00DA48C1">
        <w:rPr>
          <w:color w:val="000000" w:themeColor="text1"/>
          <w:sz w:val="24"/>
          <w:szCs w:val="24"/>
        </w:rPr>
        <w:tab/>
      </w:r>
      <w:r>
        <w:rPr>
          <w:color w:val="000000" w:themeColor="text1"/>
          <w:sz w:val="24"/>
          <w:szCs w:val="24"/>
        </w:rPr>
        <w:t xml:space="preserve">                       </w:t>
      </w:r>
      <w:r w:rsidRPr="00DA48C1">
        <w:rPr>
          <w:color w:val="000000" w:themeColor="text1"/>
          <w:sz w:val="24"/>
          <w:szCs w:val="24"/>
        </w:rPr>
        <w:t>(vardas ir pavardė)</w:t>
      </w:r>
    </w:p>
    <w:p w:rsidR="00001B8A" w:rsidRPr="00DA48C1" w:rsidRDefault="00001B8A" w:rsidP="00001B8A">
      <w:pPr>
        <w:spacing w:line="240" w:lineRule="auto"/>
        <w:rPr>
          <w:color w:val="000000" w:themeColor="text1"/>
          <w:sz w:val="24"/>
          <w:szCs w:val="24"/>
        </w:rPr>
      </w:pPr>
    </w:p>
    <w:p w:rsidR="00001B8A" w:rsidRDefault="00001B8A" w:rsidP="003F5F7F">
      <w:pPr>
        <w:widowControl/>
        <w:adjustRightInd/>
        <w:spacing w:line="240" w:lineRule="auto"/>
        <w:jc w:val="left"/>
        <w:textAlignment w:val="auto"/>
      </w:pPr>
    </w:p>
    <w:sectPr w:rsidR="00001B8A" w:rsidSect="005A4202">
      <w:headerReference w:type="default" r:id="rId16"/>
      <w:pgSz w:w="16838" w:h="11906" w:orient="landscape" w:code="9"/>
      <w:pgMar w:top="1134" w:right="567" w:bottom="851" w:left="184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24" w:rsidRDefault="00694A24" w:rsidP="003002E4">
      <w:pPr>
        <w:spacing w:line="240" w:lineRule="auto"/>
      </w:pPr>
      <w:r>
        <w:separator/>
      </w:r>
    </w:p>
  </w:endnote>
  <w:endnote w:type="continuationSeparator" w:id="0">
    <w:p w:rsidR="00694A24" w:rsidRDefault="00694A24"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24" w:rsidRDefault="00694A24" w:rsidP="003002E4">
      <w:pPr>
        <w:spacing w:line="240" w:lineRule="auto"/>
      </w:pPr>
      <w:r>
        <w:separator/>
      </w:r>
    </w:p>
  </w:footnote>
  <w:footnote w:type="continuationSeparator" w:id="0">
    <w:p w:rsidR="00694A24" w:rsidRDefault="00694A24" w:rsidP="003002E4">
      <w:pPr>
        <w:spacing w:line="240" w:lineRule="auto"/>
      </w:pPr>
      <w:r>
        <w:continuationSeparator/>
      </w:r>
    </w:p>
  </w:footnote>
  <w:footnote w:id="1">
    <w:p w:rsidR="00694A24" w:rsidRDefault="00694A24" w:rsidP="009E6631">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w:t>
      </w:r>
      <w:proofErr w:type="gramStart"/>
      <w:r w:rsidRPr="00943D26">
        <w:rPr>
          <w:bCs/>
        </w:rPr>
        <w:t>“ pakeitimo</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84797"/>
      <w:docPartObj>
        <w:docPartGallery w:val="Page Numbers (Top of Page)"/>
        <w:docPartUnique/>
      </w:docPartObj>
    </w:sdtPr>
    <w:sdtEndPr/>
    <w:sdtContent>
      <w:p w:rsidR="00694A24" w:rsidRDefault="00694A24">
        <w:pPr>
          <w:pStyle w:val="Antrats"/>
          <w:jc w:val="center"/>
        </w:pPr>
        <w:r>
          <w:fldChar w:fldCharType="begin"/>
        </w:r>
        <w:r>
          <w:instrText>PAGE   \* MERGEFORMAT</w:instrText>
        </w:r>
        <w:r>
          <w:fldChar w:fldCharType="separate"/>
        </w:r>
        <w:r w:rsidR="00E86539">
          <w:rPr>
            <w:noProof/>
          </w:rPr>
          <w:t>4</w:t>
        </w:r>
        <w:r>
          <w:fldChar w:fldCharType="end"/>
        </w:r>
      </w:p>
    </w:sdtContent>
  </w:sdt>
  <w:p w:rsidR="00694A24" w:rsidRDefault="00694A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DE6B9E"/>
    <w:lvl w:ilvl="0">
      <w:start w:val="1"/>
      <w:numFmt w:val="decimal"/>
      <w:lvlText w:val="%1."/>
      <w:lvlJc w:val="left"/>
      <w:pPr>
        <w:tabs>
          <w:tab w:val="num" w:pos="1800"/>
        </w:tabs>
        <w:ind w:left="1800" w:hanging="360"/>
      </w:pPr>
    </w:lvl>
  </w:abstractNum>
  <w:abstractNum w:abstractNumId="1">
    <w:nsid w:val="FFFFFF7D"/>
    <w:multiLevelType w:val="singleLevel"/>
    <w:tmpl w:val="AC2A7A72"/>
    <w:lvl w:ilvl="0">
      <w:start w:val="1"/>
      <w:numFmt w:val="decimal"/>
      <w:lvlText w:val="%1."/>
      <w:lvlJc w:val="left"/>
      <w:pPr>
        <w:tabs>
          <w:tab w:val="num" w:pos="1440"/>
        </w:tabs>
        <w:ind w:left="1440" w:hanging="360"/>
      </w:pPr>
    </w:lvl>
  </w:abstractNum>
  <w:abstractNum w:abstractNumId="2">
    <w:nsid w:val="FFFFFF7E"/>
    <w:multiLevelType w:val="singleLevel"/>
    <w:tmpl w:val="4FCCAF34"/>
    <w:lvl w:ilvl="0">
      <w:start w:val="1"/>
      <w:numFmt w:val="decimal"/>
      <w:lvlText w:val="%1."/>
      <w:lvlJc w:val="left"/>
      <w:pPr>
        <w:tabs>
          <w:tab w:val="num" w:pos="1080"/>
        </w:tabs>
        <w:ind w:left="1080" w:hanging="360"/>
      </w:pPr>
    </w:lvl>
  </w:abstractNum>
  <w:abstractNum w:abstractNumId="3">
    <w:nsid w:val="FFFFFF7F"/>
    <w:multiLevelType w:val="singleLevel"/>
    <w:tmpl w:val="34B09084"/>
    <w:lvl w:ilvl="0">
      <w:start w:val="1"/>
      <w:numFmt w:val="decimal"/>
      <w:lvlText w:val="%1."/>
      <w:lvlJc w:val="left"/>
      <w:pPr>
        <w:tabs>
          <w:tab w:val="num" w:pos="720"/>
        </w:tabs>
        <w:ind w:left="720" w:hanging="360"/>
      </w:pPr>
    </w:lvl>
  </w:abstractNum>
  <w:abstractNum w:abstractNumId="4">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A05B18"/>
    <w:lvl w:ilvl="0">
      <w:start w:val="1"/>
      <w:numFmt w:val="decimal"/>
      <w:lvlText w:val="%1."/>
      <w:lvlJc w:val="left"/>
      <w:pPr>
        <w:tabs>
          <w:tab w:val="num" w:pos="360"/>
        </w:tabs>
        <w:ind w:left="360" w:hanging="360"/>
      </w:pPr>
    </w:lvl>
  </w:abstractNum>
  <w:abstractNum w:abstractNumId="9">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nsid w:val="074D487A"/>
    <w:multiLevelType w:val="hybridMultilevel"/>
    <w:tmpl w:val="46C20748"/>
    <w:lvl w:ilvl="0" w:tplc="B94E76EA">
      <w:start w:val="188"/>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CD4032B"/>
    <w:multiLevelType w:val="hybridMultilevel"/>
    <w:tmpl w:val="BC7ED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 w:numId="17">
    <w:abstractNumId w:val="14"/>
  </w:num>
  <w:num w:numId="18">
    <w:abstractNumId w:val="18"/>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B8A"/>
    <w:rsid w:val="00004E53"/>
    <w:rsid w:val="000060BE"/>
    <w:rsid w:val="000066BA"/>
    <w:rsid w:val="000103AB"/>
    <w:rsid w:val="00014877"/>
    <w:rsid w:val="00015008"/>
    <w:rsid w:val="00021440"/>
    <w:rsid w:val="00021B8F"/>
    <w:rsid w:val="00021EDA"/>
    <w:rsid w:val="000237D4"/>
    <w:rsid w:val="00024186"/>
    <w:rsid w:val="00030B95"/>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297C"/>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27FBF"/>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8191F"/>
    <w:rsid w:val="00183296"/>
    <w:rsid w:val="00183F47"/>
    <w:rsid w:val="00183F49"/>
    <w:rsid w:val="00185898"/>
    <w:rsid w:val="00190D68"/>
    <w:rsid w:val="001914FC"/>
    <w:rsid w:val="00192165"/>
    <w:rsid w:val="0019264A"/>
    <w:rsid w:val="00193B37"/>
    <w:rsid w:val="001948F1"/>
    <w:rsid w:val="00195374"/>
    <w:rsid w:val="001963B3"/>
    <w:rsid w:val="001970D5"/>
    <w:rsid w:val="00197F33"/>
    <w:rsid w:val="001A0E5F"/>
    <w:rsid w:val="001A18A6"/>
    <w:rsid w:val="001A1B78"/>
    <w:rsid w:val="001A3B69"/>
    <w:rsid w:val="001A4021"/>
    <w:rsid w:val="001A4047"/>
    <w:rsid w:val="001A4BDA"/>
    <w:rsid w:val="001A5537"/>
    <w:rsid w:val="001A5CED"/>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0A25"/>
    <w:rsid w:val="002257DD"/>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567D"/>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3BED"/>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9715B"/>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0361"/>
    <w:rsid w:val="003D25D9"/>
    <w:rsid w:val="003D435A"/>
    <w:rsid w:val="003D51BA"/>
    <w:rsid w:val="003D5227"/>
    <w:rsid w:val="003D5DDF"/>
    <w:rsid w:val="003E207B"/>
    <w:rsid w:val="003E2EC3"/>
    <w:rsid w:val="003E6596"/>
    <w:rsid w:val="003F05B2"/>
    <w:rsid w:val="003F14BE"/>
    <w:rsid w:val="003F1F4B"/>
    <w:rsid w:val="003F4BFF"/>
    <w:rsid w:val="003F5F7F"/>
    <w:rsid w:val="003F7A85"/>
    <w:rsid w:val="004005F6"/>
    <w:rsid w:val="00402E26"/>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0D6C"/>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8F6"/>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5FD2"/>
    <w:rsid w:val="005571B6"/>
    <w:rsid w:val="00557284"/>
    <w:rsid w:val="0055767A"/>
    <w:rsid w:val="0055797C"/>
    <w:rsid w:val="00557B2F"/>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08"/>
    <w:rsid w:val="00596FBA"/>
    <w:rsid w:val="005971EF"/>
    <w:rsid w:val="005A0121"/>
    <w:rsid w:val="005A0D62"/>
    <w:rsid w:val="005A1256"/>
    <w:rsid w:val="005A3415"/>
    <w:rsid w:val="005A358D"/>
    <w:rsid w:val="005A4202"/>
    <w:rsid w:val="005A44CC"/>
    <w:rsid w:val="005A5919"/>
    <w:rsid w:val="005A70F2"/>
    <w:rsid w:val="005B04B7"/>
    <w:rsid w:val="005B17EF"/>
    <w:rsid w:val="005B22D8"/>
    <w:rsid w:val="005B2369"/>
    <w:rsid w:val="005B2C49"/>
    <w:rsid w:val="005B5989"/>
    <w:rsid w:val="005B6FE6"/>
    <w:rsid w:val="005C0603"/>
    <w:rsid w:val="005C095F"/>
    <w:rsid w:val="005C4735"/>
    <w:rsid w:val="005C5CE2"/>
    <w:rsid w:val="005C5DD0"/>
    <w:rsid w:val="005D2029"/>
    <w:rsid w:val="005D206C"/>
    <w:rsid w:val="005D291B"/>
    <w:rsid w:val="005D446B"/>
    <w:rsid w:val="005D5E8B"/>
    <w:rsid w:val="005D6BA3"/>
    <w:rsid w:val="005D706D"/>
    <w:rsid w:val="005D7B21"/>
    <w:rsid w:val="005E2011"/>
    <w:rsid w:val="005E244D"/>
    <w:rsid w:val="005E4BE2"/>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2336A"/>
    <w:rsid w:val="0062673B"/>
    <w:rsid w:val="006334FE"/>
    <w:rsid w:val="006343CA"/>
    <w:rsid w:val="006360F3"/>
    <w:rsid w:val="006366E7"/>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94A24"/>
    <w:rsid w:val="006A087C"/>
    <w:rsid w:val="006A14F7"/>
    <w:rsid w:val="006A3B00"/>
    <w:rsid w:val="006A4059"/>
    <w:rsid w:val="006A44D6"/>
    <w:rsid w:val="006A5C12"/>
    <w:rsid w:val="006A67AC"/>
    <w:rsid w:val="006A6C21"/>
    <w:rsid w:val="006A71BC"/>
    <w:rsid w:val="006A7C36"/>
    <w:rsid w:val="006A7E7A"/>
    <w:rsid w:val="006B050D"/>
    <w:rsid w:val="006B10F7"/>
    <w:rsid w:val="006B16C0"/>
    <w:rsid w:val="006B1701"/>
    <w:rsid w:val="006B1802"/>
    <w:rsid w:val="006B4157"/>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723"/>
    <w:rsid w:val="00705947"/>
    <w:rsid w:val="00706316"/>
    <w:rsid w:val="00707594"/>
    <w:rsid w:val="007128AB"/>
    <w:rsid w:val="00713005"/>
    <w:rsid w:val="0071481B"/>
    <w:rsid w:val="00717C5B"/>
    <w:rsid w:val="007208E6"/>
    <w:rsid w:val="00720E25"/>
    <w:rsid w:val="007211B3"/>
    <w:rsid w:val="00724674"/>
    <w:rsid w:val="007248ED"/>
    <w:rsid w:val="007249EC"/>
    <w:rsid w:val="00726569"/>
    <w:rsid w:val="00727DF4"/>
    <w:rsid w:val="00730BF1"/>
    <w:rsid w:val="0073110A"/>
    <w:rsid w:val="0073490C"/>
    <w:rsid w:val="007353C5"/>
    <w:rsid w:val="00736401"/>
    <w:rsid w:val="0073703C"/>
    <w:rsid w:val="00737D43"/>
    <w:rsid w:val="007403B7"/>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57E4"/>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23B5"/>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1CF1"/>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5869"/>
    <w:rsid w:val="00886472"/>
    <w:rsid w:val="00890CD5"/>
    <w:rsid w:val="00891C3D"/>
    <w:rsid w:val="0089325D"/>
    <w:rsid w:val="008958BF"/>
    <w:rsid w:val="008958F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0943"/>
    <w:rsid w:val="009412C3"/>
    <w:rsid w:val="00941B45"/>
    <w:rsid w:val="009453B8"/>
    <w:rsid w:val="00945420"/>
    <w:rsid w:val="009458D0"/>
    <w:rsid w:val="009472C1"/>
    <w:rsid w:val="009507DA"/>
    <w:rsid w:val="0095193A"/>
    <w:rsid w:val="009551EE"/>
    <w:rsid w:val="00955749"/>
    <w:rsid w:val="00955A0D"/>
    <w:rsid w:val="0095675D"/>
    <w:rsid w:val="00957774"/>
    <w:rsid w:val="00960D03"/>
    <w:rsid w:val="0096289D"/>
    <w:rsid w:val="00964A46"/>
    <w:rsid w:val="00965F6B"/>
    <w:rsid w:val="00970301"/>
    <w:rsid w:val="0097327A"/>
    <w:rsid w:val="00976BE2"/>
    <w:rsid w:val="009805B0"/>
    <w:rsid w:val="0098081D"/>
    <w:rsid w:val="009815F6"/>
    <w:rsid w:val="009827A4"/>
    <w:rsid w:val="00982D34"/>
    <w:rsid w:val="00982DFC"/>
    <w:rsid w:val="00983188"/>
    <w:rsid w:val="00983557"/>
    <w:rsid w:val="009859D4"/>
    <w:rsid w:val="00986657"/>
    <w:rsid w:val="00986768"/>
    <w:rsid w:val="00986E3B"/>
    <w:rsid w:val="009875DF"/>
    <w:rsid w:val="00987A62"/>
    <w:rsid w:val="00991204"/>
    <w:rsid w:val="00992972"/>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3C63"/>
    <w:rsid w:val="009B651C"/>
    <w:rsid w:val="009B6B5E"/>
    <w:rsid w:val="009B7082"/>
    <w:rsid w:val="009C34AF"/>
    <w:rsid w:val="009C4CCB"/>
    <w:rsid w:val="009C5009"/>
    <w:rsid w:val="009C5483"/>
    <w:rsid w:val="009C71BB"/>
    <w:rsid w:val="009D53D2"/>
    <w:rsid w:val="009D5E39"/>
    <w:rsid w:val="009D7C40"/>
    <w:rsid w:val="009E264A"/>
    <w:rsid w:val="009E357E"/>
    <w:rsid w:val="009E42C0"/>
    <w:rsid w:val="009E47B6"/>
    <w:rsid w:val="009E6229"/>
    <w:rsid w:val="009E6631"/>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6140F"/>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27C"/>
    <w:rsid w:val="00AA7A61"/>
    <w:rsid w:val="00AB22F9"/>
    <w:rsid w:val="00AB44A0"/>
    <w:rsid w:val="00AB566F"/>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017"/>
    <w:rsid w:val="00B30B31"/>
    <w:rsid w:val="00B333CE"/>
    <w:rsid w:val="00B342AF"/>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0A6C"/>
    <w:rsid w:val="00B7242F"/>
    <w:rsid w:val="00B72EEF"/>
    <w:rsid w:val="00B73DE4"/>
    <w:rsid w:val="00B768D4"/>
    <w:rsid w:val="00B77116"/>
    <w:rsid w:val="00B81C95"/>
    <w:rsid w:val="00B81D1E"/>
    <w:rsid w:val="00B84466"/>
    <w:rsid w:val="00B84875"/>
    <w:rsid w:val="00B86067"/>
    <w:rsid w:val="00B87AD3"/>
    <w:rsid w:val="00B930D3"/>
    <w:rsid w:val="00B93552"/>
    <w:rsid w:val="00B94D93"/>
    <w:rsid w:val="00B958C4"/>
    <w:rsid w:val="00B96235"/>
    <w:rsid w:val="00B96756"/>
    <w:rsid w:val="00B97AAA"/>
    <w:rsid w:val="00BA1382"/>
    <w:rsid w:val="00BA1ED7"/>
    <w:rsid w:val="00BA7166"/>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80A"/>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8E3"/>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8C1"/>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58C8"/>
    <w:rsid w:val="00E159CF"/>
    <w:rsid w:val="00E174AF"/>
    <w:rsid w:val="00E177D1"/>
    <w:rsid w:val="00E17ECA"/>
    <w:rsid w:val="00E20A9B"/>
    <w:rsid w:val="00E21DC9"/>
    <w:rsid w:val="00E25C10"/>
    <w:rsid w:val="00E25D91"/>
    <w:rsid w:val="00E2776E"/>
    <w:rsid w:val="00E279BC"/>
    <w:rsid w:val="00E319A0"/>
    <w:rsid w:val="00E34A1E"/>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6539"/>
    <w:rsid w:val="00E876AF"/>
    <w:rsid w:val="00E90D10"/>
    <w:rsid w:val="00E90F12"/>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57EC"/>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465"/>
    <w:rsid w:val="00FD7872"/>
    <w:rsid w:val="00FD7BC0"/>
    <w:rsid w:val="00FD7D63"/>
    <w:rsid w:val="00FE0300"/>
    <w:rsid w:val="00FE1662"/>
    <w:rsid w:val="00FE184E"/>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eimas.lrs.lt/portal/legalAct/lt/TAD/aa6df172470511e7b465dc41e35792b9/tXgWzrTLL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ur-lex.europa.eu/LexUriServ/LexUriServ.do?uri=OJ:L:2012:315:0001:0056:L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imas.lrs.lt/portal/legalAct/lt/TAD/TAIS.429490/ywvsRQhuqs" TargetMode="External"/><Relationship Id="rId5" Type="http://schemas.openxmlformats.org/officeDocument/2006/relationships/settings" Target="settings.xml"/><Relationship Id="rId15" Type="http://schemas.openxmlformats.org/officeDocument/2006/relationships/hyperlink" Target="https://eur-lex.europa.eu/LexUriServ/LexUriServ.do?uri=OJ:L:2012:315:0001:0056:LT:PDF" TargetMode="External"/><Relationship Id="rId10" Type="http://schemas.openxmlformats.org/officeDocument/2006/relationships/hyperlink" Target="https://www.e-tar.lt/portal/lt/legalAct/151b04b0793411e49adea948c356b2ec/uTXhQOlKck" TargetMode="External"/><Relationship Id="rId4" Type="http://schemas.microsoft.com/office/2007/relationships/stylesWithEffects" Target="stylesWithEffects.xml"/><Relationship Id="rId9" Type="http://schemas.openxmlformats.org/officeDocument/2006/relationships/hyperlink" Target="https://e-seimas.lrs.lt/portal/legalAct/lt/TAD/TAIS.429490/ywvsRQhuqs" TargetMode="External"/><Relationship Id="rId14" Type="http://schemas.openxmlformats.org/officeDocument/2006/relationships/hyperlink" Target="https://e-seimas.lrs.lt/portal/legalAct/lt/TAD/TAIS.193758/gpJuQVEg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DFA4-2200-4A95-BA09-ACADFC9E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981</Words>
  <Characters>8435</Characters>
  <Application>Microsoft Office Word</Application>
  <DocSecurity>0</DocSecurity>
  <Lines>70</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9</cp:revision>
  <cp:lastPrinted>2018-09-06T13:53:00Z</cp:lastPrinted>
  <dcterms:created xsi:type="dcterms:W3CDTF">2018-09-04T06:10:00Z</dcterms:created>
  <dcterms:modified xsi:type="dcterms:W3CDTF">2018-09-06T13:53:00Z</dcterms:modified>
</cp:coreProperties>
</file>