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3A582" w14:textId="77777777" w:rsidR="00044027" w:rsidRPr="00F61E65" w:rsidRDefault="00044027">
      <w:pPr>
        <w:jc w:val="left"/>
        <w:rPr>
          <w:lang w:val="lt-LT"/>
        </w:rPr>
      </w:pPr>
    </w:p>
    <w:p w14:paraId="77E3A583"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77E3A584" w14:textId="77777777" w:rsidR="00E319A0" w:rsidRPr="00F61E65" w:rsidRDefault="00E319A0">
      <w:pPr>
        <w:spacing w:line="240" w:lineRule="exact"/>
        <w:jc w:val="center"/>
        <w:rPr>
          <w:lang w:val="lt-LT"/>
        </w:rPr>
      </w:pPr>
    </w:p>
    <w:p w14:paraId="77E3A585" w14:textId="5CF8D48E" w:rsidR="00E319A0" w:rsidRPr="00F61E65" w:rsidRDefault="00804349">
      <w:pPr>
        <w:spacing w:line="240" w:lineRule="exact"/>
        <w:jc w:val="center"/>
        <w:rPr>
          <w:lang w:val="lt-LT"/>
        </w:rPr>
      </w:pPr>
      <w:r w:rsidRPr="00F61E65">
        <w:rPr>
          <w:lang w:val="lt-LT"/>
        </w:rPr>
        <w:t>20</w:t>
      </w:r>
      <w:r w:rsidR="00252D58">
        <w:rPr>
          <w:lang w:val="lt-LT"/>
        </w:rPr>
        <w:t>18</w:t>
      </w:r>
      <w:r w:rsidR="00E319A0" w:rsidRPr="00F61E65">
        <w:rPr>
          <w:lang w:val="lt-LT"/>
        </w:rPr>
        <w:t xml:space="preserve"> m. </w:t>
      </w:r>
      <w:r w:rsidR="00B62AEA">
        <w:rPr>
          <w:lang w:val="lt-LT"/>
        </w:rPr>
        <w:t>spalio</w:t>
      </w:r>
      <w:r w:rsidR="001D1F63">
        <w:rPr>
          <w:lang w:val="lt-LT"/>
        </w:rPr>
        <w:t xml:space="preserve"> </w:t>
      </w:r>
      <w:r w:rsidR="00B62AEA">
        <w:rPr>
          <w:lang w:val="lt-LT"/>
        </w:rPr>
        <w:t>17</w:t>
      </w:r>
      <w:r w:rsidR="001D1F63">
        <w:rPr>
          <w:lang w:val="lt-LT"/>
        </w:rPr>
        <w:t xml:space="preserve"> </w:t>
      </w:r>
      <w:r w:rsidR="00E319A0" w:rsidRPr="00F61E65">
        <w:rPr>
          <w:lang w:val="lt-LT"/>
        </w:rPr>
        <w:t>d.</w:t>
      </w:r>
    </w:p>
    <w:p w14:paraId="77E3A586" w14:textId="77777777" w:rsidR="00084E8B" w:rsidRPr="00F61E65" w:rsidRDefault="00084E8B" w:rsidP="001E1A85">
      <w:pPr>
        <w:spacing w:line="240" w:lineRule="exact"/>
        <w:jc w:val="left"/>
        <w:rPr>
          <w:bCs/>
          <w:i/>
          <w:lang w:val="lt-LT" w:eastAsia="lt-LT"/>
        </w:rPr>
      </w:pPr>
    </w:p>
    <w:p w14:paraId="77E3A587"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31"/>
        <w:gridCol w:w="8855"/>
        <w:gridCol w:w="20"/>
      </w:tblGrid>
      <w:tr w:rsidR="00167B07" w:rsidRPr="00511C3B" w14:paraId="77E3A58A" w14:textId="77777777" w:rsidTr="00E52A24">
        <w:tc>
          <w:tcPr>
            <w:tcW w:w="6253" w:type="dxa"/>
            <w:gridSpan w:val="2"/>
            <w:shd w:val="clear" w:color="auto" w:fill="auto"/>
          </w:tcPr>
          <w:p w14:paraId="77E3A588"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874" w:type="dxa"/>
            <w:gridSpan w:val="2"/>
            <w:shd w:val="clear" w:color="auto" w:fill="auto"/>
          </w:tcPr>
          <w:p w14:paraId="77E3A589" w14:textId="77777777" w:rsidR="00167B07" w:rsidRPr="00F61E65" w:rsidRDefault="00252D58" w:rsidP="00BF2B8B">
            <w:pPr>
              <w:jc w:val="left"/>
              <w:rPr>
                <w:lang w:val="lt-LT"/>
              </w:rPr>
            </w:pPr>
            <w:r w:rsidRPr="000E0C7E">
              <w:rPr>
                <w:lang w:val="lt-LT"/>
              </w:rPr>
              <w:t>Lietuvos Respublikos susisiekimo ministerija</w:t>
            </w:r>
          </w:p>
        </w:tc>
      </w:tr>
      <w:tr w:rsidR="00804349" w:rsidRPr="00F61E65" w14:paraId="77E3A58D" w14:textId="77777777" w:rsidTr="00E52A24">
        <w:tc>
          <w:tcPr>
            <w:tcW w:w="6253" w:type="dxa"/>
            <w:gridSpan w:val="2"/>
            <w:shd w:val="clear" w:color="auto" w:fill="auto"/>
          </w:tcPr>
          <w:p w14:paraId="77E3A58B"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8874" w:type="dxa"/>
            <w:gridSpan w:val="2"/>
            <w:shd w:val="clear" w:color="auto" w:fill="auto"/>
          </w:tcPr>
          <w:p w14:paraId="77E3A58C" w14:textId="77777777" w:rsidR="00804349" w:rsidRPr="00F61E65" w:rsidRDefault="00252D58" w:rsidP="00BF2B8B">
            <w:pPr>
              <w:jc w:val="left"/>
              <w:rPr>
                <w:lang w:val="lt-LT"/>
              </w:rPr>
            </w:pPr>
            <w:r w:rsidRPr="000E0C7E">
              <w:rPr>
                <w:lang w:val="lt-LT"/>
              </w:rPr>
              <w:t>6 prioritetas „Darn</w:t>
            </w:r>
            <w:r>
              <w:rPr>
                <w:lang w:val="lt-LT"/>
              </w:rPr>
              <w:t>aus</w:t>
            </w:r>
            <w:r w:rsidRPr="000E0C7E">
              <w:rPr>
                <w:lang w:val="lt-LT"/>
              </w:rPr>
              <w:t xml:space="preserve"> transporto</w:t>
            </w:r>
            <w:r>
              <w:rPr>
                <w:lang w:val="lt-LT"/>
              </w:rPr>
              <w:t xml:space="preserve"> ir</w:t>
            </w:r>
            <w:r w:rsidRPr="000E0C7E">
              <w:rPr>
                <w:lang w:val="lt-LT"/>
              </w:rPr>
              <w:t xml:space="preserve"> pagrindinių tinklų infrastruktūros </w:t>
            </w:r>
            <w:r>
              <w:rPr>
                <w:lang w:val="lt-LT"/>
              </w:rPr>
              <w:t>plėtra</w:t>
            </w:r>
            <w:r w:rsidRPr="000E0C7E">
              <w:rPr>
                <w:lang w:val="lt-LT"/>
              </w:rPr>
              <w:t>“</w:t>
            </w:r>
          </w:p>
        </w:tc>
      </w:tr>
      <w:tr w:rsidR="007331C7" w:rsidRPr="00F61E65" w14:paraId="77E3A590" w14:textId="77777777" w:rsidTr="00E52A24">
        <w:tc>
          <w:tcPr>
            <w:tcW w:w="6253" w:type="dxa"/>
            <w:gridSpan w:val="2"/>
            <w:shd w:val="clear" w:color="auto" w:fill="auto"/>
          </w:tcPr>
          <w:p w14:paraId="77E3A58E" w14:textId="77777777" w:rsidR="007331C7" w:rsidRPr="00F61E65" w:rsidRDefault="007331C7" w:rsidP="007331C7">
            <w:pPr>
              <w:spacing w:line="240" w:lineRule="auto"/>
              <w:jc w:val="left"/>
              <w:rPr>
                <w:b/>
                <w:lang w:val="lt-LT"/>
              </w:rPr>
            </w:pPr>
            <w:r w:rsidRPr="00F61E65">
              <w:rPr>
                <w:b/>
                <w:lang w:val="lt-LT"/>
              </w:rPr>
              <w:t>Veiksmų programos konkretaus uždavinio numeris ir pavadinimas:</w:t>
            </w:r>
          </w:p>
        </w:tc>
        <w:tc>
          <w:tcPr>
            <w:tcW w:w="8874" w:type="dxa"/>
            <w:gridSpan w:val="2"/>
            <w:shd w:val="clear" w:color="auto" w:fill="auto"/>
          </w:tcPr>
          <w:p w14:paraId="77E3A58F" w14:textId="67D8583D" w:rsidR="007331C7" w:rsidRPr="00F61E65" w:rsidRDefault="007331C7" w:rsidP="007331C7">
            <w:pPr>
              <w:jc w:val="left"/>
              <w:rPr>
                <w:lang w:val="lt-LT"/>
              </w:rPr>
            </w:pPr>
            <w:r w:rsidRPr="000E0C7E">
              <w:rPr>
                <w:lang w:val="lt-LT"/>
              </w:rPr>
              <w:t>6.</w:t>
            </w:r>
            <w:r>
              <w:rPr>
                <w:lang w:val="lt-LT"/>
              </w:rPr>
              <w:t>2</w:t>
            </w:r>
            <w:r w:rsidRPr="000E0C7E">
              <w:rPr>
                <w:lang w:val="lt-LT"/>
              </w:rPr>
              <w:t>.1 konkretus uždavinys „</w:t>
            </w:r>
            <w:r w:rsidRPr="00722FE7">
              <w:rPr>
                <w:lang w:val="lt-LT"/>
              </w:rPr>
              <w:t xml:space="preserve">Padidinti regionų </w:t>
            </w:r>
            <w:proofErr w:type="spellStart"/>
            <w:r w:rsidRPr="00722FE7">
              <w:rPr>
                <w:lang w:val="lt-LT"/>
              </w:rPr>
              <w:t>judumą</w:t>
            </w:r>
            <w:proofErr w:type="spellEnd"/>
            <w:r w:rsidRPr="00722FE7">
              <w:rPr>
                <w:lang w:val="lt-LT"/>
              </w:rPr>
              <w:t xml:space="preserve"> plėtojant regionų jungtis su pagrindiniu šalies transporto tinklu ir diegiant eismo saugos priemones</w:t>
            </w:r>
            <w:r w:rsidRPr="000E0C7E">
              <w:rPr>
                <w:lang w:val="lt-LT"/>
              </w:rPr>
              <w:t>“</w:t>
            </w:r>
          </w:p>
        </w:tc>
      </w:tr>
      <w:tr w:rsidR="007331C7" w:rsidRPr="00F61E65" w14:paraId="77E3A593" w14:textId="77777777" w:rsidTr="00E52A24">
        <w:tc>
          <w:tcPr>
            <w:tcW w:w="6253" w:type="dxa"/>
            <w:gridSpan w:val="2"/>
            <w:shd w:val="clear" w:color="auto" w:fill="auto"/>
          </w:tcPr>
          <w:p w14:paraId="77E3A591" w14:textId="77777777" w:rsidR="007331C7" w:rsidRPr="00F61E65" w:rsidRDefault="007331C7" w:rsidP="007331C7">
            <w:pPr>
              <w:spacing w:line="240" w:lineRule="auto"/>
              <w:jc w:val="left"/>
              <w:rPr>
                <w:b/>
                <w:lang w:val="lt-LT"/>
              </w:rPr>
            </w:pPr>
            <w:r w:rsidRPr="00F61E65">
              <w:rPr>
                <w:b/>
                <w:lang w:val="lt-LT"/>
              </w:rPr>
              <w:t>Veiksmų programos įgyvendinimo priemonės (toliau – priemonė) kodas ir pavadinimas:</w:t>
            </w:r>
          </w:p>
        </w:tc>
        <w:tc>
          <w:tcPr>
            <w:tcW w:w="8874" w:type="dxa"/>
            <w:gridSpan w:val="2"/>
            <w:shd w:val="clear" w:color="auto" w:fill="auto"/>
          </w:tcPr>
          <w:p w14:paraId="77E3A592" w14:textId="20CF6173" w:rsidR="007331C7" w:rsidRPr="00F61E65" w:rsidRDefault="007331C7" w:rsidP="007331C7">
            <w:pPr>
              <w:jc w:val="left"/>
              <w:rPr>
                <w:lang w:val="lt-LT"/>
              </w:rPr>
            </w:pPr>
            <w:r w:rsidRPr="000E0C7E">
              <w:rPr>
                <w:lang w:val="lt-LT" w:eastAsia="lt-LT"/>
              </w:rPr>
              <w:t>06.</w:t>
            </w:r>
            <w:r>
              <w:rPr>
                <w:lang w:val="lt-LT" w:eastAsia="lt-LT"/>
              </w:rPr>
              <w:t>2</w:t>
            </w:r>
            <w:r w:rsidRPr="000E0C7E">
              <w:rPr>
                <w:lang w:val="lt-LT" w:eastAsia="lt-LT"/>
              </w:rPr>
              <w:t>.1-TID-V-50</w:t>
            </w:r>
            <w:r>
              <w:rPr>
                <w:lang w:val="lt-LT" w:eastAsia="lt-LT"/>
              </w:rPr>
              <w:t>8</w:t>
            </w:r>
            <w:r w:rsidRPr="000E0C7E">
              <w:rPr>
                <w:lang w:val="lt-LT" w:eastAsia="lt-LT"/>
              </w:rPr>
              <w:t xml:space="preserve"> </w:t>
            </w:r>
            <w:r w:rsidRPr="000E0C7E">
              <w:rPr>
                <w:lang w:val="lt-LT"/>
              </w:rPr>
              <w:t>priemonė „</w:t>
            </w:r>
            <w:r w:rsidRPr="00A84BE8">
              <w:rPr>
                <w:lang w:val="lt-LT"/>
              </w:rPr>
              <w:t>Vieno lygio eismo sankirtų eliminavimas</w:t>
            </w:r>
            <w:r w:rsidRPr="000E0C7E">
              <w:rPr>
                <w:lang w:val="lt-LT"/>
              </w:rPr>
              <w:t>“</w:t>
            </w:r>
          </w:p>
        </w:tc>
      </w:tr>
      <w:tr w:rsidR="00E52A24" w:rsidRPr="00511C3B" w14:paraId="77E3A596" w14:textId="77777777" w:rsidTr="00E52A24">
        <w:tc>
          <w:tcPr>
            <w:tcW w:w="6253" w:type="dxa"/>
            <w:gridSpan w:val="2"/>
            <w:shd w:val="clear" w:color="auto" w:fill="auto"/>
          </w:tcPr>
          <w:p w14:paraId="77E3A594" w14:textId="77777777" w:rsidR="00E52A24" w:rsidRPr="00F61E65" w:rsidRDefault="00E52A24" w:rsidP="00E52A24">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mln. Eur</w:t>
            </w:r>
            <w:r w:rsidRPr="00F61E65">
              <w:rPr>
                <w:b/>
                <w:lang w:val="lt-LT"/>
              </w:rPr>
              <w:t>:</w:t>
            </w:r>
          </w:p>
        </w:tc>
        <w:tc>
          <w:tcPr>
            <w:tcW w:w="8874" w:type="dxa"/>
            <w:gridSpan w:val="2"/>
            <w:shd w:val="clear" w:color="auto" w:fill="auto"/>
          </w:tcPr>
          <w:p w14:paraId="77E3A595" w14:textId="502A9F3C" w:rsidR="00E52A24" w:rsidRPr="007331C7" w:rsidRDefault="007331C7" w:rsidP="00E52A24">
            <w:pPr>
              <w:jc w:val="left"/>
              <w:rPr>
                <w:b/>
                <w:i/>
                <w:lang w:val="lt-LT"/>
              </w:rPr>
            </w:pPr>
            <w:r w:rsidRPr="007331C7">
              <w:rPr>
                <w:b/>
                <w:bCs/>
                <w:lang w:val="lt-LT" w:eastAsia="lt-LT"/>
              </w:rPr>
              <w:t>50,99</w:t>
            </w:r>
          </w:p>
        </w:tc>
      </w:tr>
      <w:tr w:rsidR="002C2B77" w:rsidRPr="00F61E65" w14:paraId="77E3A59B" w14:textId="77777777" w:rsidTr="00E52A24">
        <w:tc>
          <w:tcPr>
            <w:tcW w:w="6253" w:type="dxa"/>
            <w:gridSpan w:val="2"/>
            <w:tcBorders>
              <w:bottom w:val="single" w:sz="4" w:space="0" w:color="auto"/>
            </w:tcBorders>
            <w:shd w:val="clear" w:color="auto" w:fill="auto"/>
          </w:tcPr>
          <w:p w14:paraId="77E3A597" w14:textId="77777777" w:rsidR="002C2B77" w:rsidRPr="00F61E65" w:rsidRDefault="002C2B77" w:rsidP="001232ED">
            <w:pPr>
              <w:spacing w:line="240" w:lineRule="auto"/>
              <w:rPr>
                <w:b/>
                <w:lang w:val="lt-LT"/>
              </w:rPr>
            </w:pPr>
            <w:r w:rsidRPr="00F61E65">
              <w:rPr>
                <w:b/>
                <w:lang w:val="lt-LT"/>
              </w:rPr>
              <w:t>Pagal priemonę remiamos veiklos:</w:t>
            </w:r>
          </w:p>
        </w:tc>
        <w:tc>
          <w:tcPr>
            <w:tcW w:w="8874" w:type="dxa"/>
            <w:gridSpan w:val="2"/>
            <w:tcBorders>
              <w:bottom w:val="single" w:sz="4" w:space="0" w:color="auto"/>
            </w:tcBorders>
            <w:shd w:val="clear" w:color="auto" w:fill="auto"/>
          </w:tcPr>
          <w:p w14:paraId="7C6E33D5" w14:textId="270AD79D" w:rsidR="006972EC" w:rsidRPr="006972EC" w:rsidRDefault="006972EC" w:rsidP="006972EC">
            <w:pPr>
              <w:widowControl/>
              <w:tabs>
                <w:tab w:val="left" w:pos="0"/>
                <w:tab w:val="left" w:pos="1026"/>
              </w:tabs>
              <w:adjustRightInd/>
              <w:spacing w:line="240" w:lineRule="auto"/>
              <w:contextualSpacing/>
              <w:textAlignment w:val="auto"/>
              <w:rPr>
                <w:lang w:val="lt-LT"/>
              </w:rPr>
            </w:pPr>
            <w:r w:rsidRPr="006972EC">
              <w:rPr>
                <w:lang w:val="lt-LT"/>
              </w:rPr>
              <w:t xml:space="preserve">1. </w:t>
            </w:r>
            <w:r w:rsidR="00066A6A" w:rsidRPr="00066A6A">
              <w:rPr>
                <w:b/>
                <w:lang w:val="lt-LT"/>
              </w:rPr>
              <w:t>Geležinkelio viadukų,</w:t>
            </w:r>
            <w:r w:rsidR="00066A6A">
              <w:rPr>
                <w:lang w:val="lt-LT"/>
              </w:rPr>
              <w:t xml:space="preserve"> </w:t>
            </w:r>
            <w:r w:rsidR="00066A6A" w:rsidRPr="00066A6A">
              <w:rPr>
                <w:b/>
                <w:lang w:val="lt-LT"/>
              </w:rPr>
              <w:t>v</w:t>
            </w:r>
            <w:r w:rsidRPr="006972EC">
              <w:rPr>
                <w:lang w:val="lt-LT"/>
              </w:rPr>
              <w:t>iadukų per geležinkelį ir jų prieigų rekonstrukcija ir statyba;</w:t>
            </w:r>
          </w:p>
          <w:p w14:paraId="2AC77CA0" w14:textId="77777777" w:rsidR="006972EC" w:rsidRPr="006972EC" w:rsidRDefault="006972EC" w:rsidP="006972EC">
            <w:pPr>
              <w:widowControl/>
              <w:tabs>
                <w:tab w:val="left" w:pos="0"/>
                <w:tab w:val="left" w:pos="1026"/>
              </w:tabs>
              <w:adjustRightInd/>
              <w:spacing w:line="240" w:lineRule="auto"/>
              <w:contextualSpacing/>
              <w:textAlignment w:val="auto"/>
              <w:rPr>
                <w:lang w:val="lt-LT"/>
              </w:rPr>
            </w:pPr>
            <w:r w:rsidRPr="006972EC">
              <w:rPr>
                <w:lang w:val="lt-LT"/>
              </w:rPr>
              <w:t>2. Tunelių po geležinkeliu ir jų prieigų rekonstrukcija ir statyba;</w:t>
            </w:r>
          </w:p>
          <w:p w14:paraId="77E3A59A" w14:textId="4204BE8C" w:rsidR="00BF2B8B" w:rsidRPr="00BF2B8B" w:rsidRDefault="006972EC" w:rsidP="006972EC">
            <w:pPr>
              <w:widowControl/>
              <w:tabs>
                <w:tab w:val="left" w:pos="-186"/>
                <w:tab w:val="left" w:pos="239"/>
              </w:tabs>
              <w:adjustRightInd/>
              <w:spacing w:line="240" w:lineRule="auto"/>
              <w:contextualSpacing/>
              <w:textAlignment w:val="auto"/>
              <w:rPr>
                <w:rFonts w:eastAsia="Calibri"/>
                <w:lang w:val="lt-LT"/>
              </w:rPr>
            </w:pPr>
            <w:r w:rsidRPr="006972EC">
              <w:rPr>
                <w:lang w:val="lt-LT"/>
              </w:rPr>
              <w:t xml:space="preserve">3. Eismo organizavimo ir eismo saugos priemonių </w:t>
            </w:r>
            <w:r w:rsidRPr="00066A6A">
              <w:rPr>
                <w:strike/>
                <w:lang w:val="lt-LT"/>
              </w:rPr>
              <w:t>(išskyrus intelektines transporto sistemas)</w:t>
            </w:r>
            <w:r w:rsidRPr="006972EC">
              <w:rPr>
                <w:lang w:val="lt-LT"/>
              </w:rPr>
              <w:t xml:space="preserve"> diegimas geležinkelio perėjose, pervažose ir jų prieigose.</w:t>
            </w:r>
          </w:p>
        </w:tc>
      </w:tr>
      <w:tr w:rsidR="00895B79" w:rsidRPr="00511C3B" w14:paraId="77E3A5A7" w14:textId="77777777" w:rsidTr="00E52A24">
        <w:tc>
          <w:tcPr>
            <w:tcW w:w="6253" w:type="dxa"/>
            <w:gridSpan w:val="2"/>
            <w:tcBorders>
              <w:bottom w:val="single" w:sz="4" w:space="0" w:color="auto"/>
            </w:tcBorders>
            <w:shd w:val="clear" w:color="auto" w:fill="auto"/>
          </w:tcPr>
          <w:p w14:paraId="77E3A59C" w14:textId="77777777"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77E3A59D" w14:textId="77777777" w:rsidR="00EC06D9" w:rsidRPr="00F61E65" w:rsidRDefault="00EC06D9" w:rsidP="001232ED">
            <w:pPr>
              <w:spacing w:line="240" w:lineRule="auto"/>
              <w:rPr>
                <w:b/>
                <w:lang w:val="lt-LT"/>
              </w:rPr>
            </w:pPr>
          </w:p>
        </w:tc>
        <w:tc>
          <w:tcPr>
            <w:tcW w:w="8874" w:type="dxa"/>
            <w:gridSpan w:val="2"/>
            <w:tcBorders>
              <w:bottom w:val="single" w:sz="4" w:space="0" w:color="auto"/>
            </w:tcBorders>
            <w:shd w:val="clear" w:color="auto" w:fill="auto"/>
          </w:tcPr>
          <w:p w14:paraId="77E3A5A4" w14:textId="77777777" w:rsidR="00955749" w:rsidRPr="00122FED" w:rsidRDefault="00955749" w:rsidP="00895B79">
            <w:pPr>
              <w:spacing w:line="240" w:lineRule="auto"/>
              <w:jc w:val="left"/>
              <w:rPr>
                <w:b/>
                <w:bCs/>
                <w:lang w:val="lt-LT" w:eastAsia="lt-LT"/>
              </w:rPr>
            </w:pPr>
            <w:r w:rsidRPr="00122FED">
              <w:rPr>
                <w:b/>
                <w:lang w:val="lt-LT"/>
              </w:rPr>
              <w:t>Stebėsenos komiteto pritarimas nereikalingas</w:t>
            </w:r>
            <w:r w:rsidR="004B7163">
              <w:rPr>
                <w:b/>
                <w:lang w:val="lt-LT"/>
              </w:rPr>
              <w:t>, nes</w:t>
            </w:r>
            <w:r w:rsidR="00122FED" w:rsidRPr="00122FED">
              <w:rPr>
                <w:b/>
                <w:lang w:val="lt-LT"/>
              </w:rPr>
              <w:t>:</w:t>
            </w:r>
          </w:p>
          <w:p w14:paraId="77E3A5A5" w14:textId="77777777" w:rsidR="00955749" w:rsidRDefault="00252D58" w:rsidP="00895B79">
            <w:pPr>
              <w:spacing w:line="240" w:lineRule="auto"/>
              <w:jc w:val="left"/>
              <w:rPr>
                <w:lang w:val="lt-LT"/>
              </w:rPr>
            </w:pPr>
            <w:r>
              <w:rPr>
                <w:b/>
                <w:bCs/>
                <w:lang w:val="lt-LT" w:eastAsia="lt-LT"/>
              </w:rPr>
              <w:t>x</w:t>
            </w:r>
            <w:r w:rsidR="00EC06D9">
              <w:rPr>
                <w:b/>
                <w:bCs/>
                <w:lang w:val="lt-LT" w:eastAsia="lt-LT"/>
              </w:rPr>
              <w:t xml:space="preserve">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14:paraId="77E3A5A6" w14:textId="77777777" w:rsidR="00EC06D9" w:rsidRPr="00252D58" w:rsidRDefault="00955749" w:rsidP="00252D58">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tc>
      </w:tr>
      <w:tr w:rsidR="002C2B77" w:rsidRPr="00511C3B" w14:paraId="77E3A5AE" w14:textId="77777777" w:rsidTr="00E52A24">
        <w:tc>
          <w:tcPr>
            <w:tcW w:w="6253" w:type="dxa"/>
            <w:gridSpan w:val="2"/>
            <w:tcBorders>
              <w:bottom w:val="single" w:sz="12" w:space="0" w:color="auto"/>
            </w:tcBorders>
            <w:shd w:val="clear" w:color="auto" w:fill="auto"/>
          </w:tcPr>
          <w:p w14:paraId="77E3A5A8" w14:textId="77777777"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8874" w:type="dxa"/>
            <w:gridSpan w:val="2"/>
            <w:tcBorders>
              <w:bottom w:val="single" w:sz="12" w:space="0" w:color="auto"/>
            </w:tcBorders>
            <w:shd w:val="clear" w:color="auto" w:fill="auto"/>
          </w:tcPr>
          <w:p w14:paraId="77E3A5A9" w14:textId="77777777" w:rsidR="002C2B77" w:rsidRPr="00F61E65" w:rsidRDefault="00252D58" w:rsidP="00044027">
            <w:pPr>
              <w:spacing w:line="240" w:lineRule="auto"/>
              <w:jc w:val="left"/>
              <w:rPr>
                <w:lang w:val="lt-LT"/>
              </w:rPr>
            </w:pPr>
            <w:r>
              <w:rPr>
                <w:b/>
                <w:bCs/>
                <w:lang w:val="lt-LT" w:eastAsia="lt-LT"/>
              </w:rPr>
              <w:t>x</w:t>
            </w:r>
            <w:r w:rsidR="002C2B77" w:rsidRPr="00F61E65">
              <w:rPr>
                <w:lang w:val="lt-LT"/>
              </w:rPr>
              <w:t xml:space="preserve"> Valstybės projektų planavimas</w:t>
            </w:r>
          </w:p>
          <w:p w14:paraId="77E3A5AA"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77E3A5AB"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77E3A5AC" w14:textId="77777777" w:rsidR="002C2B77"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77E3A5AD" w14:textId="77777777" w:rsidR="001F59A3" w:rsidRPr="00252D58"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E52A24" w:rsidRPr="00F61E65" w14:paraId="77E3A5B5" w14:textId="77777777" w:rsidTr="00CD7B12">
        <w:trPr>
          <w:gridAfter w:val="1"/>
          <w:wAfter w:w="20" w:type="dxa"/>
        </w:trPr>
        <w:tc>
          <w:tcPr>
            <w:tcW w:w="6222" w:type="dxa"/>
            <w:tcBorders>
              <w:top w:val="single" w:sz="12" w:space="0" w:color="auto"/>
              <w:left w:val="single" w:sz="12" w:space="0" w:color="auto"/>
              <w:bottom w:val="single" w:sz="2" w:space="0" w:color="auto"/>
              <w:right w:val="single" w:sz="2" w:space="0" w:color="auto"/>
            </w:tcBorders>
            <w:shd w:val="clear" w:color="auto" w:fill="auto"/>
          </w:tcPr>
          <w:p w14:paraId="77E3A5B0" w14:textId="77777777" w:rsidR="00E52A24" w:rsidRPr="001232ED" w:rsidRDefault="00E52A24" w:rsidP="00E52A24">
            <w:pPr>
              <w:rPr>
                <w:b/>
                <w:bCs/>
                <w:sz w:val="22"/>
                <w:szCs w:val="22"/>
                <w:lang w:val="lt-LT" w:eastAsia="lt-LT"/>
              </w:rPr>
            </w:pPr>
            <w:r>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77E3A5B1" w14:textId="77777777" w:rsidR="00E52A24" w:rsidRPr="001232ED" w:rsidRDefault="00E52A24" w:rsidP="00E52A24">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77E3A5B2" w14:textId="77777777" w:rsidR="00E52A24" w:rsidRPr="00F61E65" w:rsidRDefault="00E52A24" w:rsidP="00E52A24">
            <w:pPr>
              <w:rPr>
                <w:b/>
                <w:bCs/>
                <w:lang w:val="lt-LT" w:eastAsia="lt-LT"/>
              </w:rPr>
            </w:pPr>
          </w:p>
        </w:tc>
        <w:tc>
          <w:tcPr>
            <w:tcW w:w="8885" w:type="dxa"/>
            <w:gridSpan w:val="2"/>
            <w:tcBorders>
              <w:top w:val="single" w:sz="12" w:space="0" w:color="auto"/>
              <w:left w:val="single" w:sz="2" w:space="0" w:color="auto"/>
              <w:bottom w:val="single" w:sz="2" w:space="0" w:color="auto"/>
              <w:right w:val="single" w:sz="12" w:space="0" w:color="auto"/>
            </w:tcBorders>
            <w:shd w:val="clear" w:color="auto" w:fill="auto"/>
          </w:tcPr>
          <w:p w14:paraId="2A093B38" w14:textId="77777777" w:rsidR="00B774EC" w:rsidRDefault="00B774EC" w:rsidP="00237D96">
            <w:pPr>
              <w:rPr>
                <w:b/>
                <w:bCs/>
                <w:lang w:val="lt-LT" w:eastAsia="lt-LT"/>
              </w:rPr>
            </w:pPr>
          </w:p>
          <w:p w14:paraId="77E3A5B4" w14:textId="295505BB" w:rsidR="00E52A24" w:rsidRPr="00F61E65" w:rsidRDefault="00E52A24" w:rsidP="00237D96">
            <w:pPr>
              <w:rPr>
                <w:lang w:val="lt-LT"/>
              </w:rPr>
            </w:pPr>
            <w:r>
              <w:rPr>
                <w:b/>
                <w:bCs/>
                <w:lang w:val="lt-LT" w:eastAsia="lt-LT"/>
              </w:rPr>
              <w:t xml:space="preserve">Patvirtintas Stebėsenos komiteto 2015 m. </w:t>
            </w:r>
            <w:r w:rsidR="00237D96">
              <w:rPr>
                <w:b/>
                <w:bCs/>
                <w:lang w:val="lt-LT" w:eastAsia="lt-LT"/>
              </w:rPr>
              <w:t>liepos</w:t>
            </w:r>
            <w:r>
              <w:rPr>
                <w:b/>
                <w:bCs/>
                <w:lang w:val="lt-LT" w:eastAsia="lt-LT"/>
              </w:rPr>
              <w:t xml:space="preserve"> </w:t>
            </w:r>
            <w:r w:rsidR="00237D96">
              <w:rPr>
                <w:b/>
                <w:bCs/>
                <w:lang w:val="lt-LT" w:eastAsia="lt-LT"/>
              </w:rPr>
              <w:t>9</w:t>
            </w:r>
            <w:r>
              <w:rPr>
                <w:b/>
                <w:bCs/>
                <w:lang w:val="lt-LT" w:eastAsia="lt-LT"/>
              </w:rPr>
              <w:t xml:space="preserve"> d. nutarimu </w:t>
            </w:r>
            <w:proofErr w:type="spellStart"/>
            <w:r w:rsidRPr="00237D96">
              <w:rPr>
                <w:b/>
                <w:bCs/>
                <w:lang w:eastAsia="lt-LT"/>
              </w:rPr>
              <w:t>Nr</w:t>
            </w:r>
            <w:proofErr w:type="spellEnd"/>
            <w:r w:rsidRPr="00237D96">
              <w:rPr>
                <w:b/>
                <w:bCs/>
                <w:lang w:eastAsia="lt-LT"/>
              </w:rPr>
              <w:t>. 44P-</w:t>
            </w:r>
            <w:r w:rsidR="00237D96" w:rsidRPr="00237D96">
              <w:rPr>
                <w:b/>
                <w:bCs/>
                <w:lang w:eastAsia="lt-LT"/>
              </w:rPr>
              <w:t>6</w:t>
            </w:r>
            <w:r w:rsidRPr="00237D96">
              <w:rPr>
                <w:b/>
                <w:bCs/>
                <w:lang w:eastAsia="lt-LT"/>
              </w:rPr>
              <w:t>.1 (</w:t>
            </w:r>
            <w:r w:rsidR="00237D96" w:rsidRPr="00237D96">
              <w:rPr>
                <w:b/>
                <w:bCs/>
                <w:lang w:eastAsia="lt-LT"/>
              </w:rPr>
              <w:t>8</w:t>
            </w:r>
            <w:r w:rsidRPr="00237D96">
              <w:rPr>
                <w:b/>
                <w:bCs/>
                <w:lang w:eastAsia="lt-LT"/>
              </w:rPr>
              <w:t>)</w:t>
            </w:r>
            <w:r w:rsidRPr="00921143">
              <w:rPr>
                <w:b/>
                <w:bCs/>
                <w:lang w:val="lt-LT" w:eastAsia="lt-LT"/>
              </w:rPr>
              <w:t xml:space="preserve"> </w:t>
            </w:r>
          </w:p>
        </w:tc>
      </w:tr>
      <w:tr w:rsidR="007331C7" w:rsidRPr="00511C3B" w14:paraId="77E3A5B8" w14:textId="77777777" w:rsidTr="00CD7B12">
        <w:trPr>
          <w:gridAfter w:val="1"/>
          <w:wAfter w:w="20" w:type="dxa"/>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7E3A5B6" w14:textId="77777777" w:rsidR="007331C7" w:rsidRPr="00F61E65" w:rsidRDefault="007331C7" w:rsidP="007331C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85" w:type="dxa"/>
            <w:gridSpan w:val="2"/>
            <w:tcBorders>
              <w:top w:val="single" w:sz="2" w:space="0" w:color="auto"/>
              <w:left w:val="single" w:sz="2" w:space="0" w:color="auto"/>
              <w:bottom w:val="single" w:sz="2" w:space="0" w:color="auto"/>
              <w:right w:val="single" w:sz="12" w:space="0" w:color="auto"/>
            </w:tcBorders>
            <w:shd w:val="clear" w:color="auto" w:fill="auto"/>
          </w:tcPr>
          <w:p w14:paraId="77E3A5B7" w14:textId="3748A89E" w:rsidR="007331C7" w:rsidRPr="00F61E65" w:rsidRDefault="007331C7" w:rsidP="007331C7">
            <w:pPr>
              <w:rPr>
                <w:b/>
                <w:bCs/>
                <w:i/>
                <w:lang w:val="lt-LT" w:eastAsia="lt-LT"/>
              </w:rPr>
            </w:pPr>
            <w:r w:rsidRPr="000F4C9F">
              <w:rPr>
                <w:bCs/>
                <w:lang w:val="lt-LT" w:eastAsia="lt-LT"/>
              </w:rPr>
              <w:t xml:space="preserve">1. Projektas turi atitikti Nacionalinės susisiekimo plėtros 2014–2022 metų programos, </w:t>
            </w:r>
            <w:r w:rsidRPr="000F4C9F">
              <w:rPr>
                <w:bCs/>
                <w:lang w:val="lt-LT" w:eastAsia="lt-LT"/>
              </w:rPr>
              <w:lastRenderedPageBreak/>
              <w:t xml:space="preserve">patvirtintos </w:t>
            </w:r>
            <w:hyperlink r:id="rId9" w:history="1">
              <w:r w:rsidRPr="0023028D">
                <w:rPr>
                  <w:rStyle w:val="Hipersaitas"/>
                  <w:bCs/>
                  <w:lang w:val="lt-LT" w:eastAsia="lt-LT"/>
                </w:rPr>
                <w:t>Lietuvos Respublikos Vyriausybės 2013 m. gruodžio 18 d. nutarimu Nr. 1253 „Dėl Nacionalinės susisiekimo plėtros 2014–2022 metų programos patvirtinimo“</w:t>
              </w:r>
            </w:hyperlink>
            <w:r w:rsidRPr="000F4C9F">
              <w:rPr>
                <w:bCs/>
                <w:lang w:val="lt-LT" w:eastAsia="lt-LT"/>
              </w:rPr>
              <w:t xml:space="preserve"> 5 tikslo „didinti eismo saugą ir saugumą“ 1 uždavinį „didinti eismo saugą, diegti technines saugaus eismo priemones ir kitas inovacijas“</w:t>
            </w:r>
          </w:p>
        </w:tc>
      </w:tr>
      <w:tr w:rsidR="007331C7" w:rsidRPr="00511C3B" w14:paraId="77E3A5BB" w14:textId="77777777" w:rsidTr="00CD7B12">
        <w:trPr>
          <w:gridAfter w:val="1"/>
          <w:wAfter w:w="20" w:type="dxa"/>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7E3A5B9" w14:textId="77777777" w:rsidR="007331C7" w:rsidRPr="00F61E65" w:rsidRDefault="007331C7" w:rsidP="007331C7">
            <w:pPr>
              <w:jc w:val="left"/>
              <w:rPr>
                <w:b/>
                <w:bCs/>
                <w:lang w:val="lt-LT" w:eastAsia="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8885" w:type="dxa"/>
            <w:gridSpan w:val="2"/>
            <w:tcBorders>
              <w:top w:val="single" w:sz="2" w:space="0" w:color="auto"/>
              <w:left w:val="single" w:sz="2" w:space="0" w:color="auto"/>
              <w:bottom w:val="single" w:sz="2" w:space="0" w:color="auto"/>
              <w:right w:val="single" w:sz="12" w:space="0" w:color="auto"/>
            </w:tcBorders>
            <w:shd w:val="clear" w:color="auto" w:fill="auto"/>
          </w:tcPr>
          <w:p w14:paraId="77E3A5BA" w14:textId="47E903CA" w:rsidR="007331C7" w:rsidRPr="00F61E65" w:rsidRDefault="007331C7" w:rsidP="007331C7">
            <w:pPr>
              <w:rPr>
                <w:bCs/>
                <w:lang w:val="lt-LT" w:eastAsia="lt-LT"/>
              </w:rPr>
            </w:pPr>
            <w:r>
              <w:rPr>
                <w:bCs/>
                <w:lang w:val="lt-LT" w:eastAsia="lt-LT"/>
              </w:rPr>
              <w:t>V</w:t>
            </w:r>
            <w:r w:rsidRPr="000E0C7E">
              <w:rPr>
                <w:bCs/>
                <w:lang w:val="lt-LT" w:eastAsia="lt-LT"/>
              </w:rPr>
              <w:t>ertinama, ar projektas atitinka Nacionalinės susisiekimo plėtros 2014–2022 metų programos, patvirtintos Lietuvos Respublikos Vyriausybės 2013 m. gruodžio 18 d. nutarimu Nr. 1253 „Dėl Nacionalinės susisiekimo plėtros 2014–2022 metų programos patvirtinimo“</w:t>
            </w:r>
            <w:r>
              <w:rPr>
                <w:bCs/>
                <w:lang w:val="lt-LT" w:eastAsia="lt-LT"/>
              </w:rPr>
              <w:t>, 5 tikslo „d</w:t>
            </w:r>
            <w:r w:rsidRPr="00A76755">
              <w:rPr>
                <w:bCs/>
                <w:lang w:val="lt-LT" w:eastAsia="lt-LT"/>
              </w:rPr>
              <w:t>idinti eismo saugą ir saugumą</w:t>
            </w:r>
            <w:r>
              <w:rPr>
                <w:bCs/>
                <w:lang w:val="lt-LT" w:eastAsia="lt-LT"/>
              </w:rPr>
              <w:t xml:space="preserve">“ </w:t>
            </w:r>
            <w:r w:rsidRPr="00A76755">
              <w:rPr>
                <w:bCs/>
                <w:lang w:val="lt-LT" w:eastAsia="lt-LT"/>
              </w:rPr>
              <w:t>1 uždavinį ,,</w:t>
            </w:r>
            <w:r>
              <w:rPr>
                <w:bCs/>
                <w:lang w:val="lt-LT" w:eastAsia="lt-LT"/>
              </w:rPr>
              <w:t>d</w:t>
            </w:r>
            <w:r w:rsidRPr="00A76755">
              <w:rPr>
                <w:bCs/>
                <w:lang w:val="lt-LT" w:eastAsia="lt-LT"/>
              </w:rPr>
              <w:t>idinti eismo saugą, diegti technines saugaus eismo priemones ir kitas inovacijas“</w:t>
            </w:r>
            <w:r>
              <w:rPr>
                <w:bCs/>
                <w:lang w:val="lt-LT" w:eastAsia="lt-LT"/>
              </w:rPr>
              <w:t>.</w:t>
            </w:r>
          </w:p>
        </w:tc>
      </w:tr>
      <w:tr w:rsidR="007331C7" w:rsidRPr="00511C3B" w14:paraId="77E3A5C1" w14:textId="77777777" w:rsidTr="00CD7B12">
        <w:trPr>
          <w:gridAfter w:val="1"/>
          <w:wAfter w:w="20" w:type="dxa"/>
        </w:trPr>
        <w:tc>
          <w:tcPr>
            <w:tcW w:w="6222" w:type="dxa"/>
            <w:tcBorders>
              <w:top w:val="single" w:sz="2" w:space="0" w:color="auto"/>
              <w:left w:val="single" w:sz="12" w:space="0" w:color="auto"/>
              <w:bottom w:val="single" w:sz="12" w:space="0" w:color="auto"/>
              <w:right w:val="single" w:sz="2" w:space="0" w:color="auto"/>
            </w:tcBorders>
            <w:shd w:val="clear" w:color="auto" w:fill="auto"/>
          </w:tcPr>
          <w:p w14:paraId="77E3A5BC" w14:textId="77777777" w:rsidR="007331C7" w:rsidRPr="00F61E65" w:rsidRDefault="007331C7" w:rsidP="007331C7">
            <w:pPr>
              <w:jc w:val="left"/>
              <w:rPr>
                <w:b/>
                <w:bCs/>
                <w:lang w:val="lt-LT" w:eastAsia="lt-LT"/>
              </w:rPr>
            </w:pPr>
            <w:r>
              <w:rPr>
                <w:b/>
                <w:bCs/>
                <w:lang w:val="lt-LT" w:eastAsia="lt-LT"/>
              </w:rPr>
              <w:t>Projektų atrankos kriterijaus pasirinkimo pagrindimas:</w:t>
            </w:r>
          </w:p>
        </w:tc>
        <w:tc>
          <w:tcPr>
            <w:tcW w:w="8885" w:type="dxa"/>
            <w:gridSpan w:val="2"/>
            <w:tcBorders>
              <w:top w:val="single" w:sz="2" w:space="0" w:color="auto"/>
              <w:left w:val="single" w:sz="2" w:space="0" w:color="auto"/>
              <w:bottom w:val="single" w:sz="12" w:space="0" w:color="auto"/>
              <w:right w:val="single" w:sz="12" w:space="0" w:color="auto"/>
            </w:tcBorders>
            <w:shd w:val="clear" w:color="auto" w:fill="auto"/>
          </w:tcPr>
          <w:p w14:paraId="63366B20" w14:textId="77777777" w:rsidR="006972EC" w:rsidRDefault="006972EC" w:rsidP="006972EC">
            <w:pPr>
              <w:rPr>
                <w:bCs/>
                <w:lang w:val="lt-LT" w:eastAsia="lt-LT"/>
              </w:rPr>
            </w:pPr>
            <w:r w:rsidRPr="00DB6329">
              <w:rPr>
                <w:bCs/>
                <w:lang w:val="lt-LT" w:eastAsia="lt-LT"/>
              </w:rPr>
              <w:t xml:space="preserve">Projektų atrankos kriterijus detalizuoja bendrąjį reikalavimą, nustatytą Projektų administravimo ir finansavimo taisyklių, patvirtintų finansų ministro 2014 m. spalio </w:t>
            </w:r>
            <w:r>
              <w:rPr>
                <w:bCs/>
                <w:lang w:val="lt-LT" w:eastAsia="lt-LT"/>
              </w:rPr>
              <w:br/>
            </w:r>
            <w:r w:rsidRPr="00DB6329">
              <w:rPr>
                <w:bCs/>
                <w:lang w:val="lt-LT" w:eastAsia="lt-LT"/>
              </w:rPr>
              <w:t>8 d. įsakymo Nr. 1K-316 „Dėl Projektų administravimo ir finansavimo taisyklių patvirtinimo“, 66.2 papunktyje</w:t>
            </w:r>
            <w:r>
              <w:rPr>
                <w:lang w:val="lt-LT"/>
              </w:rPr>
              <w:t>, kuriame numatyta, kad p</w:t>
            </w:r>
            <w:r w:rsidRPr="00930836">
              <w:rPr>
                <w:lang w:val="lt-LT"/>
              </w:rPr>
              <w:t>rojektas turi atitikti strateginio planavimo dokumentų nuostatas</w:t>
            </w:r>
            <w:r w:rsidRPr="00930836">
              <w:rPr>
                <w:bCs/>
                <w:lang w:val="lt-LT" w:eastAsia="lt-LT"/>
              </w:rPr>
              <w:t>.</w:t>
            </w:r>
          </w:p>
          <w:p w14:paraId="39B89ED7" w14:textId="77777777" w:rsidR="006972EC" w:rsidRPr="00A95B98" w:rsidRDefault="006972EC" w:rsidP="006972EC">
            <w:pPr>
              <w:rPr>
                <w:lang w:val="lt-LT"/>
              </w:rPr>
            </w:pPr>
            <w:r w:rsidRPr="00A95B98">
              <w:rPr>
                <w:bCs/>
                <w:lang w:val="lt-LT" w:eastAsia="lt-LT"/>
              </w:rPr>
              <w:t xml:space="preserve">Projektų atrankos kriterijus užtikrina, kad būtų atrinkti projektai, kurie geriausiu būdu prisidėtų prie </w:t>
            </w:r>
            <w:r>
              <w:rPr>
                <w:bCs/>
                <w:lang w:val="lt-LT" w:eastAsia="lt-LT"/>
              </w:rPr>
              <w:t xml:space="preserve">veiksmų programos </w:t>
            </w:r>
            <w:r w:rsidRPr="00A95B98">
              <w:rPr>
                <w:lang w:val="lt-LT"/>
              </w:rPr>
              <w:t>6 prioritet</w:t>
            </w:r>
            <w:r>
              <w:rPr>
                <w:lang w:val="lt-LT"/>
              </w:rPr>
              <w:t>o</w:t>
            </w:r>
            <w:r w:rsidRPr="00A95B98">
              <w:rPr>
                <w:lang w:val="lt-LT"/>
              </w:rPr>
              <w:t xml:space="preserve"> „Darnaus transporto ir pagrindinių tinklų infrastruktūros plėtra“ 6.</w:t>
            </w:r>
            <w:r>
              <w:rPr>
                <w:lang w:val="lt-LT"/>
              </w:rPr>
              <w:t>2</w:t>
            </w:r>
            <w:r w:rsidRPr="00A95B98">
              <w:rPr>
                <w:lang w:val="lt-LT"/>
              </w:rPr>
              <w:t>.1 konkretus uždavinio „</w:t>
            </w:r>
            <w:r w:rsidRPr="00722FE7">
              <w:rPr>
                <w:lang w:val="lt-LT"/>
              </w:rPr>
              <w:t xml:space="preserve">Padidinti regionų </w:t>
            </w:r>
            <w:proofErr w:type="spellStart"/>
            <w:r w:rsidRPr="00722FE7">
              <w:rPr>
                <w:lang w:val="lt-LT"/>
              </w:rPr>
              <w:t>judumą</w:t>
            </w:r>
            <w:proofErr w:type="spellEnd"/>
            <w:r w:rsidRPr="00722FE7">
              <w:rPr>
                <w:lang w:val="lt-LT"/>
              </w:rPr>
              <w:t xml:space="preserve"> plėtojant regionų jungtis su pagrindiniu šalies transporto tinklu ir diegiant eismo saugos priemones</w:t>
            </w:r>
            <w:r w:rsidRPr="00A95B98">
              <w:rPr>
                <w:lang w:val="lt-LT"/>
              </w:rPr>
              <w:t>“ pasiekimo</w:t>
            </w:r>
            <w:r>
              <w:rPr>
                <w:lang w:val="lt-LT"/>
              </w:rPr>
              <w:t>,</w:t>
            </w:r>
            <w:r w:rsidRPr="00A95B98">
              <w:rPr>
                <w:lang w:val="lt-LT"/>
              </w:rPr>
              <w:t xml:space="preserve"> </w:t>
            </w:r>
            <w:r>
              <w:rPr>
                <w:lang w:val="lt-LT"/>
              </w:rPr>
              <w:t xml:space="preserve">padėtų sumažinti žuvusiųjų </w:t>
            </w:r>
            <w:r w:rsidRPr="005E2492">
              <w:rPr>
                <w:lang w:val="lt-LT"/>
              </w:rPr>
              <w:t>ir sužeistųjų geležinkelio pervažose skaiči</w:t>
            </w:r>
            <w:r>
              <w:rPr>
                <w:lang w:val="lt-LT"/>
              </w:rPr>
              <w:t>ų</w:t>
            </w:r>
            <w:r w:rsidRPr="005E2492">
              <w:rPr>
                <w:lang w:val="lt-LT"/>
              </w:rPr>
              <w:t>.</w:t>
            </w:r>
            <w:r w:rsidRPr="00A95B98">
              <w:rPr>
                <w:lang w:val="lt-LT"/>
              </w:rPr>
              <w:t xml:space="preserve"> </w:t>
            </w:r>
          </w:p>
          <w:p w14:paraId="77E3A5C0" w14:textId="7AB26D60" w:rsidR="007331C7" w:rsidRPr="00B96756" w:rsidRDefault="006972EC" w:rsidP="006972EC">
            <w:pPr>
              <w:rPr>
                <w:bCs/>
                <w:i/>
                <w:lang w:val="lt-LT" w:eastAsia="lt-LT"/>
              </w:rPr>
            </w:pPr>
            <w:r>
              <w:rPr>
                <w:lang w:val="lt-LT"/>
              </w:rPr>
              <w:t xml:space="preserve">Pasirinktas projektų atrankos kriterijus nepagrįstai neišskiria tam tikros tikslinės grupės, o padeda atrinkti projektus, kurie geriausiai įgyvendina veiksmų programos </w:t>
            </w:r>
            <w:r w:rsidRPr="00A95B98">
              <w:rPr>
                <w:lang w:val="lt-LT"/>
              </w:rPr>
              <w:t>6 prioritet</w:t>
            </w:r>
            <w:r>
              <w:rPr>
                <w:lang w:val="lt-LT"/>
              </w:rPr>
              <w:t>o</w:t>
            </w:r>
            <w:r w:rsidRPr="00A95B98">
              <w:rPr>
                <w:lang w:val="lt-LT"/>
              </w:rPr>
              <w:t xml:space="preserve"> „Darnaus transporto ir pagrindinių tinklų infrastruktūros plėtra“ 6.</w:t>
            </w:r>
            <w:r>
              <w:rPr>
                <w:lang w:val="lt-LT"/>
              </w:rPr>
              <w:t>2.1 konkretų uždavinį</w:t>
            </w:r>
            <w:r w:rsidRPr="00A95B98">
              <w:rPr>
                <w:lang w:val="lt-LT"/>
              </w:rPr>
              <w:t xml:space="preserve"> „</w:t>
            </w:r>
            <w:r w:rsidRPr="00722FE7">
              <w:rPr>
                <w:lang w:val="lt-LT"/>
              </w:rPr>
              <w:t xml:space="preserve">Padidinti regionų </w:t>
            </w:r>
            <w:proofErr w:type="spellStart"/>
            <w:r w:rsidRPr="00722FE7">
              <w:rPr>
                <w:lang w:val="lt-LT"/>
              </w:rPr>
              <w:t>judumą</w:t>
            </w:r>
            <w:proofErr w:type="spellEnd"/>
            <w:r w:rsidRPr="00722FE7">
              <w:rPr>
                <w:lang w:val="lt-LT"/>
              </w:rPr>
              <w:t xml:space="preserve"> plėtojant regionų jungtis su pagrindiniu šalies transporto tinklu ir diegiant eismo saugos priemones</w:t>
            </w:r>
            <w:r w:rsidRPr="00A95B98">
              <w:rPr>
                <w:lang w:val="lt-LT"/>
              </w:rPr>
              <w:t>“</w:t>
            </w:r>
            <w:r>
              <w:rPr>
                <w:lang w:val="lt-LT"/>
              </w:rPr>
              <w:t xml:space="preserve"> ir prisideda prie numatytų rodiklių pasiekimo.</w:t>
            </w:r>
          </w:p>
        </w:tc>
      </w:tr>
      <w:tr w:rsidR="00C274FA" w:rsidRPr="00F61E65" w14:paraId="77E3A5C7" w14:textId="77777777" w:rsidTr="007331C7">
        <w:trPr>
          <w:gridAfter w:val="1"/>
          <w:wAfter w:w="20" w:type="dxa"/>
        </w:trPr>
        <w:tc>
          <w:tcPr>
            <w:tcW w:w="6252" w:type="dxa"/>
            <w:gridSpan w:val="2"/>
            <w:tcBorders>
              <w:top w:val="single" w:sz="12" w:space="0" w:color="auto"/>
              <w:left w:val="single" w:sz="12" w:space="0" w:color="auto"/>
              <w:bottom w:val="single" w:sz="2" w:space="0" w:color="auto"/>
              <w:right w:val="single" w:sz="2" w:space="0" w:color="auto"/>
            </w:tcBorders>
            <w:shd w:val="clear" w:color="auto" w:fill="auto"/>
          </w:tcPr>
          <w:p w14:paraId="77E3A5C3" w14:textId="77777777" w:rsidR="00C274FA" w:rsidRPr="001232ED" w:rsidRDefault="00C274FA" w:rsidP="00D13437">
            <w:pPr>
              <w:rPr>
                <w:b/>
                <w:bCs/>
                <w:sz w:val="22"/>
                <w:szCs w:val="22"/>
                <w:lang w:val="lt-LT" w:eastAsia="lt-LT"/>
              </w:rPr>
            </w:pPr>
            <w:r w:rsidRPr="008F4DFA">
              <w:rPr>
                <w:lang w:val="lt-LT"/>
              </w:rPr>
              <w:br w:type="page"/>
            </w:r>
            <w:r>
              <w:rPr>
                <w:b/>
                <w:bCs/>
                <w:sz w:val="22"/>
                <w:szCs w:val="22"/>
                <w:lang w:val="lt-LT" w:eastAsia="lt-LT"/>
              </w:rPr>
              <w:t>x</w:t>
            </w:r>
            <w:r w:rsidRPr="001232ED">
              <w:rPr>
                <w:b/>
                <w:bCs/>
                <w:sz w:val="22"/>
                <w:szCs w:val="22"/>
                <w:lang w:val="lt-LT" w:eastAsia="lt-LT"/>
              </w:rPr>
              <w:t xml:space="preserve"> SPECIALUSIS PROJEKTŲ ATRANKOS KRITERIJUS           </w:t>
            </w:r>
          </w:p>
          <w:p w14:paraId="77E3A5C4" w14:textId="77777777" w:rsidR="00C274FA" w:rsidRPr="00C274FA" w:rsidRDefault="00C274FA" w:rsidP="00D13437">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8855" w:type="dxa"/>
            <w:tcBorders>
              <w:top w:val="single" w:sz="12" w:space="0" w:color="auto"/>
              <w:left w:val="single" w:sz="2" w:space="0" w:color="auto"/>
              <w:bottom w:val="single" w:sz="2" w:space="0" w:color="auto"/>
              <w:right w:val="single" w:sz="12" w:space="0" w:color="auto"/>
            </w:tcBorders>
            <w:shd w:val="clear" w:color="auto" w:fill="auto"/>
          </w:tcPr>
          <w:p w14:paraId="77E3A5C5" w14:textId="77777777" w:rsidR="00C274FA" w:rsidRPr="00F61E65" w:rsidRDefault="00C274FA" w:rsidP="00D13437">
            <w:pPr>
              <w:rPr>
                <w:b/>
                <w:bCs/>
                <w:lang w:val="lt-LT" w:eastAsia="lt-LT"/>
              </w:rPr>
            </w:pPr>
            <w:r w:rsidRPr="00F61E65">
              <w:rPr>
                <w:b/>
                <w:bCs/>
                <w:lang w:val="lt-LT" w:eastAsia="lt-LT"/>
              </w:rPr>
              <w:sym w:font="Times New Roman" w:char="F07F"/>
            </w:r>
            <w:r w:rsidRPr="00F61E65">
              <w:rPr>
                <w:b/>
                <w:bCs/>
                <w:lang w:val="lt-LT" w:eastAsia="lt-LT"/>
              </w:rPr>
              <w:t xml:space="preserve"> Nustatymas</w:t>
            </w:r>
          </w:p>
          <w:p w14:paraId="3B0D4A9A" w14:textId="77777777" w:rsidR="00C274FA" w:rsidRDefault="00C274FA" w:rsidP="00D13437">
            <w:pPr>
              <w:rPr>
                <w:b/>
                <w:bCs/>
                <w:lang w:val="lt-LT" w:eastAsia="lt-LT"/>
              </w:rPr>
            </w:pPr>
            <w:r>
              <w:rPr>
                <w:b/>
                <w:bCs/>
                <w:lang w:val="lt-LT" w:eastAsia="lt-LT"/>
              </w:rPr>
              <w:t>x</w:t>
            </w:r>
            <w:r w:rsidRPr="00F61E65">
              <w:rPr>
                <w:b/>
                <w:bCs/>
                <w:lang w:val="lt-LT" w:eastAsia="lt-LT"/>
              </w:rPr>
              <w:t xml:space="preserve"> Keitimas </w:t>
            </w:r>
          </w:p>
          <w:p w14:paraId="77E3A5C6" w14:textId="4D59F900" w:rsidR="002C2EA6" w:rsidRPr="00F61E65" w:rsidRDefault="00000880" w:rsidP="00000880">
            <w:pPr>
              <w:rPr>
                <w:lang w:val="lt-LT"/>
              </w:rPr>
            </w:pPr>
            <w:r>
              <w:rPr>
                <w:b/>
                <w:color w:val="FF0000"/>
                <w:lang w:val="lt-LT"/>
              </w:rPr>
              <w:lastRenderedPageBreak/>
              <w:t>(</w:t>
            </w:r>
            <w:r w:rsidR="00B774EC" w:rsidRPr="00B774EC">
              <w:rPr>
                <w:b/>
                <w:color w:val="FF0000"/>
                <w:lang w:val="lt-LT"/>
              </w:rPr>
              <w:t>K</w:t>
            </w:r>
            <w:r w:rsidR="002C2EA6" w:rsidRPr="00B774EC">
              <w:rPr>
                <w:b/>
                <w:color w:val="FF0000"/>
                <w:lang w:val="lt-LT"/>
              </w:rPr>
              <w:t>riterijus p</w:t>
            </w:r>
            <w:r w:rsidR="002C2EA6" w:rsidRPr="00B774EC">
              <w:rPr>
                <w:b/>
                <w:bCs/>
                <w:color w:val="FF0000"/>
                <w:lang w:val="lt-LT"/>
              </w:rPr>
              <w:t xml:space="preserve">atvirtintas </w:t>
            </w:r>
            <w:r w:rsidR="006972EC" w:rsidRPr="00B774EC">
              <w:rPr>
                <w:b/>
                <w:bCs/>
                <w:iCs/>
                <w:color w:val="FF0000"/>
                <w:lang w:val="lt-LT"/>
              </w:rPr>
              <w:t>2015 m. liepos 9 d.</w:t>
            </w:r>
            <w:r>
              <w:rPr>
                <w:b/>
                <w:bCs/>
                <w:iCs/>
                <w:color w:val="FF0000"/>
                <w:lang w:val="lt-LT"/>
              </w:rPr>
              <w:t>,</w:t>
            </w:r>
            <w:r w:rsidR="006972EC" w:rsidRPr="00B774EC">
              <w:rPr>
                <w:b/>
                <w:bCs/>
                <w:iCs/>
                <w:color w:val="FF0000"/>
                <w:lang w:val="lt-LT"/>
              </w:rPr>
              <w:t xml:space="preserve"> </w:t>
            </w:r>
            <w:r w:rsidR="00B774EC" w:rsidRPr="00B774EC">
              <w:rPr>
                <w:b/>
                <w:bCs/>
                <w:iCs/>
                <w:color w:val="FF0000"/>
                <w:lang w:val="lt-LT"/>
              </w:rPr>
              <w:t xml:space="preserve">pakeistas </w:t>
            </w:r>
            <w:r>
              <w:rPr>
                <w:b/>
                <w:bCs/>
                <w:iCs/>
                <w:color w:val="FF0000"/>
                <w:lang w:val="lt-LT"/>
              </w:rPr>
              <w:t xml:space="preserve">2017 m. vasario 2 d., 2017 m. birželio 15 d. ir </w:t>
            </w:r>
            <w:r w:rsidR="006972EC" w:rsidRPr="00B774EC">
              <w:rPr>
                <w:b/>
                <w:bCs/>
                <w:color w:val="FF0000"/>
                <w:lang w:val="lt-LT"/>
              </w:rPr>
              <w:t>201</w:t>
            </w:r>
            <w:r w:rsidR="008370EB" w:rsidRPr="00B774EC">
              <w:rPr>
                <w:b/>
                <w:bCs/>
                <w:color w:val="FF0000"/>
                <w:lang w:val="lt-LT"/>
              </w:rPr>
              <w:t>8</w:t>
            </w:r>
            <w:r w:rsidR="006972EC" w:rsidRPr="00B774EC">
              <w:rPr>
                <w:b/>
                <w:bCs/>
                <w:color w:val="FF0000"/>
                <w:lang w:val="lt-LT"/>
              </w:rPr>
              <w:t xml:space="preserve"> m. birželio 1</w:t>
            </w:r>
            <w:r w:rsidR="008370EB" w:rsidRPr="00B774EC">
              <w:rPr>
                <w:b/>
                <w:bCs/>
                <w:color w:val="FF0000"/>
                <w:lang w:val="lt-LT"/>
              </w:rPr>
              <w:t>2</w:t>
            </w:r>
            <w:r w:rsidR="006972EC" w:rsidRPr="00B774EC">
              <w:rPr>
                <w:b/>
                <w:bCs/>
                <w:color w:val="FF0000"/>
                <w:lang w:val="lt-LT"/>
              </w:rPr>
              <w:t xml:space="preserve"> d.</w:t>
            </w:r>
            <w:r>
              <w:rPr>
                <w:b/>
                <w:bCs/>
                <w:color w:val="FF0000"/>
                <w:lang w:val="lt-LT"/>
              </w:rPr>
              <w:t>)</w:t>
            </w:r>
          </w:p>
        </w:tc>
      </w:tr>
      <w:tr w:rsidR="007331C7" w:rsidRPr="00511C3B" w14:paraId="77E3A5CA" w14:textId="77777777" w:rsidTr="007331C7">
        <w:trPr>
          <w:gridAfter w:val="1"/>
          <w:wAfter w:w="20" w:type="dxa"/>
        </w:trPr>
        <w:tc>
          <w:tcPr>
            <w:tcW w:w="6252" w:type="dxa"/>
            <w:gridSpan w:val="2"/>
            <w:tcBorders>
              <w:top w:val="single" w:sz="2" w:space="0" w:color="auto"/>
              <w:left w:val="single" w:sz="12" w:space="0" w:color="auto"/>
              <w:bottom w:val="single" w:sz="2" w:space="0" w:color="auto"/>
              <w:right w:val="single" w:sz="2" w:space="0" w:color="auto"/>
            </w:tcBorders>
            <w:shd w:val="clear" w:color="auto" w:fill="auto"/>
          </w:tcPr>
          <w:p w14:paraId="77E3A5C8" w14:textId="77777777" w:rsidR="007331C7" w:rsidRPr="00F61E65" w:rsidRDefault="007331C7" w:rsidP="007331C7">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8855" w:type="dxa"/>
            <w:tcBorders>
              <w:top w:val="single" w:sz="2" w:space="0" w:color="auto"/>
              <w:left w:val="single" w:sz="2" w:space="0" w:color="auto"/>
              <w:bottom w:val="single" w:sz="2" w:space="0" w:color="auto"/>
              <w:right w:val="single" w:sz="12" w:space="0" w:color="auto"/>
            </w:tcBorders>
            <w:shd w:val="clear" w:color="auto" w:fill="auto"/>
          </w:tcPr>
          <w:p w14:paraId="77E3A5C9" w14:textId="6263FDD5" w:rsidR="007331C7" w:rsidRPr="00C274FA" w:rsidRDefault="007331C7" w:rsidP="007331C7">
            <w:pPr>
              <w:rPr>
                <w:bCs/>
                <w:lang w:val="lt-LT" w:eastAsia="lt-LT"/>
              </w:rPr>
            </w:pPr>
            <w:r w:rsidRPr="000F4C9F">
              <w:rPr>
                <w:bCs/>
                <w:lang w:val="lt-LT" w:eastAsia="lt-LT"/>
              </w:rPr>
              <w:t xml:space="preserve">2. </w:t>
            </w:r>
            <w:r w:rsidRPr="007A1EB0">
              <w:rPr>
                <w:bCs/>
                <w:lang w:val="lt-LT" w:eastAsia="lt-LT"/>
              </w:rPr>
              <w:t xml:space="preserve">Projektas turi atitikti preliminarų Nacionalinės susisiekimo plėtros 2014–2022 metų programos projektų sąrašą, patvirtintą </w:t>
            </w:r>
            <w:hyperlink r:id="rId10" w:history="1">
              <w:r w:rsidRPr="007A1EB0">
                <w:rPr>
                  <w:rStyle w:val="Hipersaitas"/>
                  <w:bCs/>
                  <w:lang w:val="lt-LT" w:eastAsia="lt-LT"/>
                </w:rPr>
                <w:t>Lietuvos Respublikos susisiekimo ministro 2015 m. birželio</w:t>
              </w:r>
              <w:r w:rsidR="00000880">
                <w:rPr>
                  <w:rStyle w:val="Hipersaitas"/>
                  <w:bCs/>
                  <w:lang w:val="lt-LT" w:eastAsia="lt-LT"/>
                </w:rPr>
                <w:t xml:space="preserve"> 15 d. įsakymu Nr. 3</w:t>
              </w:r>
              <w:proofErr w:type="gramStart"/>
              <w:r w:rsidR="00000880">
                <w:rPr>
                  <w:rStyle w:val="Hipersaitas"/>
                  <w:bCs/>
                  <w:lang w:val="lt-LT" w:eastAsia="lt-LT"/>
                </w:rPr>
                <w:t>-</w:t>
              </w:r>
              <w:proofErr w:type="gramEnd"/>
              <w:r w:rsidR="00000880">
                <w:rPr>
                  <w:rStyle w:val="Hipersaitas"/>
                  <w:bCs/>
                  <w:lang w:val="lt-LT" w:eastAsia="lt-LT"/>
                </w:rPr>
                <w:t>249 ,,Dėl P</w:t>
              </w:r>
              <w:bookmarkStart w:id="0" w:name="_GoBack"/>
              <w:bookmarkEnd w:id="0"/>
              <w:r w:rsidRPr="007A1EB0">
                <w:rPr>
                  <w:rStyle w:val="Hipersaitas"/>
                  <w:bCs/>
                  <w:lang w:val="lt-LT" w:eastAsia="lt-LT"/>
                </w:rPr>
                <w:t>reliminaraus Nacionalinės susisiekimo plėtros 2014–2022 metų programos projektų sąrašo patvirtinimo“</w:t>
              </w:r>
            </w:hyperlink>
            <w:r w:rsidRPr="007A1EB0">
              <w:rPr>
                <w:lang w:val="lt-LT"/>
              </w:rPr>
              <w:t>.</w:t>
            </w:r>
          </w:p>
        </w:tc>
      </w:tr>
      <w:tr w:rsidR="007331C7" w:rsidRPr="00511C3B" w14:paraId="77E3A5CD" w14:textId="77777777" w:rsidTr="007331C7">
        <w:trPr>
          <w:gridAfter w:val="1"/>
          <w:wAfter w:w="20" w:type="dxa"/>
        </w:trPr>
        <w:tc>
          <w:tcPr>
            <w:tcW w:w="6252" w:type="dxa"/>
            <w:gridSpan w:val="2"/>
            <w:tcBorders>
              <w:top w:val="single" w:sz="2" w:space="0" w:color="auto"/>
              <w:left w:val="single" w:sz="12" w:space="0" w:color="auto"/>
              <w:bottom w:val="single" w:sz="2" w:space="0" w:color="auto"/>
              <w:right w:val="single" w:sz="2" w:space="0" w:color="auto"/>
            </w:tcBorders>
            <w:shd w:val="clear" w:color="auto" w:fill="auto"/>
          </w:tcPr>
          <w:p w14:paraId="77E3A5CB" w14:textId="77777777" w:rsidR="007331C7" w:rsidRPr="00F61E65" w:rsidRDefault="007331C7" w:rsidP="007331C7">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55" w:type="dxa"/>
            <w:tcBorders>
              <w:top w:val="single" w:sz="2" w:space="0" w:color="auto"/>
              <w:left w:val="single" w:sz="2" w:space="0" w:color="auto"/>
              <w:bottom w:val="single" w:sz="2" w:space="0" w:color="auto"/>
              <w:right w:val="single" w:sz="12" w:space="0" w:color="auto"/>
            </w:tcBorders>
            <w:shd w:val="clear" w:color="auto" w:fill="auto"/>
          </w:tcPr>
          <w:p w14:paraId="77E3A5CC" w14:textId="5627F561" w:rsidR="007331C7" w:rsidRPr="007331C7" w:rsidRDefault="007331C7" w:rsidP="00B62AEA">
            <w:pPr>
              <w:rPr>
                <w:b/>
                <w:bCs/>
                <w:lang w:val="lt-LT" w:eastAsia="lt-LT"/>
              </w:rPr>
            </w:pPr>
            <w:r w:rsidRPr="00B45144">
              <w:rPr>
                <w:bCs/>
                <w:lang w:val="lt-LT" w:eastAsia="lt-LT"/>
              </w:rPr>
              <w:t xml:space="preserve">Vertinama, ar projektas atitinka </w:t>
            </w:r>
            <w:r>
              <w:rPr>
                <w:bCs/>
                <w:lang w:val="lt-LT" w:eastAsia="lt-LT"/>
              </w:rPr>
              <w:t>P</w:t>
            </w:r>
            <w:r w:rsidRPr="00E7316D">
              <w:rPr>
                <w:bCs/>
                <w:lang w:val="lt-LT" w:eastAsia="lt-LT"/>
              </w:rPr>
              <w:t>reliminar</w:t>
            </w:r>
            <w:r>
              <w:rPr>
                <w:bCs/>
                <w:lang w:val="lt-LT" w:eastAsia="lt-LT"/>
              </w:rPr>
              <w:t>aus</w:t>
            </w:r>
            <w:r w:rsidRPr="00E7316D">
              <w:rPr>
                <w:bCs/>
                <w:lang w:val="lt-LT" w:eastAsia="lt-LT"/>
              </w:rPr>
              <w:t xml:space="preserve"> Nacionalinės susisiekimo plėtros 2014–2022 metų programos projektų sąraš</w:t>
            </w:r>
            <w:r>
              <w:rPr>
                <w:bCs/>
                <w:lang w:val="lt-LT" w:eastAsia="lt-LT"/>
              </w:rPr>
              <w:t>o</w:t>
            </w:r>
            <w:r w:rsidRPr="00B45144">
              <w:rPr>
                <w:bCs/>
                <w:lang w:val="lt-LT" w:eastAsia="lt-LT"/>
              </w:rPr>
              <w:t xml:space="preserve">, patvirtinto </w:t>
            </w:r>
            <w:r w:rsidRPr="00E7316D">
              <w:rPr>
                <w:bCs/>
                <w:lang w:val="lt-LT" w:eastAsia="lt-LT"/>
              </w:rPr>
              <w:t>Lietuvos Respublikos susisiekimo ministro 2015 m. birželio 15 d. įsakymu Nr. 3-249 ,,Dėl Preliminaraus Nacionalinės susisiekimo plėtros 2014–2022 metų programos projektų sąrašo patvirtinimo“</w:t>
            </w:r>
            <w:r>
              <w:rPr>
                <w:bCs/>
                <w:lang w:val="lt-LT" w:eastAsia="lt-LT"/>
              </w:rPr>
              <w:t xml:space="preserve">, </w:t>
            </w:r>
            <w:r w:rsidRPr="007331C7">
              <w:rPr>
                <w:bCs/>
                <w:lang w:val="lt-LT" w:eastAsia="lt-LT"/>
              </w:rPr>
              <w:t xml:space="preserve">bent vieną iš </w:t>
            </w:r>
            <w:r w:rsidRPr="006972EC">
              <w:rPr>
                <w:bCs/>
                <w:lang w:val="lt-LT" w:eastAsia="lt-LT"/>
              </w:rPr>
              <w:t>5.1.3.1–5.1.3.12</w:t>
            </w:r>
            <w:r w:rsidR="006972EC" w:rsidRPr="006972EC">
              <w:rPr>
                <w:bCs/>
                <w:lang w:val="lt-LT" w:eastAsia="lt-LT"/>
              </w:rPr>
              <w:t>,</w:t>
            </w:r>
            <w:r w:rsidR="006972EC" w:rsidRPr="006972EC">
              <w:rPr>
                <w:b/>
                <w:bCs/>
                <w:lang w:val="lt-LT" w:eastAsia="lt-LT"/>
              </w:rPr>
              <w:t xml:space="preserve"> </w:t>
            </w:r>
            <w:r w:rsidR="006972EC" w:rsidRPr="00B62AEA">
              <w:rPr>
                <w:bCs/>
                <w:lang w:val="lt-LT" w:eastAsia="lt-LT"/>
              </w:rPr>
              <w:t>5.1.3.15,</w:t>
            </w:r>
            <w:r w:rsidR="00B62AEA">
              <w:rPr>
                <w:b/>
                <w:bCs/>
                <w:lang w:val="lt-LT" w:eastAsia="lt-LT"/>
              </w:rPr>
              <w:t xml:space="preserve"> 5.1.3.16, </w:t>
            </w:r>
            <w:r w:rsidRPr="006972EC">
              <w:rPr>
                <w:bCs/>
                <w:lang w:val="lt-LT" w:eastAsia="lt-LT"/>
              </w:rPr>
              <w:t>5.1.4.1</w:t>
            </w:r>
            <w:r w:rsidR="006972EC">
              <w:rPr>
                <w:b/>
                <w:bCs/>
                <w:lang w:val="lt-LT" w:eastAsia="lt-LT"/>
              </w:rPr>
              <w:t xml:space="preserve"> </w:t>
            </w:r>
            <w:r w:rsidRPr="00B62AEA">
              <w:rPr>
                <w:bCs/>
                <w:lang w:val="lt-LT" w:eastAsia="lt-LT"/>
              </w:rPr>
              <w:t>arba 5.1.4.2</w:t>
            </w:r>
            <w:r w:rsidRPr="007331C7">
              <w:rPr>
                <w:b/>
                <w:bCs/>
                <w:lang w:val="lt-LT" w:eastAsia="lt-LT"/>
              </w:rPr>
              <w:t xml:space="preserve"> </w:t>
            </w:r>
            <w:r w:rsidRPr="007331C7">
              <w:rPr>
                <w:bCs/>
                <w:lang w:val="lt-LT" w:eastAsia="lt-LT"/>
              </w:rPr>
              <w:t>papunkčiuose nurodytų projektų, prie jų nurodytas veiklas ir galimus projektų vykdytojus.</w:t>
            </w:r>
          </w:p>
        </w:tc>
      </w:tr>
      <w:tr w:rsidR="007331C7" w:rsidRPr="00511C3B" w14:paraId="77E3A5D3" w14:textId="77777777" w:rsidTr="007331C7">
        <w:trPr>
          <w:gridAfter w:val="1"/>
          <w:wAfter w:w="20" w:type="dxa"/>
        </w:trPr>
        <w:tc>
          <w:tcPr>
            <w:tcW w:w="6252" w:type="dxa"/>
            <w:gridSpan w:val="2"/>
            <w:tcBorders>
              <w:top w:val="single" w:sz="2" w:space="0" w:color="auto"/>
              <w:left w:val="single" w:sz="12" w:space="0" w:color="auto"/>
              <w:bottom w:val="single" w:sz="12" w:space="0" w:color="auto"/>
              <w:right w:val="single" w:sz="2" w:space="0" w:color="auto"/>
            </w:tcBorders>
            <w:shd w:val="clear" w:color="auto" w:fill="auto"/>
          </w:tcPr>
          <w:p w14:paraId="77E3A5CE" w14:textId="77777777" w:rsidR="007331C7" w:rsidRPr="00F61E65" w:rsidRDefault="007331C7" w:rsidP="007331C7">
            <w:pPr>
              <w:jc w:val="left"/>
              <w:rPr>
                <w:b/>
                <w:bCs/>
                <w:lang w:val="lt-LT" w:eastAsia="lt-LT"/>
              </w:rPr>
            </w:pPr>
            <w:r>
              <w:rPr>
                <w:b/>
                <w:bCs/>
                <w:lang w:val="lt-LT" w:eastAsia="lt-LT"/>
              </w:rPr>
              <w:t>Projektų atrankos kriterijaus pasirinkimo pagrindimas:</w:t>
            </w:r>
          </w:p>
        </w:tc>
        <w:tc>
          <w:tcPr>
            <w:tcW w:w="8855" w:type="dxa"/>
            <w:tcBorders>
              <w:top w:val="single" w:sz="2" w:space="0" w:color="auto"/>
              <w:left w:val="single" w:sz="2" w:space="0" w:color="auto"/>
              <w:bottom w:val="single" w:sz="12" w:space="0" w:color="auto"/>
              <w:right w:val="single" w:sz="12" w:space="0" w:color="auto"/>
            </w:tcBorders>
            <w:shd w:val="clear" w:color="auto" w:fill="auto"/>
          </w:tcPr>
          <w:p w14:paraId="68601300" w14:textId="77777777" w:rsidR="006972EC" w:rsidRPr="006972EC" w:rsidRDefault="006972EC" w:rsidP="006972EC">
            <w:pPr>
              <w:rPr>
                <w:bCs/>
                <w:lang w:val="lt-LT" w:eastAsia="lt-LT"/>
              </w:rPr>
            </w:pPr>
            <w:r w:rsidRPr="006972EC">
              <w:rPr>
                <w:bCs/>
                <w:lang w:val="lt-LT" w:eastAsia="lt-LT"/>
              </w:rPr>
              <w:t>Projektų atrankos kriterijus detalizuoja bendrąjį reikalavimą, nustatytą Projektų administravimo ir finansavimo taisyklių, patvirtintų finansų ministro 2014 m. spalio 8 d. įsakymo Nr. 1K-316 „Dėl Projektų administravimo ir finansavimo taisyklių patvirtinimo“, 35 punkte</w:t>
            </w:r>
            <w:r w:rsidRPr="006972EC">
              <w:rPr>
                <w:lang w:val="lt-LT"/>
              </w:rPr>
              <w:t>, kuriame numatyta, kad projektas įtraukiamas į valstybės projektų sąrašą, jei strateginio planavimo dokumente nustatytas projekto vykdytojas ir jam pavestos įgyvendinti veiklos sritys (kurios atitinka projekto tikslą) arba strateginio planavimo dokumente nurodomas planuojamas įgyvendinti projektas, projekto vykdytojas ir jam numatytos projekto veiklos</w:t>
            </w:r>
            <w:r w:rsidRPr="006972EC">
              <w:rPr>
                <w:bCs/>
                <w:lang w:val="lt-LT" w:eastAsia="lt-LT"/>
              </w:rPr>
              <w:t>.</w:t>
            </w:r>
          </w:p>
          <w:p w14:paraId="48C5D824" w14:textId="77777777" w:rsidR="006972EC" w:rsidRPr="00A95B98" w:rsidRDefault="006972EC" w:rsidP="006972EC">
            <w:pPr>
              <w:rPr>
                <w:lang w:val="lt-LT"/>
              </w:rPr>
            </w:pPr>
            <w:r w:rsidRPr="00A95B98">
              <w:rPr>
                <w:bCs/>
                <w:lang w:val="lt-LT" w:eastAsia="lt-LT"/>
              </w:rPr>
              <w:t xml:space="preserve">Projektų atrankos kriterijus užtikrina, kad būtų atrinkti projektai, kurie geriausiu būdu prisidėtų prie </w:t>
            </w:r>
            <w:r>
              <w:rPr>
                <w:bCs/>
                <w:lang w:val="lt-LT" w:eastAsia="lt-LT"/>
              </w:rPr>
              <w:t xml:space="preserve">veiksmų programos </w:t>
            </w:r>
            <w:r w:rsidRPr="00A95B98">
              <w:rPr>
                <w:lang w:val="lt-LT"/>
              </w:rPr>
              <w:t>6 prioritet</w:t>
            </w:r>
            <w:r>
              <w:rPr>
                <w:lang w:val="lt-LT"/>
              </w:rPr>
              <w:t>o</w:t>
            </w:r>
            <w:r w:rsidRPr="00A95B98">
              <w:rPr>
                <w:lang w:val="lt-LT"/>
              </w:rPr>
              <w:t xml:space="preserve"> „Darnaus transporto ir pagrindinių tinklų infrastruktūros plėtra“ 6.</w:t>
            </w:r>
            <w:r>
              <w:rPr>
                <w:lang w:val="lt-LT"/>
              </w:rPr>
              <w:t>2</w:t>
            </w:r>
            <w:r w:rsidRPr="00A95B98">
              <w:rPr>
                <w:lang w:val="lt-LT"/>
              </w:rPr>
              <w:t>.1 konkretus uždavinio „</w:t>
            </w:r>
            <w:r w:rsidRPr="00722FE7">
              <w:rPr>
                <w:lang w:val="lt-LT"/>
              </w:rPr>
              <w:t xml:space="preserve">Padidinti regionų </w:t>
            </w:r>
            <w:proofErr w:type="spellStart"/>
            <w:r w:rsidRPr="00722FE7">
              <w:rPr>
                <w:lang w:val="lt-LT"/>
              </w:rPr>
              <w:t>judumą</w:t>
            </w:r>
            <w:proofErr w:type="spellEnd"/>
            <w:r w:rsidRPr="00722FE7">
              <w:rPr>
                <w:lang w:val="lt-LT"/>
              </w:rPr>
              <w:t xml:space="preserve"> plėtojant regionų jungtis su pagrindiniu šalies transporto tinklu ir diegiant eismo saugos priemones</w:t>
            </w:r>
            <w:r w:rsidRPr="00A95B98">
              <w:rPr>
                <w:lang w:val="lt-LT"/>
              </w:rPr>
              <w:t>“ pasiekimo</w:t>
            </w:r>
            <w:r>
              <w:rPr>
                <w:lang w:val="lt-LT"/>
              </w:rPr>
              <w:t>,</w:t>
            </w:r>
            <w:r w:rsidRPr="00A95B98">
              <w:rPr>
                <w:lang w:val="lt-LT"/>
              </w:rPr>
              <w:t xml:space="preserve"> </w:t>
            </w:r>
            <w:r>
              <w:rPr>
                <w:lang w:val="lt-LT"/>
              </w:rPr>
              <w:t xml:space="preserve">padėtų sumažinti žuvusiųjų </w:t>
            </w:r>
            <w:r w:rsidRPr="005E2492">
              <w:rPr>
                <w:lang w:val="lt-LT"/>
              </w:rPr>
              <w:t>ir sužeistųjų geležinkelio pervažose skaiči</w:t>
            </w:r>
            <w:r>
              <w:rPr>
                <w:lang w:val="lt-LT"/>
              </w:rPr>
              <w:t>ų</w:t>
            </w:r>
            <w:r w:rsidRPr="005E2492">
              <w:rPr>
                <w:lang w:val="lt-LT"/>
              </w:rPr>
              <w:t>.</w:t>
            </w:r>
            <w:r w:rsidRPr="00A95B98">
              <w:rPr>
                <w:lang w:val="lt-LT"/>
              </w:rPr>
              <w:t xml:space="preserve"> </w:t>
            </w:r>
          </w:p>
          <w:p w14:paraId="2A1B02D3" w14:textId="77777777" w:rsidR="006972EC" w:rsidRDefault="006972EC" w:rsidP="006972EC">
            <w:pPr>
              <w:rPr>
                <w:lang w:val="lt-LT"/>
              </w:rPr>
            </w:pPr>
            <w:r>
              <w:rPr>
                <w:lang w:val="lt-LT"/>
              </w:rPr>
              <w:t xml:space="preserve">Pasirinktas projektų atrankos kriterijus nepagrįstai neišskiria tam tikros tikslinės grupės, o </w:t>
            </w:r>
            <w:r>
              <w:rPr>
                <w:lang w:val="lt-LT"/>
              </w:rPr>
              <w:lastRenderedPageBreak/>
              <w:t xml:space="preserve">padeda atrinkti projektus, kurie geriausiai įgyvendina veiksmų programos </w:t>
            </w:r>
            <w:r w:rsidRPr="00A95B98">
              <w:rPr>
                <w:lang w:val="lt-LT"/>
              </w:rPr>
              <w:t>6 prioritet</w:t>
            </w:r>
            <w:r>
              <w:rPr>
                <w:lang w:val="lt-LT"/>
              </w:rPr>
              <w:t>o</w:t>
            </w:r>
            <w:r w:rsidRPr="00A95B98">
              <w:rPr>
                <w:lang w:val="lt-LT"/>
              </w:rPr>
              <w:t xml:space="preserve"> „Darnaus transporto ir pagrindinių tinklų infrastruktūros plėtra“ 6.</w:t>
            </w:r>
            <w:r>
              <w:rPr>
                <w:lang w:val="lt-LT"/>
              </w:rPr>
              <w:t>2.1 konkretų uždavinį</w:t>
            </w:r>
            <w:r w:rsidRPr="00A95B98">
              <w:rPr>
                <w:lang w:val="lt-LT"/>
              </w:rPr>
              <w:t xml:space="preserve"> „</w:t>
            </w:r>
            <w:r w:rsidRPr="00722FE7">
              <w:rPr>
                <w:lang w:val="lt-LT"/>
              </w:rPr>
              <w:t xml:space="preserve">Padidinti regionų </w:t>
            </w:r>
            <w:proofErr w:type="spellStart"/>
            <w:r w:rsidRPr="00722FE7">
              <w:rPr>
                <w:lang w:val="lt-LT"/>
              </w:rPr>
              <w:t>judumą</w:t>
            </w:r>
            <w:proofErr w:type="spellEnd"/>
            <w:r w:rsidRPr="00722FE7">
              <w:rPr>
                <w:lang w:val="lt-LT"/>
              </w:rPr>
              <w:t xml:space="preserve"> plėtojant regionų jungtis su pagrindiniu šalies transporto tinklu ir diegiant eismo saugos priemones</w:t>
            </w:r>
            <w:r w:rsidRPr="00A95B98">
              <w:rPr>
                <w:lang w:val="lt-LT"/>
              </w:rPr>
              <w:t>“</w:t>
            </w:r>
            <w:r>
              <w:rPr>
                <w:lang w:val="lt-LT"/>
              </w:rPr>
              <w:t xml:space="preserve"> ir prisideda prie numatytų rodiklių pasiekimo.</w:t>
            </w:r>
          </w:p>
          <w:p w14:paraId="77E3A5D2" w14:textId="1D8C4948" w:rsidR="007331C7" w:rsidRPr="00B96756" w:rsidRDefault="000A6FFE" w:rsidP="00B62AEA">
            <w:pPr>
              <w:rPr>
                <w:bCs/>
                <w:i/>
                <w:lang w:val="lt-LT" w:eastAsia="lt-LT"/>
              </w:rPr>
            </w:pPr>
            <w:r w:rsidRPr="00B41E1E">
              <w:rPr>
                <w:b/>
                <w:bCs/>
                <w:lang w:val="lt-LT" w:eastAsia="lt-LT"/>
              </w:rPr>
              <w:t xml:space="preserve">Projektų atrankos kriterijus keičiamas atsižvelgiant į </w:t>
            </w:r>
            <w:hyperlink r:id="rId11" w:history="1">
              <w:r w:rsidRPr="00A96DC6">
                <w:rPr>
                  <w:rStyle w:val="Hipersaitas"/>
                  <w:b/>
                  <w:bCs/>
                  <w:lang w:val="lt-LT" w:eastAsia="lt-LT"/>
                </w:rPr>
                <w:t xml:space="preserve">Lietuvos Respublikos susisiekimo ministro </w:t>
              </w:r>
              <w:r w:rsidR="007A1F2C" w:rsidRPr="00A96DC6">
                <w:rPr>
                  <w:rStyle w:val="Hipersaitas"/>
                  <w:rFonts w:eastAsiaTheme="minorHAnsi"/>
                  <w:b/>
                  <w:bCs/>
                  <w:lang w:val="lt-LT"/>
                </w:rPr>
                <w:t xml:space="preserve">2018 m. </w:t>
              </w:r>
              <w:r w:rsidR="00B62AEA">
                <w:rPr>
                  <w:rStyle w:val="Hipersaitas"/>
                  <w:rFonts w:eastAsiaTheme="minorHAnsi"/>
                  <w:b/>
                  <w:bCs/>
                  <w:lang w:val="lt-LT"/>
                </w:rPr>
                <w:t xml:space="preserve">spalio 4 </w:t>
              </w:r>
              <w:r w:rsidR="007A1F2C" w:rsidRPr="00A96DC6">
                <w:rPr>
                  <w:rStyle w:val="Hipersaitas"/>
                  <w:rFonts w:eastAsiaTheme="minorHAnsi"/>
                  <w:b/>
                  <w:bCs/>
                  <w:lang w:val="lt-LT"/>
                </w:rPr>
                <w:t>d. įsakymu Nr. 3-</w:t>
              </w:r>
              <w:r w:rsidR="00B62AEA">
                <w:rPr>
                  <w:rStyle w:val="Hipersaitas"/>
                  <w:rFonts w:eastAsiaTheme="minorHAnsi"/>
                  <w:b/>
                  <w:bCs/>
                  <w:lang w:val="lt-LT"/>
                </w:rPr>
                <w:t>497</w:t>
              </w:r>
              <w:r w:rsidR="007A1F2C" w:rsidRPr="00A96DC6">
                <w:rPr>
                  <w:rStyle w:val="Hipersaitas"/>
                  <w:rFonts w:eastAsiaTheme="minorHAnsi"/>
                  <w:b/>
                  <w:bCs/>
                  <w:lang w:val="lt-LT"/>
                </w:rPr>
                <w:t xml:space="preserve"> </w:t>
              </w:r>
              <w:r w:rsidRPr="00A96DC6">
                <w:rPr>
                  <w:rStyle w:val="Hipersaitas"/>
                  <w:b/>
                  <w:bCs/>
                  <w:lang w:val="lt-LT" w:eastAsia="lt-LT"/>
                </w:rPr>
                <w:t>,,Dėl Lietuvos Respublikos susisiekimo ministro 2015 m. birželio 15 d. įsakymo Nr. 3-249 ,,Dėl preliminaraus Nacionalinės susisiekimo plėtros 2014–2022 metų programos projektų sąrašo patvirtinimo“ pakeitimo“</w:t>
              </w:r>
            </w:hyperlink>
            <w:r w:rsidRPr="00B41E1E">
              <w:rPr>
                <w:b/>
                <w:bCs/>
                <w:lang w:val="lt-LT" w:eastAsia="lt-LT"/>
              </w:rPr>
              <w:t xml:space="preserve"> pakeistą preliminarų Nacionalinės susisiekimo plėtros 2014–2022 metų programos projektų sąrašą.</w:t>
            </w:r>
          </w:p>
        </w:tc>
      </w:tr>
    </w:tbl>
    <w:p w14:paraId="77E3A5D4" w14:textId="77777777" w:rsidR="001F59A3" w:rsidRPr="00F61E65" w:rsidRDefault="001F59A3">
      <w:pPr>
        <w:spacing w:line="240" w:lineRule="exact"/>
        <w:ind w:firstLine="720"/>
        <w:rPr>
          <w:lang w:val="lt-LT"/>
        </w:rPr>
      </w:pPr>
    </w:p>
    <w:p w14:paraId="77E3A5D5" w14:textId="77777777" w:rsidR="001F59A3" w:rsidRPr="00F61E65" w:rsidRDefault="001F59A3">
      <w:pPr>
        <w:spacing w:line="240" w:lineRule="exact"/>
        <w:ind w:firstLine="720"/>
        <w:rPr>
          <w:sz w:val="22"/>
          <w:szCs w:val="22"/>
          <w:lang w:val="lt-LT"/>
        </w:rPr>
      </w:pPr>
    </w:p>
    <w:tbl>
      <w:tblPr>
        <w:tblW w:w="14194" w:type="dxa"/>
        <w:tblCellMar>
          <w:left w:w="0" w:type="dxa"/>
          <w:right w:w="0" w:type="dxa"/>
        </w:tblCellMar>
        <w:tblLook w:val="04A0" w:firstRow="1" w:lastRow="0" w:firstColumn="1" w:lastColumn="0" w:noHBand="0" w:noVBand="1"/>
      </w:tblPr>
      <w:tblGrid>
        <w:gridCol w:w="6112"/>
        <w:gridCol w:w="2450"/>
        <w:gridCol w:w="6"/>
        <w:gridCol w:w="6"/>
        <w:gridCol w:w="1688"/>
        <w:gridCol w:w="1672"/>
        <w:gridCol w:w="2340"/>
      </w:tblGrid>
      <w:tr w:rsidR="00BF2B8B" w14:paraId="77E3A5DB" w14:textId="77777777" w:rsidTr="00D13437">
        <w:trPr>
          <w:trHeight w:val="330"/>
        </w:trPr>
        <w:tc>
          <w:tcPr>
            <w:tcW w:w="6096" w:type="dxa"/>
            <w:tcBorders>
              <w:top w:val="nil"/>
              <w:left w:val="nil"/>
              <w:right w:val="nil"/>
            </w:tcBorders>
            <w:shd w:val="clear" w:color="auto" w:fill="auto"/>
            <w:noWrap/>
            <w:vAlign w:val="bottom"/>
            <w:hideMark/>
          </w:tcPr>
          <w:p w14:paraId="77E3A5D6" w14:textId="77777777" w:rsidR="00BF2B8B" w:rsidRPr="00930836" w:rsidRDefault="00BF2B8B" w:rsidP="00D13437">
            <w:pPr>
              <w:jc w:val="center"/>
              <w:rPr>
                <w:color w:val="000000"/>
                <w:lang w:val="lt-LT"/>
              </w:rPr>
            </w:pPr>
            <w:r w:rsidRPr="00930836">
              <w:rPr>
                <w:color w:val="000000"/>
                <w:lang w:val="lt-LT"/>
              </w:rPr>
              <w:t>Biudžeto ir valstybės turto valdymo departamento direktorius</w:t>
            </w:r>
          </w:p>
        </w:tc>
        <w:tc>
          <w:tcPr>
            <w:tcW w:w="2446" w:type="dxa"/>
            <w:gridSpan w:val="3"/>
            <w:tcBorders>
              <w:top w:val="nil"/>
              <w:left w:val="nil"/>
              <w:right w:val="nil"/>
            </w:tcBorders>
            <w:shd w:val="clear" w:color="auto" w:fill="auto"/>
            <w:noWrap/>
            <w:vAlign w:val="bottom"/>
            <w:hideMark/>
          </w:tcPr>
          <w:p w14:paraId="77E3A5D7" w14:textId="77777777" w:rsidR="00BF2B8B" w:rsidRPr="00930836" w:rsidRDefault="00BF2B8B" w:rsidP="00D13437">
            <w:pPr>
              <w:rPr>
                <w:rFonts w:ascii="Calibri" w:hAnsi="Calibri"/>
                <w:color w:val="000000"/>
                <w:lang w:val="lt-LT"/>
              </w:rPr>
            </w:pPr>
          </w:p>
        </w:tc>
        <w:tc>
          <w:tcPr>
            <w:tcW w:w="1672" w:type="dxa"/>
            <w:tcBorders>
              <w:top w:val="nil"/>
              <w:left w:val="nil"/>
              <w:bottom w:val="single" w:sz="4" w:space="0" w:color="auto"/>
              <w:right w:val="nil"/>
            </w:tcBorders>
            <w:shd w:val="clear" w:color="auto" w:fill="auto"/>
            <w:noWrap/>
            <w:vAlign w:val="bottom"/>
            <w:hideMark/>
          </w:tcPr>
          <w:p w14:paraId="77E3A5D8" w14:textId="77777777" w:rsidR="00BF2B8B" w:rsidRPr="00930836" w:rsidRDefault="00BF2B8B" w:rsidP="00D13437">
            <w:pPr>
              <w:jc w:val="center"/>
              <w:rPr>
                <w:color w:val="000000"/>
                <w:lang w:val="lt-LT"/>
              </w:rPr>
            </w:pPr>
            <w:r w:rsidRPr="00930836">
              <w:rPr>
                <w:color w:val="000000"/>
                <w:lang w:val="lt-LT"/>
              </w:rPr>
              <w:t> </w:t>
            </w:r>
          </w:p>
        </w:tc>
        <w:tc>
          <w:tcPr>
            <w:tcW w:w="1656" w:type="dxa"/>
            <w:tcBorders>
              <w:top w:val="nil"/>
              <w:left w:val="nil"/>
              <w:right w:val="nil"/>
            </w:tcBorders>
            <w:shd w:val="clear" w:color="auto" w:fill="auto"/>
            <w:noWrap/>
            <w:vAlign w:val="bottom"/>
            <w:hideMark/>
          </w:tcPr>
          <w:p w14:paraId="77E3A5D9" w14:textId="77777777" w:rsidR="00BF2B8B" w:rsidRPr="00930836" w:rsidRDefault="00BF2B8B" w:rsidP="00D13437">
            <w:pPr>
              <w:rPr>
                <w:rFonts w:ascii="Calibri" w:hAnsi="Calibri"/>
                <w:color w:val="000000"/>
                <w:lang w:val="lt-LT"/>
              </w:rPr>
            </w:pPr>
          </w:p>
        </w:tc>
        <w:tc>
          <w:tcPr>
            <w:tcW w:w="2324" w:type="dxa"/>
            <w:tcBorders>
              <w:top w:val="nil"/>
              <w:left w:val="nil"/>
              <w:right w:val="nil"/>
            </w:tcBorders>
            <w:shd w:val="clear" w:color="auto" w:fill="auto"/>
            <w:noWrap/>
            <w:vAlign w:val="bottom"/>
            <w:hideMark/>
          </w:tcPr>
          <w:p w14:paraId="77E3A5DA" w14:textId="77777777" w:rsidR="00BF2B8B" w:rsidRPr="00930836" w:rsidRDefault="00BF2B8B" w:rsidP="00D13437">
            <w:pPr>
              <w:jc w:val="center"/>
              <w:rPr>
                <w:color w:val="000000"/>
                <w:lang w:val="lt-LT"/>
              </w:rPr>
            </w:pPr>
            <w:r w:rsidRPr="00930836">
              <w:rPr>
                <w:color w:val="000000"/>
                <w:lang w:val="lt-LT"/>
              </w:rPr>
              <w:t>Saulius Kerza</w:t>
            </w:r>
          </w:p>
        </w:tc>
      </w:tr>
      <w:tr w:rsidR="00BF2B8B" w14:paraId="77E3A5E3" w14:textId="77777777" w:rsidTr="00D13437">
        <w:trPr>
          <w:trHeight w:val="315"/>
        </w:trPr>
        <w:tc>
          <w:tcPr>
            <w:tcW w:w="6096" w:type="dxa"/>
            <w:tcBorders>
              <w:left w:val="nil"/>
              <w:bottom w:val="nil"/>
              <w:right w:val="nil"/>
            </w:tcBorders>
            <w:shd w:val="clear" w:color="auto" w:fill="auto"/>
            <w:noWrap/>
            <w:hideMark/>
          </w:tcPr>
          <w:p w14:paraId="77E3A5DC" w14:textId="77777777" w:rsidR="00BF2B8B" w:rsidRPr="00930836" w:rsidRDefault="00BF2B8B" w:rsidP="00D13437">
            <w:pPr>
              <w:spacing w:line="240" w:lineRule="auto"/>
              <w:jc w:val="center"/>
              <w:rPr>
                <w:color w:val="000000"/>
                <w:lang w:val="lt-LT"/>
              </w:rPr>
            </w:pPr>
          </w:p>
        </w:tc>
        <w:tc>
          <w:tcPr>
            <w:tcW w:w="2384" w:type="dxa"/>
            <w:tcBorders>
              <w:left w:val="nil"/>
              <w:bottom w:val="nil"/>
              <w:right w:val="nil"/>
            </w:tcBorders>
            <w:shd w:val="clear" w:color="auto" w:fill="auto"/>
            <w:noWrap/>
            <w:hideMark/>
          </w:tcPr>
          <w:p w14:paraId="77E3A5DD" w14:textId="77777777" w:rsidR="00BF2B8B" w:rsidRPr="00930836" w:rsidRDefault="00BF2B8B" w:rsidP="00D13437">
            <w:pPr>
              <w:spacing w:line="240" w:lineRule="auto"/>
              <w:jc w:val="center"/>
              <w:rPr>
                <w:color w:val="000000"/>
                <w:lang w:val="lt-LT"/>
              </w:rPr>
            </w:pPr>
          </w:p>
        </w:tc>
        <w:tc>
          <w:tcPr>
            <w:tcW w:w="0" w:type="auto"/>
            <w:tcBorders>
              <w:left w:val="nil"/>
              <w:bottom w:val="nil"/>
              <w:right w:val="nil"/>
            </w:tcBorders>
            <w:shd w:val="clear" w:color="auto" w:fill="auto"/>
            <w:noWrap/>
            <w:hideMark/>
          </w:tcPr>
          <w:p w14:paraId="77E3A5DE" w14:textId="77777777" w:rsidR="00BF2B8B" w:rsidRPr="00930836" w:rsidRDefault="00BF2B8B" w:rsidP="00D13437">
            <w:pPr>
              <w:spacing w:line="240" w:lineRule="auto"/>
              <w:jc w:val="center"/>
              <w:rPr>
                <w:rFonts w:ascii="Calibri" w:hAnsi="Calibri"/>
                <w:color w:val="000000"/>
                <w:lang w:val="lt-LT"/>
              </w:rPr>
            </w:pPr>
          </w:p>
        </w:tc>
        <w:tc>
          <w:tcPr>
            <w:tcW w:w="0" w:type="auto"/>
            <w:tcBorders>
              <w:left w:val="nil"/>
              <w:bottom w:val="nil"/>
              <w:right w:val="nil"/>
            </w:tcBorders>
            <w:shd w:val="clear" w:color="auto" w:fill="auto"/>
            <w:noWrap/>
            <w:hideMark/>
          </w:tcPr>
          <w:p w14:paraId="77E3A5DF" w14:textId="77777777" w:rsidR="00BF2B8B" w:rsidRPr="00930836" w:rsidRDefault="00BF2B8B" w:rsidP="00D13437">
            <w:pPr>
              <w:spacing w:line="240" w:lineRule="auto"/>
              <w:jc w:val="center"/>
              <w:rPr>
                <w:rFonts w:ascii="Calibri" w:hAnsi="Calibri"/>
                <w:color w:val="000000"/>
                <w:lang w:val="lt-LT"/>
              </w:rPr>
            </w:pPr>
          </w:p>
        </w:tc>
        <w:tc>
          <w:tcPr>
            <w:tcW w:w="0" w:type="auto"/>
            <w:tcBorders>
              <w:top w:val="single" w:sz="4" w:space="0" w:color="auto"/>
              <w:left w:val="nil"/>
              <w:bottom w:val="nil"/>
              <w:right w:val="nil"/>
            </w:tcBorders>
            <w:shd w:val="clear" w:color="auto" w:fill="auto"/>
            <w:noWrap/>
            <w:hideMark/>
          </w:tcPr>
          <w:p w14:paraId="77E3A5E0" w14:textId="77777777" w:rsidR="00BF2B8B" w:rsidRPr="00930836" w:rsidRDefault="00BF2B8B" w:rsidP="00D13437">
            <w:pPr>
              <w:spacing w:line="240" w:lineRule="auto"/>
              <w:jc w:val="center"/>
              <w:rPr>
                <w:color w:val="000000"/>
                <w:lang w:val="lt-LT"/>
              </w:rPr>
            </w:pPr>
            <w:r w:rsidRPr="00930836">
              <w:rPr>
                <w:color w:val="000000"/>
                <w:lang w:val="lt-LT"/>
              </w:rPr>
              <w:t>(parašas)</w:t>
            </w:r>
          </w:p>
        </w:tc>
        <w:tc>
          <w:tcPr>
            <w:tcW w:w="0" w:type="auto"/>
            <w:tcBorders>
              <w:left w:val="nil"/>
              <w:bottom w:val="nil"/>
              <w:right w:val="nil"/>
            </w:tcBorders>
            <w:shd w:val="clear" w:color="auto" w:fill="auto"/>
            <w:noWrap/>
            <w:hideMark/>
          </w:tcPr>
          <w:p w14:paraId="77E3A5E1" w14:textId="77777777" w:rsidR="00BF2B8B" w:rsidRPr="00930836" w:rsidRDefault="00BF2B8B" w:rsidP="00D13437">
            <w:pPr>
              <w:spacing w:line="240" w:lineRule="auto"/>
              <w:jc w:val="center"/>
              <w:rPr>
                <w:rFonts w:ascii="Calibri" w:hAnsi="Calibri"/>
                <w:color w:val="000000"/>
                <w:lang w:val="lt-LT"/>
              </w:rPr>
            </w:pPr>
          </w:p>
        </w:tc>
        <w:tc>
          <w:tcPr>
            <w:tcW w:w="2324" w:type="dxa"/>
            <w:tcBorders>
              <w:left w:val="nil"/>
              <w:bottom w:val="nil"/>
              <w:right w:val="nil"/>
            </w:tcBorders>
            <w:shd w:val="clear" w:color="auto" w:fill="auto"/>
            <w:noWrap/>
            <w:hideMark/>
          </w:tcPr>
          <w:p w14:paraId="77E3A5E2" w14:textId="77777777" w:rsidR="00BF2B8B" w:rsidRPr="00930836" w:rsidRDefault="00BF2B8B" w:rsidP="00D13437">
            <w:pPr>
              <w:spacing w:line="240" w:lineRule="auto"/>
              <w:jc w:val="center"/>
              <w:rPr>
                <w:color w:val="000000"/>
                <w:lang w:val="lt-LT"/>
              </w:rPr>
            </w:pPr>
          </w:p>
        </w:tc>
      </w:tr>
    </w:tbl>
    <w:p w14:paraId="77E3A5E4" w14:textId="77777777" w:rsidR="00E319A0" w:rsidRPr="00F61E65" w:rsidRDefault="00E319A0">
      <w:pPr>
        <w:spacing w:line="240" w:lineRule="exact"/>
        <w:ind w:firstLine="720"/>
        <w:rPr>
          <w:sz w:val="22"/>
          <w:szCs w:val="22"/>
          <w:lang w:val="lt-LT"/>
        </w:rPr>
      </w:pPr>
    </w:p>
    <w:sectPr w:rsidR="00E319A0" w:rsidRPr="00F61E65" w:rsidSect="00BF2B8B">
      <w:headerReference w:type="default" r:id="rId12"/>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3A5E7" w14:textId="77777777" w:rsidR="00D56201" w:rsidRDefault="00D56201" w:rsidP="00BF2B8B">
      <w:pPr>
        <w:spacing w:line="240" w:lineRule="auto"/>
      </w:pPr>
      <w:r>
        <w:separator/>
      </w:r>
    </w:p>
  </w:endnote>
  <w:endnote w:type="continuationSeparator" w:id="0">
    <w:p w14:paraId="77E3A5E8" w14:textId="77777777" w:rsidR="00D56201" w:rsidRDefault="00D56201" w:rsidP="00BF2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3A5E5" w14:textId="77777777" w:rsidR="00D56201" w:rsidRDefault="00D56201" w:rsidP="00BF2B8B">
      <w:pPr>
        <w:spacing w:line="240" w:lineRule="auto"/>
      </w:pPr>
      <w:r>
        <w:separator/>
      </w:r>
    </w:p>
  </w:footnote>
  <w:footnote w:type="continuationSeparator" w:id="0">
    <w:p w14:paraId="77E3A5E6" w14:textId="77777777" w:rsidR="00D56201" w:rsidRDefault="00D56201" w:rsidP="00BF2B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182296"/>
      <w:docPartObj>
        <w:docPartGallery w:val="Page Numbers (Top of Page)"/>
        <w:docPartUnique/>
      </w:docPartObj>
    </w:sdtPr>
    <w:sdtEndPr/>
    <w:sdtContent>
      <w:p w14:paraId="77E3A5E9" w14:textId="77777777" w:rsidR="00BF2B8B" w:rsidRDefault="00BF2B8B">
        <w:pPr>
          <w:pStyle w:val="Antrats"/>
          <w:jc w:val="center"/>
        </w:pPr>
        <w:r>
          <w:fldChar w:fldCharType="begin"/>
        </w:r>
        <w:r>
          <w:instrText>PAGE   \* MERGEFORMAT</w:instrText>
        </w:r>
        <w:r>
          <w:fldChar w:fldCharType="separate"/>
        </w:r>
        <w:r w:rsidR="00000880" w:rsidRPr="00000880">
          <w:rPr>
            <w:noProof/>
            <w:lang w:val="lt-LT"/>
          </w:rPr>
          <w:t>4</w:t>
        </w:r>
        <w:r>
          <w:fldChar w:fldCharType="end"/>
        </w:r>
      </w:p>
    </w:sdtContent>
  </w:sdt>
  <w:p w14:paraId="77E3A5EA" w14:textId="77777777" w:rsidR="00BF2B8B" w:rsidRDefault="00BF2B8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D4E"/>
    <w:multiLevelType w:val="multilevel"/>
    <w:tmpl w:val="2C86940E"/>
    <w:lvl w:ilvl="0">
      <w:start w:val="1"/>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0880"/>
    <w:rsid w:val="00044027"/>
    <w:rsid w:val="00066A6A"/>
    <w:rsid w:val="000711DA"/>
    <w:rsid w:val="00084E8B"/>
    <w:rsid w:val="000A6FFE"/>
    <w:rsid w:val="000C0CD8"/>
    <w:rsid w:val="00110967"/>
    <w:rsid w:val="0011201E"/>
    <w:rsid w:val="00112884"/>
    <w:rsid w:val="0011770B"/>
    <w:rsid w:val="00122FED"/>
    <w:rsid w:val="001232ED"/>
    <w:rsid w:val="00134F92"/>
    <w:rsid w:val="00167B07"/>
    <w:rsid w:val="00174DD8"/>
    <w:rsid w:val="001C0D49"/>
    <w:rsid w:val="001C7EFA"/>
    <w:rsid w:val="001D1F63"/>
    <w:rsid w:val="001E1A85"/>
    <w:rsid w:val="001F59A3"/>
    <w:rsid w:val="001F5DA0"/>
    <w:rsid w:val="00232554"/>
    <w:rsid w:val="00237A21"/>
    <w:rsid w:val="00237D96"/>
    <w:rsid w:val="00252D58"/>
    <w:rsid w:val="002C2B77"/>
    <w:rsid w:val="002C2EA6"/>
    <w:rsid w:val="002D22F7"/>
    <w:rsid w:val="002E31B4"/>
    <w:rsid w:val="002F1978"/>
    <w:rsid w:val="00310EC5"/>
    <w:rsid w:val="003359DC"/>
    <w:rsid w:val="00390029"/>
    <w:rsid w:val="003B48F0"/>
    <w:rsid w:val="004226AB"/>
    <w:rsid w:val="00426102"/>
    <w:rsid w:val="0048787A"/>
    <w:rsid w:val="00491FDD"/>
    <w:rsid w:val="004B7163"/>
    <w:rsid w:val="004D02FC"/>
    <w:rsid w:val="004D33BC"/>
    <w:rsid w:val="004F5B10"/>
    <w:rsid w:val="004F7F82"/>
    <w:rsid w:val="00507894"/>
    <w:rsid w:val="00511C3B"/>
    <w:rsid w:val="00535DC9"/>
    <w:rsid w:val="00561982"/>
    <w:rsid w:val="0056258C"/>
    <w:rsid w:val="005D176F"/>
    <w:rsid w:val="005D291B"/>
    <w:rsid w:val="006672A0"/>
    <w:rsid w:val="00672557"/>
    <w:rsid w:val="00677A7A"/>
    <w:rsid w:val="006972EC"/>
    <w:rsid w:val="006A087C"/>
    <w:rsid w:val="006A71BC"/>
    <w:rsid w:val="006B7150"/>
    <w:rsid w:val="00706316"/>
    <w:rsid w:val="00713005"/>
    <w:rsid w:val="007331C7"/>
    <w:rsid w:val="0074677F"/>
    <w:rsid w:val="0075383C"/>
    <w:rsid w:val="00766129"/>
    <w:rsid w:val="00781AD3"/>
    <w:rsid w:val="007905A3"/>
    <w:rsid w:val="007A1F2C"/>
    <w:rsid w:val="007C7EB3"/>
    <w:rsid w:val="007D14B4"/>
    <w:rsid w:val="007D42FC"/>
    <w:rsid w:val="00804349"/>
    <w:rsid w:val="0081656F"/>
    <w:rsid w:val="008370EB"/>
    <w:rsid w:val="008670DF"/>
    <w:rsid w:val="00874931"/>
    <w:rsid w:val="00880898"/>
    <w:rsid w:val="00895B79"/>
    <w:rsid w:val="008B46BE"/>
    <w:rsid w:val="008F4DFA"/>
    <w:rsid w:val="00900F97"/>
    <w:rsid w:val="00955749"/>
    <w:rsid w:val="009944CC"/>
    <w:rsid w:val="009D5E39"/>
    <w:rsid w:val="009F193D"/>
    <w:rsid w:val="00A35064"/>
    <w:rsid w:val="00A40869"/>
    <w:rsid w:val="00A542F0"/>
    <w:rsid w:val="00A71C1A"/>
    <w:rsid w:val="00A96DC6"/>
    <w:rsid w:val="00AA42F5"/>
    <w:rsid w:val="00AB5579"/>
    <w:rsid w:val="00B24C84"/>
    <w:rsid w:val="00B53AC1"/>
    <w:rsid w:val="00B57A4B"/>
    <w:rsid w:val="00B62AEA"/>
    <w:rsid w:val="00B774EC"/>
    <w:rsid w:val="00B928CD"/>
    <w:rsid w:val="00B96756"/>
    <w:rsid w:val="00BC413A"/>
    <w:rsid w:val="00BF0FD1"/>
    <w:rsid w:val="00BF2B8B"/>
    <w:rsid w:val="00C274FA"/>
    <w:rsid w:val="00C36AD1"/>
    <w:rsid w:val="00C72F8E"/>
    <w:rsid w:val="00C76238"/>
    <w:rsid w:val="00CC5DA2"/>
    <w:rsid w:val="00CC6A27"/>
    <w:rsid w:val="00CD7B12"/>
    <w:rsid w:val="00CE6507"/>
    <w:rsid w:val="00D11981"/>
    <w:rsid w:val="00D15B25"/>
    <w:rsid w:val="00D27EF5"/>
    <w:rsid w:val="00D52CDD"/>
    <w:rsid w:val="00D56201"/>
    <w:rsid w:val="00D80124"/>
    <w:rsid w:val="00D8361D"/>
    <w:rsid w:val="00D87C13"/>
    <w:rsid w:val="00DD6F20"/>
    <w:rsid w:val="00E17ECA"/>
    <w:rsid w:val="00E2776E"/>
    <w:rsid w:val="00E319A0"/>
    <w:rsid w:val="00E52A24"/>
    <w:rsid w:val="00E6448D"/>
    <w:rsid w:val="00E65AD0"/>
    <w:rsid w:val="00E777D4"/>
    <w:rsid w:val="00EA4333"/>
    <w:rsid w:val="00EB1113"/>
    <w:rsid w:val="00EC06D9"/>
    <w:rsid w:val="00EC74EA"/>
    <w:rsid w:val="00EF26E7"/>
    <w:rsid w:val="00EF2FB6"/>
    <w:rsid w:val="00EF5549"/>
    <w:rsid w:val="00F23B12"/>
    <w:rsid w:val="00F302D1"/>
    <w:rsid w:val="00F51AE8"/>
    <w:rsid w:val="00F572F8"/>
    <w:rsid w:val="00F61E65"/>
    <w:rsid w:val="00F826F0"/>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3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491FDD"/>
    <w:rPr>
      <w:color w:val="0000FF" w:themeColor="hyperlink"/>
      <w:u w:val="single"/>
    </w:rPr>
  </w:style>
  <w:style w:type="paragraph" w:styleId="Antrats">
    <w:name w:val="header"/>
    <w:basedOn w:val="prastasis"/>
    <w:link w:val="AntratsDiagrama"/>
    <w:uiPriority w:val="99"/>
    <w:unhideWhenUsed/>
    <w:rsid w:val="00BF2B8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BF2B8B"/>
    <w:rPr>
      <w:sz w:val="24"/>
      <w:szCs w:val="24"/>
      <w:lang w:val="en-US" w:eastAsia="en-US"/>
    </w:rPr>
  </w:style>
  <w:style w:type="paragraph" w:styleId="Porat">
    <w:name w:val="footer"/>
    <w:basedOn w:val="prastasis"/>
    <w:link w:val="PoratDiagrama"/>
    <w:uiPriority w:val="99"/>
    <w:unhideWhenUsed/>
    <w:rsid w:val="00BF2B8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BF2B8B"/>
    <w:rPr>
      <w:sz w:val="24"/>
      <w:szCs w:val="24"/>
      <w:lang w:val="en-US" w:eastAsia="en-US"/>
    </w:rPr>
  </w:style>
  <w:style w:type="character" w:styleId="Perirtashipersaitas">
    <w:name w:val="FollowedHyperlink"/>
    <w:basedOn w:val="Numatytasispastraiposriftas"/>
    <w:uiPriority w:val="99"/>
    <w:semiHidden/>
    <w:unhideWhenUsed/>
    <w:rsid w:val="002C2E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491FDD"/>
    <w:rPr>
      <w:color w:val="0000FF" w:themeColor="hyperlink"/>
      <w:u w:val="single"/>
    </w:rPr>
  </w:style>
  <w:style w:type="paragraph" w:styleId="Antrats">
    <w:name w:val="header"/>
    <w:basedOn w:val="prastasis"/>
    <w:link w:val="AntratsDiagrama"/>
    <w:uiPriority w:val="99"/>
    <w:unhideWhenUsed/>
    <w:rsid w:val="00BF2B8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BF2B8B"/>
    <w:rPr>
      <w:sz w:val="24"/>
      <w:szCs w:val="24"/>
      <w:lang w:val="en-US" w:eastAsia="en-US"/>
    </w:rPr>
  </w:style>
  <w:style w:type="paragraph" w:styleId="Porat">
    <w:name w:val="footer"/>
    <w:basedOn w:val="prastasis"/>
    <w:link w:val="PoratDiagrama"/>
    <w:uiPriority w:val="99"/>
    <w:unhideWhenUsed/>
    <w:rsid w:val="00BF2B8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BF2B8B"/>
    <w:rPr>
      <w:sz w:val="24"/>
      <w:szCs w:val="24"/>
      <w:lang w:val="en-US" w:eastAsia="en-US"/>
    </w:rPr>
  </w:style>
  <w:style w:type="character" w:styleId="Perirtashipersaitas">
    <w:name w:val="FollowedHyperlink"/>
    <w:basedOn w:val="Numatytasispastraiposriftas"/>
    <w:uiPriority w:val="99"/>
    <w:semiHidden/>
    <w:unhideWhenUsed/>
    <w:rsid w:val="002C2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investicijos.lt/lt/dokumentai?f__institution=280&amp;f__datasets__document_type=60&amp;f__datasets__doc_categories=307&amp;f__show_all=1" TargetMode="External"/><Relationship Id="rId5" Type="http://schemas.openxmlformats.org/officeDocument/2006/relationships/settings" Target="settings.xml"/><Relationship Id="rId10" Type="http://schemas.openxmlformats.org/officeDocument/2006/relationships/hyperlink" Target="http://www.esinvesticijos.lt/lt/dokumentai?f__institution=280&amp;f__datasets__document_type=60&amp;f__datasets__doc_categories=307&amp;f__show_all=1" TargetMode="External"/><Relationship Id="rId4" Type="http://schemas.microsoft.com/office/2007/relationships/stylesWithEffects" Target="stylesWithEffects.xml"/><Relationship Id="rId9" Type="http://schemas.openxmlformats.org/officeDocument/2006/relationships/hyperlink" Target="https://www.e-tar.lt/portal/lt/legalAct/501ff610723211e3bd0ecaffd80c672a/yegZsEZIs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98D0-ECA2-4C3F-8824-A4B9010B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890</Words>
  <Characters>6841</Characters>
  <Application>Microsoft Office Word</Application>
  <DocSecurity>0</DocSecurity>
  <Lines>57</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7</cp:revision>
  <cp:lastPrinted>2018-11-14T10:54:00Z</cp:lastPrinted>
  <dcterms:created xsi:type="dcterms:W3CDTF">2018-05-25T10:45:00Z</dcterms:created>
  <dcterms:modified xsi:type="dcterms:W3CDTF">2018-11-14T10:54:00Z</dcterms:modified>
</cp:coreProperties>
</file>